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v456 (v1.6 Build 456).</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Thorough Setlist Matching and Tag Copy/Delete Original may use two-line visual labels to reduce column width. A wrapped Tag Copy/Delete Original label must not increase the third checkbox row height in a way that creates extra vertical space before Thorough Setlist Matching; Thorough must begin at the same compact row increment used by the other first-column checkboxes. Search Path and Slam entry widths must remain compact enough that these layout reductions produce a narrower natural main Inventory window without hiding or reordering controls. The title, resolved TLOHome label, and hamburger menu must share one compact top row, with TLOHome immediately to the left of the hamburger. The Search Path label must display as two closely spaced lines, "Search Path" and "(optional/override)", on the same row as its entry; no helper/info row may appear below the Search Path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and Slam must indicate their optional/override status in the compact labels defined above; no separate helper line is displayed beneath either text box.</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453 main-GUI checkbox spacing and fully horizontal Corruption Handling layout.</dc:description>
  <cp:keywords>TLO, Inventory, Requirements, v1.6, Build 451, GUI, TLOHome, Search Path, Slam</cp:keywords>
  <dc:language>en-US</dc:language>
  <cp:lastModifiedBy/>
  <dcterms:modified xsi:type="dcterms:W3CDTF">2026-08-03T22:32:32Z</dcterms:modified>
  <cp:revision>1</cp:revision>
  <dc:subject>TLO v1.6 Build 453 requirements</dc:subject>
  <dc:title>TLO Inventory Requirements Working v453</dc:title>
</cp:coreProperties>
</file>