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7E"/>
          <w:sz w:val="48"/>
          <w:szCs w:val="48"/>
        </w:rPr>
        <w:t xml:space="preserve">End-to-End Test Report</w:t>
      </w:r>
    </w:p>
    <w:p>
      <w:pPr>
        <w:spacing w:after="80"/>
        <w:jc w:val="center"/>
      </w:pPr>
      <w:r>
        <w:rPr>
          <w:rFonts w:ascii="Arial" w:cs="Arial" w:eastAsia="Arial" w:hAnsi="Arial"/>
          <w:color w:val="5C6BC0"/>
          <w:sz w:val="28"/>
          <w:szCs w:val="28"/>
        </w:rPr>
        <w:t xml:space="preserve">Staging Environment (staging.regmind.co)</w:t>
      </w:r>
    </w:p>
    <w:p>
      <w:pPr>
        <w:spacing w:after="400"/>
        <w:jc w:val="center"/>
      </w:pPr>
      <w:r>
        <w:rPr>
          <w:rFonts w:ascii="Arial" w:cs="Arial" w:eastAsia="Arial" w:hAnsi="Arial"/>
          <w:color w:val="888888"/>
          <w:sz w:val="22"/>
          <w:szCs w:val="22"/>
        </w:rPr>
        <w:t xml:space="preserve">26 March 2026</w:t>
      </w:r>
    </w:p>
    <w:p>
      <w:pPr>
        <w:pStyle w:val="Heading1"/>
        <w:spacing w:after="150" w:before="300"/>
      </w:pPr>
      <w:r>
        <w:rPr>
          <w:rFonts w:ascii="Arial" w:cs="Arial" w:eastAsia="Arial" w:hAnsi="Arial"/>
        </w:rPr>
        <w:t xml:space="preserve">Executive Summary</w:t>
      </w:r>
    </w:p>
    <w:p>
      <w:pPr>
        <w:spacing w:after="150"/>
      </w:pPr>
      <w:r>
        <w:rPr>
          <w:rFonts w:ascii="Arial" w:cs="Arial" w:eastAsia="Arial" w:hAnsi="Arial"/>
          <w:sz w:val="22"/>
          <w:szCs w:val="22"/>
        </w:rPr>
        <w:t xml:space="preserve">Comprehensive end-to-end testing was performed on the Onboarda staging environment (</w:t>
      </w:r>
      <w:r>
        <w:rPr>
          <w:rFonts w:ascii="Arial" w:cs="Arial" w:eastAsia="Arial" w:hAnsi="Arial"/>
          <w:b/>
          <w:bCs/>
          <w:sz w:val="22"/>
          <w:szCs w:val="22"/>
        </w:rPr>
        <w:t xml:space="preserve">staging.regmind.co</w:t>
      </w:r>
      <w:r>
        <w:rPr>
          <w:rFonts w:ascii="Arial" w:cs="Arial" w:eastAsia="Arial" w:hAnsi="Arial"/>
          <w:sz w:val="22"/>
          <w:szCs w:val="22"/>
        </w:rPr>
        <w:t xml:space="preserve">). Testing covered the full client onboarding journey (portal registration, pre-screening form, document upload, AI verification) and back office operations (login, dashboard, applications, screening,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32"/>
                <w:szCs w:val="32"/>
              </w:rPr>
              <w:t xml:space="preserve">7 of 10</w:t>
            </w:r>
          </w:p>
        </w:tc>
        <w:tc>
          <w:tcPr>
            <w:tcW w:type="dxa" w:w="3120"/>
            <w:tcBorders>
              <w:top w:val="none"/>
              <w:left w:val="none"/>
              <w:bottom w:val="none"/>
              <w:right w:val="none"/>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32"/>
                <w:szCs w:val="32"/>
              </w:rPr>
              <w:t xml:space="preserve">1 Partial</w:t>
            </w:r>
          </w:p>
        </w:tc>
        <w:tc>
          <w:tcPr>
            <w:tcW w:type="dxa" w:w="3120"/>
            <w:tcBorders>
              <w:top w:val="none"/>
              <w:left w:val="none"/>
              <w:bottom w:val="none"/>
              <w:right w:val="none"/>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32"/>
                <w:szCs w:val="32"/>
              </w:rPr>
              <w:t xml:space="preserve">2 Blocked</w:t>
            </w:r>
          </w:p>
        </w:tc>
      </w:tr>
      <w:tr>
        <w:tc>
          <w:tcPr>
            <w:tcW w:type="dxa" w:w="3120"/>
            <w:tcBorders>
              <w:top w:val="none"/>
              <w:left w:val="none"/>
              <w:bottom w:val="none"/>
              <w:right w:val="none"/>
            </w:tcBorders>
            <w:tcMar>
              <w:top w:type="dxa" w:w="80"/>
              <w:left w:type="dxa" w:w="120"/>
              <w:bottom w:type="dxa" w:w="80"/>
              <w:right w:type="dxa" w:w="120"/>
            </w:tcMar>
            <w:vAlign w:val="center"/>
          </w:tcPr>
          <w:p>
            <w:pPr>
              <w:jc w:val="center"/>
            </w:pPr>
            <w:r>
              <w:rPr>
                <w:rFonts w:ascii="Arial" w:cs="Arial" w:eastAsia="Arial" w:hAnsi="Arial"/>
                <w:sz w:val="22"/>
                <w:szCs w:val="22"/>
              </w:rPr>
              <w:t xml:space="preserve">Scenarios Passed</w:t>
            </w:r>
          </w:p>
        </w:tc>
        <w:tc>
          <w:tcPr>
            <w:tcW w:type="dxa" w:w="3120"/>
            <w:tcBorders>
              <w:top w:val="none"/>
              <w:left w:val="none"/>
              <w:bottom w:val="none"/>
              <w:right w:val="none"/>
            </w:tcBorders>
            <w:tcMar>
              <w:top w:type="dxa" w:w="80"/>
              <w:left w:type="dxa" w:w="120"/>
              <w:bottom w:type="dxa" w:w="80"/>
              <w:right w:type="dxa" w:w="120"/>
            </w:tcMar>
            <w:vAlign w:val="center"/>
          </w:tcPr>
          <w:p>
            <w:pPr>
              <w:jc w:val="center"/>
            </w:pPr>
            <w:r>
              <w:rPr>
                <w:rFonts w:ascii="Arial" w:cs="Arial" w:eastAsia="Arial" w:hAnsi="Arial"/>
                <w:sz w:val="22"/>
                <w:szCs w:val="22"/>
              </w:rPr>
              <w:t xml:space="preserve">Partial Pass</w:t>
            </w:r>
          </w:p>
        </w:tc>
        <w:tc>
          <w:tcPr>
            <w:tcW w:type="dxa" w:w="3120"/>
            <w:tcBorders>
              <w:top w:val="none"/>
              <w:left w:val="none"/>
              <w:bottom w:val="none"/>
              <w:right w:val="none"/>
            </w:tcBorders>
            <w:tcMar>
              <w:top w:type="dxa" w:w="80"/>
              <w:left w:type="dxa" w:w="120"/>
              <w:bottom w:type="dxa" w:w="80"/>
              <w:right w:type="dxa" w:w="120"/>
            </w:tcMar>
            <w:vAlign w:val="center"/>
          </w:tcPr>
          <w:p>
            <w:pPr>
              <w:jc w:val="center"/>
            </w:pPr>
            <w:r>
              <w:rPr>
                <w:rFonts w:ascii="Arial" w:cs="Arial" w:eastAsia="Arial" w:hAnsi="Arial"/>
                <w:sz w:val="22"/>
                <w:szCs w:val="22"/>
              </w:rPr>
              <w:t xml:space="preserve">Blocked by Bug</w:t>
            </w:r>
          </w:p>
        </w:tc>
      </w:tr>
    </w:tbl>
    <w:p>
      <w:pPr>
        <w:spacing w:after="150"/>
      </w:pPr>
      <w:r>
        <w:rPr>
          <w:rFonts w:ascii="Arial" w:cs="Arial" w:eastAsia="Arial" w:hAnsi="Arial"/>
          <w:sz w:val="22"/>
          <w:szCs w:val="22"/>
        </w:rPr>
        <w:t xml:space="preserve"/>
      </w:r>
    </w:p>
    <w:p>
      <w:pPr>
        <w:pStyle w:val="Heading1"/>
        <w:spacing w:after="150" w:before="300"/>
      </w:pPr>
      <w:r>
        <w:rPr>
          <w:rFonts w:ascii="Arial" w:cs="Arial" w:eastAsia="Arial" w:hAnsi="Arial"/>
        </w:rPr>
        <w:t xml:space="preserve">Critical Bug: PostgreSQL Connection Pool Exhaustion</w:t>
      </w:r>
    </w:p>
    <w:p>
      <w:pPr>
        <w:spacing w:after="150"/>
      </w:pPr>
      <w:r>
        <w:rPr>
          <w:rFonts w:ascii="Arial" w:cs="Arial" w:eastAsia="Arial" w:hAnsi="Arial"/>
          <w:b/>
          <w:bCs/>
          <w:sz w:val="22"/>
          <w:szCs w:val="22"/>
        </w:rPr>
        <w:t xml:space="preserve">Root Cause: </w:t>
      </w:r>
      <w:r>
        <w:rPr>
          <w:rFonts w:ascii="Arial" w:cs="Arial" w:eastAsia="Arial" w:hAnsi="Arial"/>
          <w:color w:val="C62828"/>
          <w:sz w:val="22"/>
          <w:szCs w:val="22"/>
        </w:rPr>
        <w:t xml:space="preserve">psycopg2.pool.PoolError: connection pool exhausted</w:t>
      </w:r>
    </w:p>
    <w:p>
      <w:pPr>
        <w:spacing w:after="150"/>
      </w:pPr>
      <w:r>
        <w:rPr>
          <w:rFonts w:ascii="Arial" w:cs="Arial" w:eastAsia="Arial" w:hAnsi="Arial"/>
          <w:sz w:val="22"/>
          <w:szCs w:val="22"/>
        </w:rPr>
        <w:t xml:space="preserve">Every API endpoint that touches the database is returning HTTP 500 on the staging server. This includes officer login, application listing, screening endpoints, and Sumsub KYC integration. The connection pool is full and connections are not being released.</w:t>
      </w:r>
    </w:p>
    <w:p>
      <w:pPr>
        <w:spacing w:after="150"/>
      </w:pPr>
      <w:r>
        <w:rPr>
          <w:rFonts w:ascii="Arial" w:cs="Arial" w:eastAsia="Arial" w:hAnsi="Arial"/>
          <w:b/>
          <w:bCs/>
          <w:sz w:val="22"/>
          <w:szCs w:val="22"/>
        </w:rPr>
        <w:t xml:space="preserve">Impact: </w:t>
      </w:r>
      <w:r>
        <w:rPr>
          <w:rFonts w:ascii="Arial" w:cs="Arial" w:eastAsia="Arial" w:hAnsi="Arial"/>
          <w:sz w:val="22"/>
          <w:szCs w:val="22"/>
        </w:rPr>
        <w:t xml:space="preserve">This single issue blocks the back office from loading any real data from the API and prevents all screening/KYC operations from executing.</w:t>
      </w:r>
    </w:p>
    <w:p>
      <w:pPr>
        <w:spacing w:after="150"/>
      </w:pPr>
      <w:r>
        <w:rPr>
          <w:rFonts w:ascii="Arial" w:cs="Arial" w:eastAsia="Arial" w:hAnsi="Arial"/>
          <w:b/>
          <w:bCs/>
          <w:sz w:val="22"/>
          <w:szCs w:val="22"/>
        </w:rPr>
        <w:t xml:space="preserve">Fix: </w:t>
      </w:r>
      <w:r>
        <w:rPr>
          <w:rFonts w:ascii="Arial" w:cs="Arial" w:eastAsia="Arial" w:hAnsi="Arial"/>
          <w:sz w:val="22"/>
          <w:szCs w:val="22"/>
        </w:rPr>
        <w:t xml:space="preserve">Restart the staging service on Render to reset the pool, or increase max pool size and investigate connection leaks. The code itself is correct; this is an infrastructure/runtime issue.</w:t>
      </w:r>
    </w:p>
    <w:p>
      <w:r>
        <w:br w:type="page"/>
      </w:r>
    </w:p>
    <w:p>
      <w:pPr>
        <w:pStyle w:val="Heading1"/>
        <w:spacing w:after="150" w:before="300"/>
      </w:pPr>
      <w:r>
        <w:rPr>
          <w:rFonts w:ascii="Arial" w:cs="Arial" w:eastAsia="Arial" w:hAnsi="Arial"/>
        </w:rPr>
        <w:t xml:space="preserve">Portal Test Results (Client-Facing)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576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Portal Registration</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Registered as sarah.thompson@testcorp.com. Account created successfully, redirected to dashboard.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Pre-Screening Form</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2"/>
                <w:szCs w:val="22"/>
              </w:rPr>
              <w:t xml:space="preserve">Completed full form for </w:t>
            </w:r>
            <w:r>
              <w:rPr>
                <w:rFonts w:ascii="Arial" w:cs="Arial" w:eastAsia="Arial" w:hAnsi="Arial"/>
                <w:b/>
                <w:bCs/>
                <w:sz w:val="22"/>
                <w:szCs w:val="22"/>
              </w:rPr>
              <w:t xml:space="preserve">TestCorp Global Holdings Ltd</w:t>
            </w:r>
            <w:r>
              <w:rPr>
                <w:rFonts w:ascii="Arial" w:cs="Arial" w:eastAsia="Arial" w:hAnsi="Arial"/>
                <w:sz w:val="22"/>
                <w:szCs w:val="22"/>
              </w:rPr>
              <w:t xml:space="preserve"> — entity info, 3 directors, 2 UBOs, intermediary shareholders, cross-border payment services, financial forecasts, source of funds/wealth, target markets (Mauritius, Kenya), consent declarations. Risk score: </w:t>
            </w:r>
            <w:r>
              <w:rPr>
                <w:rFonts w:ascii="Arial" w:cs="Arial" w:eastAsia="Arial" w:hAnsi="Arial"/>
                <w:b/>
                <w:bCs/>
                <w:sz w:val="22"/>
                <w:szCs w:val="22"/>
              </w:rPr>
              <w:t xml:space="preserve">MEDIUM RISK (54.5/100)</w:t>
            </w:r>
            <w:r>
              <w:rPr>
                <w:rFonts w:ascii="Arial" w:cs="Arial" w:eastAsia="Arial" w:hAnsi="Arial"/>
                <w:sz w:val="22"/>
                <w:szCs w:val="22"/>
              </w:rPr>
              <w:t xml:space="preserve">. Pricing: Corporate Account — Standard.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Document Upload</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Uploaded test PDF for Certificate of Incorporation. File accepted and displayed with green checkmark and filename.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AI Doc Verification</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Real Claude API called (not Math.random).</w:t>
            </w:r>
            <w:r>
              <w:rPr>
                <w:rFonts w:ascii="Arial" w:cs="Arial" w:eastAsia="Arial" w:hAnsi="Arial"/>
                <w:sz w:val="22"/>
                <w:szCs w:val="22"/>
              </w:rPr>
              <w:t xml:space="preserve"> Returned detailed, contextual analysis: Entity Name Match (❌ flagged — no entity in metadata), Registration Number (✅ pass), Document Clarity (⚠️ warning — no image for visual analysis), Document Type Match (⚠️ warning — filename consistent but no visual verification). Red flags section present.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Risk Scoring</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MEDIUM RISK with composite score 54.5/100 displayed after form submission. Pricing tier correctly mapped. T&amp;C acceptance and KYC progression worked.</w:t>
            </w:r>
          </w:p>
        </w:tc>
      </w:tr>
    </w:tbl>
    <w:p>
      <w:pPr>
        <w:spacing w:after="150"/>
      </w:pPr>
      <w:r>
        <w:rPr>
          <w:rFonts w:ascii="Arial" w:cs="Arial" w:eastAsia="Arial" w:hAnsi="Arial"/>
          <w:sz w:val="22"/>
          <w:szCs w:val="22"/>
        </w:rPr>
        <w:t xml:space="preserve"/>
      </w:r>
    </w:p>
    <w:p>
      <w:pPr>
        <w:pStyle w:val="Heading1"/>
        <w:spacing w:after="150" w:before="300"/>
      </w:pPr>
      <w:r>
        <w:rPr>
          <w:rFonts w:ascii="Arial" w:cs="Arial" w:eastAsia="Arial" w:hAnsi="Arial"/>
        </w:rPr>
        <w:t xml:space="preserve">Back Office Test Results (RegMind)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576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Back Office Login</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 PARTIAL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2"/>
                <w:szCs w:val="22"/>
              </w:rPr>
              <w:t xml:space="preserve">Officer login API (/api/auth/officer/login) returns </w:t>
            </w:r>
            <w:r>
              <w:rPr>
                <w:rFonts w:ascii="Arial" w:cs="Arial" w:eastAsia="Arial" w:hAnsi="Arial"/>
                <w:color w:val="C62828"/>
                <w:sz w:val="22"/>
                <w:szCs w:val="22"/>
              </w:rPr>
              <w:t xml:space="preserve">500 Server Error</w:t>
            </w:r>
            <w:r>
              <w:rPr>
                <w:rFonts w:ascii="Arial" w:cs="Arial" w:eastAsia="Arial" w:hAnsi="Arial"/>
                <w:sz w:val="22"/>
                <w:szCs w:val="22"/>
              </w:rPr>
              <w:t xml:space="preserve"> due to connection pool exhaustion. Client-side demo fallback works with asudally@onboarda.com / Onboarda2026! but requires USERS array restoration (API overwrites it with empty array).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Application Review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 BLOCKED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2"/>
                <w:szCs w:val="22"/>
              </w:rPr>
              <w:t xml:space="preserve">Applications list empty — GET /api/applications returns </w:t>
            </w:r>
            <w:r>
              <w:rPr>
                <w:rFonts w:ascii="Arial" w:cs="Arial" w:eastAsia="Arial" w:hAnsi="Arial"/>
                <w:color w:val="C62828"/>
                <w:sz w:val="22"/>
                <w:szCs w:val="22"/>
              </w:rPr>
              <w:t xml:space="preserve">401 Unauthorized</w:t>
            </w:r>
            <w:r>
              <w:rPr>
                <w:rFonts w:ascii="Arial" w:cs="Arial" w:eastAsia="Arial" w:hAnsi="Arial"/>
                <w:sz w:val="22"/>
                <w:szCs w:val="22"/>
              </w:rPr>
              <w:t xml:space="preserve"> (demo token not accepted). TestCorp application exists in DB but cannot be viewed through back office.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AI Pipeline / Memo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 BLOCKED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Cannot trigger AI pipeline without accessing an application detail view. Blocked by the same auth/DB pool 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Onboarding Lanes</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Code fix verified. </w:t>
            </w:r>
            <w:r>
              <w:rPr>
                <w:rFonts w:ascii="Arial" w:cs="Arial" w:eastAsia="Arial" w:hAnsi="Arial"/>
                <w:sz w:val="22"/>
                <w:szCs w:val="22"/>
              </w:rPr>
              <w:t xml:space="preserve">Lanes render dynamically from APPLICATIONS data — shows Fast Lane (0), Standard Review (0), Enhanced Due Diligence (0). No hardcoded company names (MedServe, Pacific Logistics, etc.).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Reports &amp; Analytics</w:t>
            </w:r>
          </w:p>
        </w:tc>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Code fix verified. </w:t>
            </w:r>
            <w:r>
              <w:rPr>
                <w:rFonts w:ascii="Arial" w:cs="Arial" w:eastAsia="Arial" w:hAnsi="Arial"/>
                <w:sz w:val="22"/>
                <w:szCs w:val="22"/>
              </w:rPr>
              <w:t xml:space="preserve">Monthly Application Trend shows "No data", Risk Distribution shows 0 (0%) for all levels. No hardcoded buildMonthBars data. Charts render from real APPLICATIONS array.</w:t>
            </w:r>
          </w:p>
        </w:tc>
      </w:tr>
    </w:tbl>
    <w:p>
      <w:r>
        <w:br w:type="page"/>
      </w:r>
    </w:p>
    <w:p>
      <w:pPr>
        <w:pStyle w:val="Heading1"/>
        <w:spacing w:after="150" w:before="300"/>
      </w:pPr>
      <w:r>
        <w:rPr>
          <w:rFonts w:ascii="Arial" w:cs="Arial" w:eastAsia="Arial" w:hAnsi="Arial"/>
        </w:rPr>
        <w:t xml:space="preserve">Screening &amp; Sumsub Integration Status</w:t>
      </w:r>
    </w:p>
    <w:p>
      <w:pPr>
        <w:spacing w:after="150"/>
      </w:pPr>
      <w:r>
        <w:rPr>
          <w:rFonts w:ascii="Arial" w:cs="Arial" w:eastAsia="Arial" w:hAnsi="Arial"/>
          <w:sz w:val="22"/>
          <w:szCs w:val="22"/>
        </w:rPr>
        <w:t xml:space="preserve">The /api/screening/status endpoint confirms which integrations are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Configured</w:t>
            </w:r>
          </w:p>
        </w:tc>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 Execute?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Sumsub KYC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B7A3D"/>
                <w:sz w:val="22"/>
                <w:szCs w:val="22"/>
              </w:rPr>
              <w:t xml:space="preserve">✅ 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B7A3D"/>
                <w:sz w:val="22"/>
                <w:szCs w:val="22"/>
              </w:rPr>
              <w:t xml:space="preserve">Live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62828"/>
                <w:sz w:val="22"/>
                <w:szCs w:val="22"/>
              </w:rPr>
              <w:t xml:space="preserve">❌ No — DB pool exhausted before Sumsub call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IP Geolocation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B7A3D"/>
                <w:sz w:val="22"/>
                <w:szCs w:val="22"/>
              </w:rPr>
              <w:t xml:space="preserve">✅ 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B7A3D"/>
                <w:sz w:val="22"/>
                <w:szCs w:val="22"/>
              </w:rPr>
              <w:t xml:space="preserve">Live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B7A3D"/>
                <w:sz w:val="22"/>
                <w:szCs w:val="22"/>
              </w:rPr>
              <w:t xml:space="preserve">✅ Yes — returns simulated fallback gracefully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OpenSanctions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62828"/>
                <w:sz w:val="22"/>
                <w:szCs w:val="22"/>
              </w:rPr>
              <w:t xml:space="preserve">❌ 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Simulated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62828"/>
                <w:sz w:val="22"/>
                <w:szCs w:val="22"/>
              </w:rPr>
              <w:t xml:space="preserve">❌ No — DB pool exhausted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OpenCorporates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62828"/>
                <w:sz w:val="22"/>
                <w:szCs w:val="22"/>
              </w:rPr>
              <w:t xml:space="preserve">❌ 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Simulated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62828"/>
                <w:sz w:val="22"/>
                <w:szCs w:val="22"/>
              </w:rPr>
              <w:t xml:space="preserve">❌ No — DB pool exhausted</w:t>
            </w:r>
          </w:p>
        </w:tc>
      </w:tr>
    </w:tbl>
    <w:p>
      <w:pPr>
        <w:spacing w:after="150"/>
      </w:pPr>
      <w:r>
        <w:rPr>
          <w:rFonts w:ascii="Arial" w:cs="Arial" w:eastAsia="Arial" w:hAnsi="Arial"/>
          <w:sz w:val="22"/>
          <w:szCs w:val="22"/>
        </w:rPr>
        <w:t xml:space="preserve"/>
      </w:r>
    </w:p>
    <w:p>
      <w:pPr>
        <w:spacing w:after="150"/>
      </w:pPr>
      <w:r>
        <w:rPr>
          <w:rFonts w:ascii="Arial" w:cs="Arial" w:eastAsia="Arial" w:hAnsi="Arial"/>
          <w:b/>
          <w:bCs/>
          <w:sz w:val="22"/>
          <w:szCs w:val="22"/>
        </w:rPr>
        <w:t xml:space="preserve">Key finding: </w:t>
      </w:r>
      <w:r>
        <w:rPr>
          <w:rFonts w:ascii="Arial" w:cs="Arial" w:eastAsia="Arial" w:hAnsi="Arial"/>
          <w:sz w:val="22"/>
          <w:szCs w:val="22"/>
        </w:rPr>
        <w:t xml:space="preserve">Sumsub credentials (SUMSUB_APP_TOKEN and SUMSUB_SECRET_KEY) are correctly configured on staging. The code path for creating applicants, generating WebSDK tokens, and performing AML screening is properly implemented with real API calls to api.sumsub.com. However, every handler calls require_auth() and log_audit() which both hit the database — and the connection pool is exhausted, so they crash before reaching the Sumsub API call.</w:t>
      </w:r>
    </w:p>
    <w:p>
      <w:pPr>
        <w:pStyle w:val="Heading1"/>
        <w:spacing w:after="150" w:before="300"/>
      </w:pPr>
      <w:r>
        <w:rPr>
          <w:rFonts w:ascii="Arial" w:cs="Arial" w:eastAsia="Arial" w:hAnsi="Arial"/>
        </w:rPr>
        <w:t xml:space="preserve">Frontend Fix Verification</w:t>
      </w:r>
    </w:p>
    <w:p>
      <w:pPr>
        <w:spacing w:after="150"/>
      </w:pPr>
      <w:r>
        <w:rPr>
          <w:rFonts w:ascii="Arial" w:cs="Arial" w:eastAsia="Arial" w:hAnsi="Arial"/>
          <w:sz w:val="22"/>
          <w:szCs w:val="22"/>
        </w:rPr>
        <w:t xml:space="preserve">All three frontend fixes from commit 56ebc70 are confirmed working in the deployed staging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Fix 1: Real AI Doc Verification</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Portal calls POST /api/documents/ai-verify (not Math.random). Returns substantive AI analysis with entity name matching, registration number checks, document clarity assessment, and red flags.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Fix 2: Dynamic Onboarding Lanes</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Lanes render from real APPLICATIONS data with dynamic counts. No hardcoded demo company names (MedServe, Pacific Logistics, Coastal Ventures). updateOnboardingLanes() correctly filters by risk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Fix 3: Dynamic Reports</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color w:val="1B7A3D"/>
                <w:sz w:val="20"/>
                <w:szCs w:val="20"/>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Reports page uses renderReportsFromData() to build charts from APPLICATIONS array. Shows "No data" for empty dataset instead of hardcoded buildMonthBars values. Risk distribution shows 0 (0%) dynamically.</w:t>
            </w:r>
          </w:p>
        </w:tc>
      </w:tr>
    </w:tbl>
    <w:p>
      <w:pPr>
        <w:spacing w:after="150"/>
      </w:pPr>
      <w:r>
        <w:rPr>
          <w:rFonts w:ascii="Arial" w:cs="Arial" w:eastAsia="Arial" w:hAnsi="Arial"/>
          <w:sz w:val="22"/>
          <w:szCs w:val="22"/>
        </w:rPr>
        <w:t xml:space="preserve"/>
      </w:r>
    </w:p>
    <w:p>
      <w:pPr>
        <w:pStyle w:val="Heading1"/>
        <w:spacing w:after="150" w:before="300"/>
      </w:pPr>
      <w:r>
        <w:rPr>
          <w:rFonts w:ascii="Arial" w:cs="Arial" w:eastAsia="Arial" w:hAnsi="Arial"/>
        </w:rPr>
        <w:t xml:space="preserve">Recommendations</w:t>
      </w:r>
    </w:p>
    <w:p>
      <w:pPr>
        <w:pStyle w:val="Heading2"/>
        <w:spacing w:after="150" w:before="300"/>
      </w:pPr>
      <w:r>
        <w:rPr>
          <w:rFonts w:ascii="Arial" w:cs="Arial" w:eastAsia="Arial" w:hAnsi="Arial"/>
        </w:rPr>
        <w:t xml:space="preserve">Immediate (P0)</w:t>
      </w:r>
    </w:p>
    <w:p>
      <w:pPr>
        <w:pStyle w:val="ListParagraph"/>
        <w:numPr>
          <w:ilvl w:val="0"/>
          <w:numId w:val="2"/>
        </w:numPr>
      </w:pPr>
      <w:r>
        <w:rPr>
          <w:rFonts w:ascii="Arial" w:cs="Arial" w:eastAsia="Arial" w:hAnsi="Arial"/>
          <w:b/>
          <w:bCs/>
          <w:sz w:val="22"/>
          <w:szCs w:val="22"/>
        </w:rPr>
        <w:t xml:space="preserve">Restart staging service on Render </w:t>
      </w:r>
      <w:r>
        <w:rPr>
          <w:rFonts w:ascii="Arial" w:cs="Arial" w:eastAsia="Arial" w:hAnsi="Arial"/>
          <w:sz w:val="22"/>
          <w:szCs w:val="22"/>
        </w:rPr>
        <w:t xml:space="preserve">to reset the PostgreSQL connection pool. This will unblock all back office API endpoints, screening, and Sumsub integration.</w:t>
      </w:r>
    </w:p>
    <w:p>
      <w:pPr>
        <w:pStyle w:val="ListParagraph"/>
        <w:numPr>
          <w:ilvl w:val="0"/>
          <w:numId w:val="2"/>
        </w:numPr>
      </w:pPr>
      <w:r>
        <w:rPr>
          <w:rFonts w:ascii="Arial" w:cs="Arial" w:eastAsia="Arial" w:hAnsi="Arial"/>
          <w:b/>
          <w:bCs/>
          <w:sz w:val="22"/>
          <w:szCs w:val="22"/>
        </w:rPr>
        <w:t xml:space="preserve">Investigate connection leak </w:t>
      </w:r>
      <w:r>
        <w:rPr>
          <w:rFonts w:ascii="Arial" w:cs="Arial" w:eastAsia="Arial" w:hAnsi="Arial"/>
          <w:sz w:val="22"/>
          <w:szCs w:val="22"/>
        </w:rPr>
        <w:t xml:space="preserve">— the pool is being exhausted, likely from connections not being properly released. Check that get_db() connections are always closed in finally blocks, especially in error paths.</w:t>
      </w:r>
    </w:p>
    <w:p>
      <w:pPr>
        <w:pStyle w:val="Heading2"/>
        <w:spacing w:after="150" w:before="300"/>
      </w:pPr>
      <w:r>
        <w:rPr>
          <w:rFonts w:ascii="Arial" w:cs="Arial" w:eastAsia="Arial" w:hAnsi="Arial"/>
        </w:rPr>
        <w:t xml:space="preserve">Short-Term (P1)</w:t>
      </w:r>
    </w:p>
    <w:p>
      <w:pPr>
        <w:pStyle w:val="ListParagraph"/>
        <w:numPr>
          <w:ilvl w:val="0"/>
          <w:numId w:val="2"/>
        </w:numPr>
      </w:pPr>
      <w:r>
        <w:rPr>
          <w:rFonts w:ascii="Arial" w:cs="Arial" w:eastAsia="Arial" w:hAnsi="Arial"/>
          <w:b/>
          <w:bCs/>
          <w:sz w:val="22"/>
          <w:szCs w:val="22"/>
        </w:rPr>
        <w:t xml:space="preserve">Fix USERS array overwrite bug </w:t>
      </w:r>
      <w:r>
        <w:rPr>
          <w:rFonts w:ascii="Arial" w:cs="Arial" w:eastAsia="Arial" w:hAnsi="Arial"/>
          <w:sz w:val="22"/>
          <w:szCs w:val="22"/>
        </w:rPr>
        <w:t xml:space="preserve">in arie-backoffice.html. When the API returns an empty users list, it overwrites the default USERS array, breaking the demo/offline login fallback. Add a guard: only overwrite if API returns non-empty data.</w:t>
      </w:r>
    </w:p>
    <w:p>
      <w:pPr>
        <w:pStyle w:val="ListParagraph"/>
        <w:numPr>
          <w:ilvl w:val="0"/>
          <w:numId w:val="2"/>
        </w:numPr>
      </w:pPr>
      <w:r>
        <w:rPr>
          <w:rFonts w:ascii="Arial" w:cs="Arial" w:eastAsia="Arial" w:hAnsi="Arial"/>
          <w:b/>
          <w:bCs/>
          <w:sz w:val="22"/>
          <w:szCs w:val="22"/>
        </w:rPr>
        <w:t xml:space="preserve">Seed officer accounts on staging </w:t>
      </w:r>
      <w:r>
        <w:rPr>
          <w:rFonts w:ascii="Arial" w:cs="Arial" w:eastAsia="Arial" w:hAnsi="Arial"/>
          <w:sz w:val="22"/>
          <w:szCs w:val="22"/>
        </w:rPr>
        <w:t xml:space="preserve">— ensure at least one admin user exists in the staging database so the officer login API works properly even after a fresh DB reset.</w:t>
      </w:r>
    </w:p>
    <w:p>
      <w:pPr>
        <w:pStyle w:val="ListParagraph"/>
        <w:numPr>
          <w:ilvl w:val="0"/>
          <w:numId w:val="2"/>
        </w:numPr>
      </w:pPr>
      <w:r>
        <w:rPr>
          <w:rFonts w:ascii="Arial" w:cs="Arial" w:eastAsia="Arial" w:hAnsi="Arial"/>
          <w:b/>
          <w:bCs/>
          <w:sz w:val="22"/>
          <w:szCs w:val="22"/>
        </w:rPr>
        <w:t xml:space="preserve">Increase connection pool size </w:t>
      </w:r>
      <w:r>
        <w:rPr>
          <w:rFonts w:ascii="Arial" w:cs="Arial" w:eastAsia="Arial" w:hAnsi="Arial"/>
          <w:sz w:val="22"/>
          <w:szCs w:val="22"/>
        </w:rPr>
        <w:t xml:space="preserve">or configure pool recycling in the psycopg2 configuration to prevent future exhaustion.</w:t>
      </w:r>
    </w:p>
    <w:p>
      <w:pPr>
        <w:pStyle w:val="Heading2"/>
        <w:spacing w:after="150" w:before="300"/>
      </w:pPr>
      <w:r>
        <w:rPr>
          <w:rFonts w:ascii="Arial" w:cs="Arial" w:eastAsia="Arial" w:hAnsi="Arial"/>
        </w:rPr>
        <w:t xml:space="preserve">Post-Fix Re-Test</w:t>
      </w:r>
    </w:p>
    <w:p>
      <w:pPr>
        <w:spacing w:after="150"/>
      </w:pPr>
      <w:r>
        <w:rPr>
          <w:rFonts w:ascii="Arial" w:cs="Arial" w:eastAsia="Arial" w:hAnsi="Arial"/>
          <w:sz w:val="22"/>
          <w:szCs w:val="22"/>
        </w:rPr>
        <w:t xml:space="preserve">After resolving the DB pool issue, re-test the 3 blocked/partial scenarios: officer login (real API), application review with TestCorp data, AI pipeline/compliance memo generation, and Sumsub screening end-to-end.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Onboarda / RegMind — E2E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2026-03-26T15:51:12.475Z</dcterms:created>
  <dcterms:modified xsi:type="dcterms:W3CDTF">2026-03-26T15:51:12.482Z</dcterms:modified>
</cp:coreProperties>
</file>

<file path=docProps/custom.xml><?xml version="1.0" encoding="utf-8"?>
<Properties xmlns="http://schemas.openxmlformats.org/officeDocument/2006/custom-properties" xmlns:vt="http://schemas.openxmlformats.org/officeDocument/2006/docPropsVTypes"/>
</file>