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rFonts w:ascii="Arial" w:cs="Arial" w:eastAsia="Arial" w:hAnsi="Arial"/>
          <w:b/>
          <w:bCs/>
          <w:color w:val="95A5A6"/>
          <w:sz w:val="20"/>
          <w:szCs w:val="20"/>
        </w:rPr>
        <w:t xml:space="preserve">CONFIDENTIAL</w:t>
      </w:r>
    </w:p>
    <w:p>
      <w:pPr>
        <w:spacing w:after="400"/>
      </w:pPr>
    </w:p>
    <w:p>
      <w:pPr>
        <w:jc w:val="center"/>
      </w:pPr>
      <w:r>
        <w:rPr>
          <w:rFonts w:ascii="Arial" w:cs="Arial" w:eastAsia="Arial" w:hAnsi="Arial"/>
          <w:b/>
          <w:bCs/>
          <w:color w:val="1B3A5C"/>
          <w:sz w:val="56"/>
          <w:szCs w:val="56"/>
        </w:rPr>
        <w:t xml:space="preserve">ONBOARDA</w:t>
      </w:r>
    </w:p>
    <w:p>
      <w:pPr>
        <w:spacing w:after="120"/>
        <w:jc w:val="center"/>
      </w:pPr>
      <w:r>
        <w:rPr>
          <w:rFonts w:ascii="Arial" w:cs="Arial" w:eastAsia="Arial" w:hAnsi="Arial"/>
          <w:i/>
          <w:iCs/>
          <w:color w:val="2980B9"/>
          <w:sz w:val="26"/>
          <w:szCs w:val="26"/>
        </w:rPr>
        <w:t xml:space="preserve">Powered by RegMind</w:t>
      </w:r>
    </w:p>
    <w:p>
      <w:pPr>
        <w:spacing w:after="200"/>
      </w:pPr>
    </w:p>
    <w:p>
      <w:pPr>
        <w:jc w:val="center"/>
      </w:pPr>
      <w:r>
        <w:rPr>
          <w:rFonts w:ascii="Arial" w:cs="Arial" w:eastAsia="Arial" w:hAnsi="Arial"/>
          <w:color w:val="2C3E50"/>
          <w:sz w:val="32"/>
          <w:szCs w:val="32"/>
        </w:rPr>
        <w:t xml:space="preserve">Product &amp; Technical Specification Report</w:t>
      </w:r>
    </w:p>
    <w:p>
      <w:pPr>
        <w:spacing w:after="100"/>
      </w:pPr>
    </w:p>
    <w:p>
      <w:pPr>
        <w:jc w:val="center"/>
      </w:pPr>
      <w:r>
        <w:rPr>
          <w:rFonts w:ascii="Arial" w:cs="Arial" w:eastAsia="Arial" w:hAnsi="Arial"/>
          <w:color w:val="95A5A6"/>
          <w:sz w:val="22"/>
          <w:szCs w:val="22"/>
        </w:rPr>
        <w:t xml:space="preserve">Investor-Grade  |  March 2026</w:t>
      </w:r>
    </w:p>
    <w:p>
      <w:pPr>
        <w:spacing w:after="1400"/>
      </w:pPr>
    </w:p>
    <w:p>
      <w:pPr>
        <w:spacing w:after="80"/>
        <w:jc w:val="center"/>
      </w:pPr>
      <w:r>
        <w:rPr>
          <w:rFonts w:ascii="Arial" w:cs="Arial" w:eastAsia="Arial" w:hAnsi="Arial"/>
          <w:color w:val="95A5A6"/>
          <w:sz w:val="20"/>
          <w:szCs w:val="20"/>
        </w:rPr>
        <w:t xml:space="preserve">Prepared for: Investors, Technical Advisors &amp; Enterprise Partners</w:t>
      </w:r>
    </w:p>
    <w:p>
      <w:pPr>
        <w:jc w:val="center"/>
      </w:pPr>
      <w:r>
        <w:rPr>
          <w:rFonts w:ascii="Arial" w:cs="Arial" w:eastAsia="Arial" w:hAnsi="Arial"/>
          <w:color w:val="95A5A6"/>
          <w:sz w:val="20"/>
          <w:szCs w:val="20"/>
        </w:rPr>
        <w:t xml:space="preserve">Onboarda Ltd  —  Classification: CONFIDENTIAL</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40" w:before="0"/>
      </w:pPr>
      <w:r>
        <w:rPr>
          <w:rFonts w:ascii="Arial" w:cs="Arial" w:eastAsia="Arial" w:hAnsi="Arial"/>
          <w:color w:val="2C3E50"/>
          <w:sz w:val="22"/>
          <w:szCs w:val="22"/>
        </w:rPr>
        <w:t xml:space="preserve">Onboarda is an AI-powered compliance onboarding platform designed for regulated financial institutions. It combines deterministic risk scoring with AI-generated compliance analysis to automate KYC/AML onboarding — a process that today costs banks an average of $2,000–$50,000 per corporate client and takes 30–90 days.</w:t>
      </w:r>
    </w:p>
    <w:p>
      <w:pPr>
        <w:spacing w:after="60"/>
      </w:pPr>
    </w:p>
    <w:p>
      <w:pPr>
        <w:spacing w:after="100"/>
      </w:pPr>
      <w:r>
        <w:rPr>
          <w:rFonts w:ascii="Arial" w:cs="Arial" w:eastAsia="Arial" w:hAnsi="Arial"/>
          <w:b/>
          <w:bCs/>
          <w:color w:val="2C3E50"/>
          <w:sz w:val="22"/>
          <w:szCs w:val="22"/>
        </w:rPr>
        <w:t xml:space="preserve">The Problem: </w:t>
      </w:r>
      <w:r>
        <w:rPr>
          <w:rFonts w:ascii="Arial" w:cs="Arial" w:eastAsia="Arial" w:hAnsi="Arial"/>
          <w:color w:val="2C3E50"/>
          <w:sz w:val="22"/>
          <w:szCs w:val="22"/>
        </w:rPr>
        <w:t xml:space="preserve">Global compliance costs now exceed $274 billion annually. Manual onboarding workflows are slow, error-prone, and fail to scale. Compliance teams struggle with rising regulatory complexity, inconsistent decision-making, and audit trail gaps.</w:t>
      </w:r>
    </w:p>
    <w:p>
      <w:pPr>
        <w:spacing w:after="60"/>
      </w:pPr>
    </w:p>
    <w:p>
      <w:pPr>
        <w:spacing w:after="100"/>
      </w:pPr>
      <w:r>
        <w:rPr>
          <w:rFonts w:ascii="Arial" w:cs="Arial" w:eastAsia="Arial" w:hAnsi="Arial"/>
          <w:b/>
          <w:bCs/>
          <w:color w:val="2C3E50"/>
          <w:sz w:val="22"/>
          <w:szCs w:val="22"/>
        </w:rPr>
        <w:t xml:space="preserve">The Solution: </w:t>
      </w:r>
      <w:r>
        <w:rPr>
          <w:rFonts w:ascii="Arial" w:cs="Arial" w:eastAsia="Arial" w:hAnsi="Arial"/>
          <w:color w:val="2C3E50"/>
          <w:sz w:val="22"/>
          <w:szCs w:val="22"/>
        </w:rPr>
        <w:t xml:space="preserve">Onboarda replaces fragmented manual processes with a structured, four-layer compliance pipeline that ensures every decision is deterministic, auditable, and AI-augmented — not AI-decided. The platform delivers compliance memos, risk scores, and approval workflows in minutes rather than weeks.</w:t>
      </w:r>
    </w:p>
    <w:p>
      <w:pPr>
        <w:spacing w:after="60"/>
      </w:pPr>
    </w:p>
    <w:p>
      <w:pPr>
        <w:spacing w:after="100"/>
      </w:pPr>
      <w:r>
        <w:rPr>
          <w:rFonts w:ascii="Arial" w:cs="Arial" w:eastAsia="Arial" w:hAnsi="Arial"/>
          <w:b/>
          <w:bCs/>
          <w:color w:val="2C3E50"/>
          <w:sz w:val="22"/>
          <w:szCs w:val="22"/>
        </w:rPr>
        <w:t xml:space="preserve">Why Now: </w:t>
      </w:r>
      <w:r>
        <w:rPr>
          <w:rFonts w:ascii="Arial" w:cs="Arial" w:eastAsia="Arial" w:hAnsi="Arial"/>
          <w:color w:val="2C3E50"/>
          <w:sz w:val="22"/>
          <w:szCs w:val="22"/>
        </w:rPr>
        <w:t xml:space="preserve">Regulators globally are tightening AML enforcement. The Bank of Mauritius, FATF, and EU’s 6AMLD all mandate more rigorous onboarding controls. Institutions need technology that meets these standards without multiplying headcount.</w:t>
      </w:r>
    </w:p>
    <w:p>
      <w:pPr>
        <w:spacing w:after="60"/>
      </w:pPr>
    </w:p>
    <w:p>
      <w:pPr>
        <w:spacing w:after="100"/>
      </w:pPr>
      <w:r>
        <w:rPr>
          <w:rFonts w:ascii="Arial" w:cs="Arial" w:eastAsia="Arial" w:hAnsi="Arial"/>
          <w:b/>
          <w:bCs/>
          <w:color w:val="2C3E50"/>
          <w:sz w:val="22"/>
          <w:szCs w:val="22"/>
        </w:rPr>
        <w:t xml:space="preserve">Technical Strength: </w:t>
      </w:r>
      <w:r>
        <w:rPr>
          <w:rFonts w:ascii="Arial" w:cs="Arial" w:eastAsia="Arial" w:hAnsi="Arial"/>
          <w:color w:val="2C3E50"/>
          <w:sz w:val="22"/>
          <w:szCs w:val="22"/>
        </w:rPr>
        <w:t xml:space="preserve">16,851 lines of production-grade Python across 24 modules, 206 tests at 100% pass rate, a CI/CD pipeline with Docker validation, and security controls (httpOnly cookies, CSRF protection, token revocation) that exceed typical seed-stage maturity.</w:t>
      </w:r>
    </w:p>
    <w:p>
      <w:r>
        <w:br w:type="page"/>
      </w:r>
    </w:p>
    <w:p>
      <w:pPr>
        <w:pStyle w:val="Heading1"/>
      </w:pPr>
      <w:r>
        <w:t xml:space="preserve">2. Product Overview</w:t>
      </w:r>
    </w:p>
    <w:p>
      <w:pPr>
        <w:pStyle w:val="Heading2"/>
      </w:pPr>
      <w:r>
        <w:t xml:space="preserve">2.1 Dual-Brand Architecture</w:t>
      </w:r>
    </w:p>
    <w:p>
      <w:pPr>
        <w:spacing w:after="140" w:before="0"/>
      </w:pPr>
      <w:r>
        <w:rPr>
          <w:rFonts w:ascii="Arial" w:cs="Arial" w:eastAsia="Arial" w:hAnsi="Arial"/>
          <w:color w:val="2C3E50"/>
          <w:sz w:val="22"/>
          <w:szCs w:val="22"/>
        </w:rPr>
        <w:t xml:space="preserve">The platform operates under two complementary identities, each serving a distinct user persona:</w:t>
      </w:r>
    </w:p>
    <w:p>
      <w:pPr>
        <w:pStyle w:val="ListParagraph"/>
        <w:numPr>
          <w:ilvl w:val="0"/>
          <w:numId w:val="2"/>
        </w:numPr>
        <w:spacing w:after="60"/>
      </w:pPr>
      <w:r>
        <w:rPr>
          <w:rFonts w:ascii="Arial" w:cs="Arial" w:eastAsia="Arial" w:hAnsi="Arial"/>
          <w:color w:val="2C3E50"/>
          <w:sz w:val="22"/>
          <w:szCs w:val="22"/>
        </w:rPr>
        <w:t xml:space="preserve">Onboarda — The client-facing portal where businesses submit onboarding applications, upload documents, and track their compliance status in real time. It is the external identity of the platform.</w:t>
      </w:r>
    </w:p>
    <w:p>
      <w:pPr>
        <w:pStyle w:val="ListParagraph"/>
        <w:numPr>
          <w:ilvl w:val="0"/>
          <w:numId w:val="2"/>
        </w:numPr>
        <w:spacing w:after="60"/>
      </w:pPr>
      <w:r>
        <w:rPr>
          <w:rFonts w:ascii="Arial" w:cs="Arial" w:eastAsia="Arial" w:hAnsi="Arial"/>
          <w:color w:val="2C3E50"/>
          <w:sz w:val="22"/>
          <w:szCs w:val="22"/>
        </w:rPr>
        <w:t xml:space="preserve">RegMind — The back-office compliance engine where compliance officers review applications, examine risk scores, manage approval workflows, and generate audit reports. It is the internal analytical brain.</w:t>
      </w:r>
    </w:p>
    <w:p>
      <w:pPr>
        <w:spacing w:after="60"/>
      </w:pPr>
    </w:p>
    <w:p>
      <w:pPr>
        <w:pStyle w:val="Heading2"/>
      </w:pPr>
      <w:r>
        <w:t xml:space="preserve">2.2 End-to-End Workflow</w:t>
      </w:r>
    </w:p>
    <w:p>
      <w:pPr>
        <w:spacing w:after="140" w:before="0"/>
      </w:pPr>
      <w:r>
        <w:rPr>
          <w:rFonts w:ascii="Arial" w:cs="Arial" w:eastAsia="Arial" w:hAnsi="Arial"/>
          <w:color w:val="2C3E50"/>
          <w:sz w:val="22"/>
          <w:szCs w:val="22"/>
        </w:rPr>
        <w:t xml:space="preserve">A typical onboarding follows a structured five-stage process:</w:t>
      </w:r>
    </w:p>
    <w:p>
      <w:pPr>
        <w:pStyle w:val="ListParagraph"/>
        <w:numPr>
          <w:ilvl w:val="0"/>
          <w:numId w:val="3"/>
        </w:numPr>
        <w:spacing w:after="60"/>
      </w:pPr>
      <w:r>
        <w:rPr>
          <w:rFonts w:ascii="Arial" w:cs="Arial" w:eastAsia="Arial" w:hAnsi="Arial"/>
          <w:color w:val="2C3E50"/>
          <w:sz w:val="22"/>
          <w:szCs w:val="22"/>
        </w:rPr>
        <w:t xml:space="preserve">Application Submission: The client enters company details, UBO information, and supporting documents via the Onboarda portal.</w:t>
      </w:r>
    </w:p>
    <w:p>
      <w:pPr>
        <w:pStyle w:val="ListParagraph"/>
        <w:numPr>
          <w:ilvl w:val="0"/>
          <w:numId w:val="3"/>
        </w:numPr>
        <w:spacing w:after="60"/>
      </w:pPr>
      <w:r>
        <w:rPr>
          <w:rFonts w:ascii="Arial" w:cs="Arial" w:eastAsia="Arial" w:hAnsi="Arial"/>
          <w:color w:val="2C3E50"/>
          <w:sz w:val="22"/>
          <w:szCs w:val="22"/>
        </w:rPr>
        <w:t xml:space="preserve">Automated Risk Scoring: RegMind’s Rule Engine evaluates the application across seven risk dimensions (jurisdiction, sector, UBO structure, PEP status, source of funds, transaction patterns, and document completeness) to produce a deterministic risk score.</w:t>
      </w:r>
    </w:p>
    <w:p>
      <w:pPr>
        <w:pStyle w:val="ListParagraph"/>
        <w:numPr>
          <w:ilvl w:val="0"/>
          <w:numId w:val="3"/>
        </w:numPr>
        <w:spacing w:after="60"/>
      </w:pPr>
      <w:r>
        <w:rPr>
          <w:rFonts w:ascii="Arial" w:cs="Arial" w:eastAsia="Arial" w:hAnsi="Arial"/>
          <w:color w:val="2C3E50"/>
          <w:sz w:val="22"/>
          <w:szCs w:val="22"/>
        </w:rPr>
        <w:t xml:space="preserve">AI Memo Generation: Based on the risk profile, the platform generates a structured compliance memo using Claude AI, with model selection determined by risk severity — Sonnet for routine cases, Opus for complex or high-risk cases.</w:t>
      </w:r>
    </w:p>
    <w:p>
      <w:pPr>
        <w:pStyle w:val="ListParagraph"/>
        <w:numPr>
          <w:ilvl w:val="0"/>
          <w:numId w:val="3"/>
        </w:numPr>
        <w:spacing w:after="60"/>
      </w:pPr>
      <w:r>
        <w:rPr>
          <w:rFonts w:ascii="Arial" w:cs="Arial" w:eastAsia="Arial" w:hAnsi="Arial"/>
          <w:color w:val="2C3E50"/>
          <w:sz w:val="22"/>
          <w:szCs w:val="22"/>
        </w:rPr>
        <w:t xml:space="preserve">Validation &amp; Cross-Check: The Validation Engine compares the AI-generated narrative against deterministic rule outputs, flagging any contradictions or gaps for human review.</w:t>
      </w:r>
    </w:p>
    <w:p>
      <w:pPr>
        <w:pStyle w:val="ListParagraph"/>
        <w:numPr>
          <w:ilvl w:val="0"/>
          <w:numId w:val="3"/>
        </w:numPr>
        <w:spacing w:after="60"/>
      </w:pPr>
      <w:r>
        <w:rPr>
          <w:rFonts w:ascii="Arial" w:cs="Arial" w:eastAsia="Arial" w:hAnsi="Arial"/>
          <w:color w:val="2C3E50"/>
          <w:sz w:val="22"/>
          <w:szCs w:val="22"/>
        </w:rPr>
        <w:t xml:space="preserve">Supervisor Approval: A compliance officer reviews the complete package (risk score, AI memo, validation results) and makes the final decision, with full audit trail logging of every action and override.</w:t>
      </w:r>
    </w:p>
    <w:p>
      <w:pPr>
        <w:spacing w:after="60"/>
      </w:pPr>
    </w:p>
    <w:p>
      <w:pPr>
        <w:pStyle w:val="Heading2"/>
      </w:pPr>
      <w:r>
        <w:t xml:space="preserve">2.3 User Interaction Model</w:t>
      </w:r>
    </w:p>
    <w:p>
      <w:pPr>
        <w:pStyle w:val="ListParagraph"/>
        <w:numPr>
          <w:ilvl w:val="0"/>
          <w:numId w:val="4"/>
        </w:numPr>
        <w:spacing w:after="60"/>
      </w:pPr>
      <w:r>
        <w:rPr>
          <w:rFonts w:ascii="Arial" w:cs="Arial" w:eastAsia="Arial" w:hAnsi="Arial"/>
          <w:color w:val="2C3E50"/>
          <w:sz w:val="22"/>
          <w:szCs w:val="22"/>
        </w:rPr>
        <w:t xml:space="preserve">Clients interact exclusively through the Onboarda portal — a clean, guided interface designed for non-technical business users.</w:t>
      </w:r>
    </w:p>
    <w:p>
      <w:pPr>
        <w:pStyle w:val="ListParagraph"/>
        <w:numPr>
          <w:ilvl w:val="0"/>
          <w:numId w:val="4"/>
        </w:numPr>
        <w:spacing w:after="60"/>
      </w:pPr>
      <w:r>
        <w:rPr>
          <w:rFonts w:ascii="Arial" w:cs="Arial" w:eastAsia="Arial" w:hAnsi="Arial"/>
          <w:color w:val="2C3E50"/>
          <w:sz w:val="22"/>
          <w:szCs w:val="22"/>
        </w:rPr>
        <w:t xml:space="preserve">Compliance Officers work within the RegMind back office — a data-rich dashboard with case management, risk visualisation, and supervisor controls.</w:t>
      </w:r>
    </w:p>
    <w:p>
      <w:pPr>
        <w:pStyle w:val="ListParagraph"/>
        <w:numPr>
          <w:ilvl w:val="0"/>
          <w:numId w:val="4"/>
        </w:numPr>
        <w:spacing w:after="60"/>
      </w:pPr>
      <w:r>
        <w:rPr>
          <w:rFonts w:ascii="Arial" w:cs="Arial" w:eastAsia="Arial" w:hAnsi="Arial"/>
          <w:color w:val="2C3E50"/>
          <w:sz w:val="22"/>
          <w:szCs w:val="22"/>
        </w:rPr>
        <w:t xml:space="preserve">Both interfaces communicate with the same backend API, ensuring data consistency and real-time status synchronisation.</w:t>
      </w:r>
    </w:p>
    <w:p>
      <w:r>
        <w:br w:type="page"/>
      </w:r>
    </w:p>
    <w:p>
      <w:pPr>
        <w:pStyle w:val="Heading1"/>
      </w:pPr>
      <w:r>
        <w:t xml:space="preserve">3. Problem Statement</w:t>
      </w:r>
    </w:p>
    <w:p>
      <w:pPr>
        <w:pStyle w:val="Heading2"/>
      </w:pPr>
      <w:r>
        <w:t xml:space="preserve">3.1 Compliance Onboarding Inefficiencies</w:t>
      </w:r>
    </w:p>
    <w:p>
      <w:pPr>
        <w:spacing w:after="140" w:before="0"/>
      </w:pPr>
      <w:r>
        <w:rPr>
          <w:rFonts w:ascii="Arial" w:cs="Arial" w:eastAsia="Arial" w:hAnsi="Arial"/>
          <w:color w:val="2C3E50"/>
          <w:sz w:val="22"/>
          <w:szCs w:val="22"/>
        </w:rPr>
        <w:t xml:space="preserve">Financial institutions face a compounding set of challenges in client onboarding. The average corporate KYC process takes 30–90 days, involves 5–10 internal handoffs, and frequently requires clients to resubmit documentation multiple times. This creates client friction, operational drag, and revenue delays.</w:t>
      </w:r>
    </w:p>
    <w:p>
      <w:pPr>
        <w:spacing w:after="60"/>
      </w:pPr>
    </w:p>
    <w:p>
      <w:pPr>
        <w:pStyle w:val="Heading2"/>
      </w:pPr>
      <w:r>
        <w:t xml:space="preserve">3.2 Regulatory Pressure</w:t>
      </w:r>
    </w:p>
    <w:p>
      <w:pPr>
        <w:spacing w:after="140" w:before="0"/>
      </w:pPr>
      <w:r>
        <w:rPr>
          <w:rFonts w:ascii="Arial" w:cs="Arial" w:eastAsia="Arial" w:hAnsi="Arial"/>
          <w:color w:val="2C3E50"/>
          <w:sz w:val="22"/>
          <w:szCs w:val="22"/>
        </w:rPr>
        <w:t xml:space="preserve">Regulatory bodies worldwide are intensifying AML/CFT enforcement. The FATF mutual evaluation cycle, EU’s 6th Anti-Money Laundering Directive, and the Bank of Mauritius’s updated guidelines all mandate enhanced due diligence, ongoing monitoring, and comprehensive risk-based approaches. Institutions that fail to comply face escalating fines — global AML penalties exceeded $5 billion in 2024.</w:t>
      </w:r>
    </w:p>
    <w:p>
      <w:pPr>
        <w:spacing w:after="60"/>
      </w:pPr>
    </w:p>
    <w:p>
      <w:pPr>
        <w:pStyle w:val="Heading2"/>
      </w:pPr>
      <w:r>
        <w:t xml:space="preserve">3.3 Operational Bottlenecks</w:t>
      </w:r>
    </w:p>
    <w:p>
      <w:pPr>
        <w:pStyle w:val="ListParagraph"/>
        <w:numPr>
          <w:ilvl w:val="0"/>
          <w:numId w:val="5"/>
        </w:numPr>
        <w:spacing w:after="60"/>
      </w:pPr>
      <w:r>
        <w:rPr>
          <w:rFonts w:ascii="Arial" w:cs="Arial" w:eastAsia="Arial" w:hAnsi="Arial"/>
          <w:color w:val="2C3E50"/>
          <w:sz w:val="22"/>
          <w:szCs w:val="22"/>
        </w:rPr>
        <w:t xml:space="preserve">Manual risk assessments produce inconsistent outcomes across different officers.</w:t>
      </w:r>
    </w:p>
    <w:p>
      <w:pPr>
        <w:pStyle w:val="ListParagraph"/>
        <w:numPr>
          <w:ilvl w:val="0"/>
          <w:numId w:val="5"/>
        </w:numPr>
        <w:spacing w:after="60"/>
      </w:pPr>
      <w:r>
        <w:rPr>
          <w:rFonts w:ascii="Arial" w:cs="Arial" w:eastAsia="Arial" w:hAnsi="Arial"/>
          <w:color w:val="2C3E50"/>
          <w:sz w:val="22"/>
          <w:szCs w:val="22"/>
        </w:rPr>
        <w:t xml:space="preserve">Compliance memos are written from scratch for each case, consuming 2–8 hours per application.</w:t>
      </w:r>
    </w:p>
    <w:p>
      <w:pPr>
        <w:pStyle w:val="ListParagraph"/>
        <w:numPr>
          <w:ilvl w:val="0"/>
          <w:numId w:val="5"/>
        </w:numPr>
        <w:spacing w:after="60"/>
      </w:pPr>
      <w:r>
        <w:rPr>
          <w:rFonts w:ascii="Arial" w:cs="Arial" w:eastAsia="Arial" w:hAnsi="Arial"/>
          <w:color w:val="2C3E50"/>
          <w:sz w:val="22"/>
          <w:szCs w:val="22"/>
        </w:rPr>
        <w:t xml:space="preserve">Audit trails are fragmented across emails, spreadsheets, and legacy systems.</w:t>
      </w:r>
    </w:p>
    <w:p>
      <w:pPr>
        <w:pStyle w:val="ListParagraph"/>
        <w:numPr>
          <w:ilvl w:val="0"/>
          <w:numId w:val="5"/>
        </w:numPr>
        <w:spacing w:after="60"/>
      </w:pPr>
      <w:r>
        <w:rPr>
          <w:rFonts w:ascii="Arial" w:cs="Arial" w:eastAsia="Arial" w:hAnsi="Arial"/>
          <w:color w:val="2C3E50"/>
          <w:sz w:val="22"/>
          <w:szCs w:val="22"/>
        </w:rPr>
        <w:t xml:space="preserve">No single source of truth exists for compliance decisions.</w:t>
      </w:r>
    </w:p>
    <w:p>
      <w:pPr>
        <w:pStyle w:val="ListParagraph"/>
        <w:numPr>
          <w:ilvl w:val="0"/>
          <w:numId w:val="5"/>
        </w:numPr>
        <w:spacing w:after="60"/>
      </w:pPr>
      <w:r>
        <w:rPr>
          <w:rFonts w:ascii="Arial" w:cs="Arial" w:eastAsia="Arial" w:hAnsi="Arial"/>
          <w:color w:val="2C3E50"/>
          <w:sz w:val="22"/>
          <w:szCs w:val="22"/>
        </w:rPr>
        <w:t xml:space="preserve">Scaling compliance teams linearly with client volume is economically unsustainable.</w:t>
      </w:r>
    </w:p>
    <w:p>
      <w:r>
        <w:br w:type="page"/>
      </w:r>
    </w:p>
    <w:p>
      <w:pPr>
        <w:pStyle w:val="Heading1"/>
      </w:pPr>
      <w:r>
        <w:t xml:space="preserve">4. Solution Overview</w:t>
      </w:r>
    </w:p>
    <w:p>
      <w:pPr>
        <w:pStyle w:val="Heading2"/>
      </w:pPr>
      <w:r>
        <w:t xml:space="preserve">4.1 How Onboarda Solves These Issues</w:t>
      </w:r>
    </w:p>
    <w:p>
      <w:pPr>
        <w:spacing w:after="140" w:before="0"/>
      </w:pPr>
      <w:r>
        <w:rPr>
          <w:rFonts w:ascii="Arial" w:cs="Arial" w:eastAsia="Arial" w:hAnsi="Arial"/>
          <w:color w:val="2C3E50"/>
          <w:sz w:val="22"/>
          <w:szCs w:val="22"/>
        </w:rPr>
        <w:t xml:space="preserve">Onboarda replaces the fragmented manual workflow with a unified, four-layer compliance pipeline. Each layer serves a specific function, and together they deliver a complete, auditable compliance assessment without removing human judgment from the final decision.</w:t>
      </w:r>
    </w:p>
    <w:p>
      <w:pPr>
        <w:spacing w:after="60"/>
      </w:pPr>
    </w:p>
    <w:p>
      <w:pPr>
        <w:pStyle w:val="Heading2"/>
      </w:pPr>
      <w:r>
        <w:t xml:space="preserve">4.2 Core Workflow</w:t>
      </w:r>
    </w:p>
    <w:p>
      <w:pPr>
        <w:pStyle w:val="ListParagraph"/>
        <w:numPr>
          <w:ilvl w:val="0"/>
          <w:numId w:val="6"/>
        </w:numPr>
        <w:spacing w:after="60"/>
      </w:pPr>
      <w:r>
        <w:rPr>
          <w:rFonts w:ascii="Arial" w:cs="Arial" w:eastAsia="Arial" w:hAnsi="Arial"/>
          <w:color w:val="2C3E50"/>
          <w:sz w:val="22"/>
          <w:szCs w:val="22"/>
        </w:rPr>
        <w:t xml:space="preserve">Data ingestion and document processing automate the collection phase.</w:t>
      </w:r>
    </w:p>
    <w:p>
      <w:pPr>
        <w:pStyle w:val="ListParagraph"/>
        <w:numPr>
          <w:ilvl w:val="0"/>
          <w:numId w:val="6"/>
        </w:numPr>
        <w:spacing w:after="60"/>
      </w:pPr>
      <w:r>
        <w:rPr>
          <w:rFonts w:ascii="Arial" w:cs="Arial" w:eastAsia="Arial" w:hAnsi="Arial"/>
          <w:color w:val="2C3E50"/>
          <w:sz w:val="22"/>
          <w:szCs w:val="22"/>
        </w:rPr>
        <w:t xml:space="preserve">Deterministic risk scoring eliminates officer-to-officer inconsistency.</w:t>
      </w:r>
    </w:p>
    <w:p>
      <w:pPr>
        <w:pStyle w:val="ListParagraph"/>
        <w:numPr>
          <w:ilvl w:val="0"/>
          <w:numId w:val="6"/>
        </w:numPr>
        <w:spacing w:after="60"/>
      </w:pPr>
      <w:r>
        <w:rPr>
          <w:rFonts w:ascii="Arial" w:cs="Arial" w:eastAsia="Arial" w:hAnsi="Arial"/>
          <w:color w:val="2C3E50"/>
          <w:sz w:val="22"/>
          <w:szCs w:val="22"/>
        </w:rPr>
        <w:t xml:space="preserve">AI-generated memos reduce writing time from hours to minutes.</w:t>
      </w:r>
    </w:p>
    <w:p>
      <w:pPr>
        <w:pStyle w:val="ListParagraph"/>
        <w:numPr>
          <w:ilvl w:val="0"/>
          <w:numId w:val="6"/>
        </w:numPr>
        <w:spacing w:after="60"/>
      </w:pPr>
      <w:r>
        <w:rPr>
          <w:rFonts w:ascii="Arial" w:cs="Arial" w:eastAsia="Arial" w:hAnsi="Arial"/>
          <w:color w:val="2C3E50"/>
          <w:sz w:val="22"/>
          <w:szCs w:val="22"/>
        </w:rPr>
        <w:t xml:space="preserve">Automated cross-validation catches errors before they reach a supervisor.</w:t>
      </w:r>
    </w:p>
    <w:p>
      <w:pPr>
        <w:pStyle w:val="ListParagraph"/>
        <w:numPr>
          <w:ilvl w:val="0"/>
          <w:numId w:val="6"/>
        </w:numPr>
        <w:spacing w:after="60"/>
      </w:pPr>
      <w:r>
        <w:rPr>
          <w:rFonts w:ascii="Arial" w:cs="Arial" w:eastAsia="Arial" w:hAnsi="Arial"/>
          <w:color w:val="2C3E50"/>
          <w:sz w:val="22"/>
          <w:szCs w:val="22"/>
        </w:rPr>
        <w:t xml:space="preserve">Structured approval workflows ensure the right people make the final call.</w:t>
      </w:r>
    </w:p>
    <w:p>
      <w:pPr>
        <w:spacing w:after="60"/>
      </w:pPr>
    </w:p>
    <w:p>
      <w:pPr>
        <w:pStyle w:val="Heading2"/>
      </w:pPr>
      <w:r>
        <w:t xml:space="preserve">4.3 Value Delivered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Before Onboarda</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With Onboarda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Onboarding Time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30–90 days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1–5 days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Memo Writing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2–8 hours per case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~5 minutes (AI-generated)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Decision Consistency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Officer-dependent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Deterministic + auditable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Audit Trail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Fragmented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Immutable, complete, exportable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Cost per Onboarding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$2,000–$50,000</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80–90% reduction</w:t>
            </w:r>
          </w:p>
        </w:tc>
      </w:tr>
    </w:tbl>
    <w:p>
      <w:r>
        <w:br w:type="page"/>
      </w:r>
    </w:p>
    <w:p>
      <w:pPr>
        <w:pStyle w:val="Heading1"/>
      </w:pPr>
      <w:r>
        <w:t xml:space="preserve">5. Core Features</w:t>
      </w:r>
    </w:p>
    <w:p>
      <w:pPr>
        <w:pStyle w:val="Heading2"/>
      </w:pPr>
      <w:r>
        <w:t xml:space="preserve">5.1 Onboarding Flow</w:t>
      </w:r>
    </w:p>
    <w:p>
      <w:pPr>
        <w:spacing w:after="140" w:before="0"/>
      </w:pPr>
      <w:r>
        <w:rPr>
          <w:rFonts w:ascii="Arial" w:cs="Arial" w:eastAsia="Arial" w:hAnsi="Arial"/>
          <w:color w:val="2C3E50"/>
          <w:sz w:val="22"/>
          <w:szCs w:val="22"/>
        </w:rPr>
        <w:t xml:space="preserve">The portal guides clients through a structured, multi-step submission process: company identification, director and shareholder details, UBO declaration, document upload (certificates of incorporation, financial statements, proof of address), and source of funds/wealth declaration. Each step validates input in real time, reducing back-and-forth.</w:t>
      </w:r>
    </w:p>
    <w:p>
      <w:pPr>
        <w:spacing w:after="60"/>
      </w:pPr>
    </w:p>
    <w:p>
      <w:pPr>
        <w:pStyle w:val="Heading2"/>
      </w:pPr>
      <w:r>
        <w:t xml:space="preserve">5.2 Risk Scoring Engine</w:t>
      </w:r>
    </w:p>
    <w:p>
      <w:pPr>
        <w:spacing w:after="140" w:before="0"/>
      </w:pPr>
      <w:r>
        <w:rPr>
          <w:rFonts w:ascii="Arial" w:cs="Arial" w:eastAsia="Arial" w:hAnsi="Arial"/>
          <w:color w:val="2C3E50"/>
          <w:sz w:val="22"/>
          <w:szCs w:val="22"/>
        </w:rPr>
        <w:t xml:space="preserve">The Rule Engine evaluates every application across seven weighted risk dimensions:</w:t>
      </w:r>
    </w:p>
    <w:p>
      <w:pPr>
        <w:pStyle w:val="ListParagraph"/>
        <w:numPr>
          <w:ilvl w:val="0"/>
          <w:numId w:val="7"/>
        </w:numPr>
        <w:spacing w:after="60"/>
      </w:pPr>
      <w:r>
        <w:rPr>
          <w:rFonts w:ascii="Arial" w:cs="Arial" w:eastAsia="Arial" w:hAnsi="Arial"/>
          <w:color w:val="2C3E50"/>
          <w:sz w:val="22"/>
          <w:szCs w:val="22"/>
        </w:rPr>
        <w:t xml:space="preserve">Jurisdiction Risk — Country-level risk classification aligned with FATF grey/black lists.</w:t>
      </w:r>
    </w:p>
    <w:p>
      <w:pPr>
        <w:pStyle w:val="ListParagraph"/>
        <w:numPr>
          <w:ilvl w:val="0"/>
          <w:numId w:val="7"/>
        </w:numPr>
        <w:spacing w:after="60"/>
      </w:pPr>
      <w:r>
        <w:rPr>
          <w:rFonts w:ascii="Arial" w:cs="Arial" w:eastAsia="Arial" w:hAnsi="Arial"/>
          <w:color w:val="2C3E50"/>
          <w:sz w:val="22"/>
          <w:szCs w:val="22"/>
        </w:rPr>
        <w:t xml:space="preserve">Sector Risk — Industry-specific risk profiles (e.g., crypto, gambling, extractives).</w:t>
      </w:r>
    </w:p>
    <w:p>
      <w:pPr>
        <w:pStyle w:val="ListParagraph"/>
        <w:numPr>
          <w:ilvl w:val="0"/>
          <w:numId w:val="7"/>
        </w:numPr>
        <w:spacing w:after="60"/>
      </w:pPr>
      <w:r>
        <w:rPr>
          <w:rFonts w:ascii="Arial" w:cs="Arial" w:eastAsia="Arial" w:hAnsi="Arial"/>
          <w:color w:val="2C3E50"/>
          <w:sz w:val="22"/>
          <w:szCs w:val="22"/>
        </w:rPr>
        <w:t xml:space="preserve">UBO Structure — Complexity of ownership chains, layered entities, nominee arrangements.</w:t>
      </w:r>
    </w:p>
    <w:p>
      <w:pPr>
        <w:pStyle w:val="ListParagraph"/>
        <w:numPr>
          <w:ilvl w:val="0"/>
          <w:numId w:val="7"/>
        </w:numPr>
        <w:spacing w:after="60"/>
      </w:pPr>
      <w:r>
        <w:rPr>
          <w:rFonts w:ascii="Arial" w:cs="Arial" w:eastAsia="Arial" w:hAnsi="Arial"/>
          <w:color w:val="2C3E50"/>
          <w:sz w:val="22"/>
          <w:szCs w:val="22"/>
        </w:rPr>
        <w:t xml:space="preserve">PEP Status — Politically Exposed Person screening with configurable thresholds.</w:t>
      </w:r>
    </w:p>
    <w:p>
      <w:pPr>
        <w:pStyle w:val="ListParagraph"/>
        <w:numPr>
          <w:ilvl w:val="0"/>
          <w:numId w:val="7"/>
        </w:numPr>
        <w:spacing w:after="60"/>
      </w:pPr>
      <w:r>
        <w:rPr>
          <w:rFonts w:ascii="Arial" w:cs="Arial" w:eastAsia="Arial" w:hAnsi="Arial"/>
          <w:color w:val="2C3E50"/>
          <w:sz w:val="22"/>
          <w:szCs w:val="22"/>
        </w:rPr>
        <w:t xml:space="preserve">Source of Funds — Plausibility and documentation quality assessment.</w:t>
      </w:r>
    </w:p>
    <w:p>
      <w:pPr>
        <w:pStyle w:val="ListParagraph"/>
        <w:numPr>
          <w:ilvl w:val="0"/>
          <w:numId w:val="7"/>
        </w:numPr>
        <w:spacing w:after="60"/>
      </w:pPr>
      <w:r>
        <w:rPr>
          <w:rFonts w:ascii="Arial" w:cs="Arial" w:eastAsia="Arial" w:hAnsi="Arial"/>
          <w:color w:val="2C3E50"/>
          <w:sz w:val="22"/>
          <w:szCs w:val="22"/>
        </w:rPr>
        <w:t xml:space="preserve">Transaction Patterns — Expected activity profiles and red flag detection.</w:t>
      </w:r>
    </w:p>
    <w:p>
      <w:pPr>
        <w:pStyle w:val="ListParagraph"/>
        <w:numPr>
          <w:ilvl w:val="0"/>
          <w:numId w:val="7"/>
        </w:numPr>
        <w:spacing w:after="60"/>
      </w:pPr>
      <w:r>
        <w:rPr>
          <w:rFonts w:ascii="Arial" w:cs="Arial" w:eastAsia="Arial" w:hAnsi="Arial"/>
          <w:color w:val="2C3E50"/>
          <w:sz w:val="22"/>
          <w:szCs w:val="22"/>
        </w:rPr>
        <w:t xml:space="preserve">Document Completeness — Verification of required document submission.</w:t>
      </w:r>
    </w:p>
    <w:p>
      <w:pPr>
        <w:spacing w:after="140" w:before="0"/>
      </w:pPr>
      <w:r>
        <w:rPr>
          <w:rFonts w:ascii="Arial" w:cs="Arial" w:eastAsia="Arial" w:hAnsi="Arial"/>
          <w:color w:val="2C3E50"/>
          <w:sz w:val="22"/>
          <w:szCs w:val="22"/>
        </w:rPr>
        <w:t xml:space="preserve">The engine outputs a composite score (LOW, MEDIUM, HIGH, VERY_HIGH) with full factor-level breakdown, enabling compliance officers to understand exactly why a score was assigned.</w:t>
      </w:r>
    </w:p>
    <w:p>
      <w:pPr>
        <w:spacing w:after="60"/>
      </w:pPr>
    </w:p>
    <w:p>
      <w:pPr>
        <w:pStyle w:val="Heading2"/>
      </w:pPr>
      <w:r>
        <w:t xml:space="preserve">5.3 AI Memo Generation</w:t>
      </w:r>
    </w:p>
    <w:p>
      <w:pPr>
        <w:spacing w:after="140" w:before="0"/>
      </w:pPr>
      <w:r>
        <w:rPr>
          <w:rFonts w:ascii="Arial" w:cs="Arial" w:eastAsia="Arial" w:hAnsi="Arial"/>
          <w:color w:val="2C3E50"/>
          <w:sz w:val="22"/>
          <w:szCs w:val="22"/>
        </w:rPr>
        <w:t xml:space="preserve">Once risk scoring completes, the platform generates a structured compliance memo using Anthropic’s Claude models. The memo includes an executive summary, risk factor analysis, UBO commentary, screening results, and a recommended action. The AI does not decide — it drafts the narrative based on deterministic inputs, and the output is always subject to validation and human review.</w:t>
      </w:r>
    </w:p>
    <w:p>
      <w:pPr>
        <w:spacing w:after="60"/>
      </w:pPr>
    </w:p>
    <w:p>
      <w:pPr>
        <w:pStyle w:val="Heading2"/>
      </w:pPr>
      <w:r>
        <w:t xml:space="preserve">5.4 Validation &amp; Supervisor Layer</w:t>
      </w:r>
    </w:p>
    <w:p>
      <w:pPr>
        <w:spacing w:after="140" w:before="0"/>
      </w:pPr>
      <w:r>
        <w:rPr>
          <w:rFonts w:ascii="Arial" w:cs="Arial" w:eastAsia="Arial" w:hAnsi="Arial"/>
          <w:color w:val="2C3E50"/>
          <w:sz w:val="22"/>
          <w:szCs w:val="22"/>
        </w:rPr>
        <w:t xml:space="preserve">The Validation Engine cross-references the AI-generated memo against the Rule Engine’s quantitative outputs. Any contradiction (e.g., AI recommends approval while the rule engine flags HIGH risk) triggers an automatic escalation. The Supervisor layer presents the complete case file to a senior compliance officer for final determination, with mandatory sign-off and override justification logging.</w:t>
      </w:r>
    </w:p>
    <w:p>
      <w:pPr>
        <w:spacing w:after="60"/>
      </w:pPr>
    </w:p>
    <w:p>
      <w:pPr>
        <w:pStyle w:val="Heading2"/>
      </w:pPr>
      <w:r>
        <w:t xml:space="preserve">5.5 Audit Trail</w:t>
      </w:r>
    </w:p>
    <w:p>
      <w:pPr>
        <w:spacing w:after="140" w:before="0"/>
      </w:pPr>
      <w:r>
        <w:rPr>
          <w:rFonts w:ascii="Arial" w:cs="Arial" w:eastAsia="Arial" w:hAnsi="Arial"/>
          <w:color w:val="2C3E50"/>
          <w:sz w:val="22"/>
          <w:szCs w:val="22"/>
        </w:rPr>
        <w:t xml:space="preserve">Every action — data submission, risk computation, memo generation, validation result, officer review, override, approval, or rejection — is recorded in an immutable audit log with actor identity, timestamp, and before/after values. This log is designed for regulatory examination and supports full decision reconstruction at any point in time.</w:t>
      </w:r>
    </w:p>
    <w:p>
      <w:pPr>
        <w:spacing w:after="60"/>
      </w:pPr>
    </w:p>
    <w:p>
      <w:pPr>
        <w:pStyle w:val="Heading2"/>
      </w:pPr>
      <w:r>
        <w:t xml:space="preserve">5.6 PDF Outputs</w:t>
      </w:r>
    </w:p>
    <w:p>
      <w:pPr>
        <w:spacing w:after="140" w:before="0"/>
      </w:pPr>
      <w:r>
        <w:rPr>
          <w:rFonts w:ascii="Arial" w:cs="Arial" w:eastAsia="Arial" w:hAnsi="Arial"/>
          <w:color w:val="2C3E50"/>
          <w:sz w:val="22"/>
          <w:szCs w:val="22"/>
        </w:rPr>
        <w:t xml:space="preserve">The platform generates branded, server-side PDF compliance reports using WeasyPrint. Each report carries “Onboarda Compliance Report” in the header and “Powered by RegMind” in the footer, with a CONFIDENTIAL classification marking. Reports include risk scores, AI memo narrative, screening results, and decision rationale — ready for regulatory submission or client communication.</w:t>
      </w:r>
    </w:p>
    <w:p>
      <w:r>
        <w:br w:type="page"/>
      </w:r>
    </w:p>
    <w:p>
      <w:pPr>
        <w:pStyle w:val="Heading1"/>
      </w:pPr>
      <w:r>
        <w:t xml:space="preserve">6. System Architecture</w:t>
      </w:r>
    </w:p>
    <w:p>
      <w:pPr>
        <w:pStyle w:val="Heading2"/>
      </w:pPr>
      <w:r>
        <w:t xml:space="preserve">6.1 Modular Structure</w:t>
      </w:r>
    </w:p>
    <w:p>
      <w:pPr>
        <w:spacing w:after="140" w:before="0"/>
      </w:pPr>
      <w:r>
        <w:rPr>
          <w:rFonts w:ascii="Arial" w:cs="Arial" w:eastAsia="Arial" w:hAnsi="Arial"/>
          <w:color w:val="2C3E50"/>
          <w:sz w:val="22"/>
          <w:szCs w:val="22"/>
        </w:rPr>
        <w:t xml:space="preserve">The backend is organised into 24 independent Python modules, each with a single responsibility. There are no circular dependencies. The architecture follows a layered pattern where higher-level components (HTTP handlers) depend on lower-level services (rule engine, memo generator), but never the reverse.</w:t>
      </w:r>
    </w:p>
    <w:p>
      <w:pPr>
        <w:spacing w:after="60"/>
      </w:pPr>
    </w:p>
    <w:p>
      <w:pPr>
        <w:pStyle w:val="Heading2"/>
      </w:pPr>
      <w:r>
        <w:t xml:space="preserve">6.2 The 4-Layer Pipeline</w:t>
      </w:r>
    </w:p>
    <w:p>
      <w:pPr>
        <w:spacing w:after="140" w:before="0"/>
      </w:pPr>
      <w:r>
        <w:rPr>
          <w:rFonts w:ascii="Arial" w:cs="Arial" w:eastAsia="Arial" w:hAnsi="Arial"/>
          <w:color w:val="2C3E50"/>
          <w:sz w:val="22"/>
          <w:szCs w:val="22"/>
        </w:rPr>
        <w:t xml:space="preserve">This is the core intellectual property of the system. Every client application passes through four sequential layers: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1. Rule Engine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Deterministic risk scoring across 7 dimensions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Deterministic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2. Memo Generator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AI-powered narrative compliance memo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AI-Augmented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3. Validation Engine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Cross-reference AI output vs. rule results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Deterministic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4. Supervisor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Human-in-the-loop final decision + audit trail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Human</w:t>
            </w:r>
          </w:p>
        </w:tc>
      </w:tr>
    </w:tbl>
    <w:p>
      <w:pPr>
        <w:spacing w:after="60"/>
      </w:pPr>
    </w:p>
    <w:p>
      <w:pPr>
        <w:spacing w:after="140" w:before="0"/>
      </w:pPr>
      <w:r>
        <w:rPr>
          <w:rFonts w:ascii="Arial" w:cs="Arial" w:eastAsia="Arial" w:hAnsi="Arial"/>
          <w:color w:val="2C3E50"/>
          <w:sz w:val="22"/>
          <w:szCs w:val="22"/>
        </w:rPr>
        <w:t xml:space="preserve">This architecture is deliberate: regulators require that compliance decisions are explainable and reproducible. A purely AI-driven system would be a black box. Onboarda’s pipeline ensures the AI contributes analysis but never makes the decision, while the deterministic layers provide the reproducibility and auditability that regulators demand.</w:t>
      </w:r>
    </w:p>
    <w:p>
      <w:pPr>
        <w:spacing w:after="60"/>
      </w:pPr>
    </w:p>
    <w:p>
      <w:pPr>
        <w:pStyle w:val="Heading2"/>
      </w:pPr>
      <w:r>
        <w:t xml:space="preserve">6.3 Component Interaction</w:t>
      </w:r>
    </w:p>
    <w:p>
      <w:pPr>
        <w:spacing w:after="140" w:before="0"/>
      </w:pPr>
      <w:r>
        <w:rPr>
          <w:rFonts w:ascii="Arial" w:cs="Arial" w:eastAsia="Arial" w:hAnsi="Arial"/>
          <w:color w:val="2C3E50"/>
          <w:sz w:val="22"/>
          <w:szCs w:val="22"/>
        </w:rPr>
        <w:t xml:space="preserve">The HTTP layer (server.py + base_handler.py) receives API requests and routes them to the appropriate pipeline stage. The Rule Engine operates independently of the AI layer — it will produce a risk score even if the AI service is unavailable. The Memo Generator receives risk data as structured input and produces narrative output. The Validation Engine consumes both outputs and produces a consistency verdict. The Supervisor layer presents the aggregated results with approval/rejection controls.</w:t>
      </w:r>
    </w:p>
    <w:p>
      <w:pPr>
        <w:spacing w:after="60"/>
      </w:pPr>
    </w:p>
    <w:p>
      <w:pPr>
        <w:pStyle w:val="Heading2"/>
      </w:pPr>
      <w:r>
        <w:t xml:space="preserve">6.4 Separation of Concerns</w:t>
      </w:r>
    </w:p>
    <w:p>
      <w:pPr>
        <w:pStyle w:val="ListParagraph"/>
        <w:numPr>
          <w:ilvl w:val="0"/>
          <w:numId w:val="8"/>
        </w:numPr>
        <w:spacing w:after="60"/>
      </w:pPr>
      <w:r>
        <w:rPr>
          <w:rFonts w:ascii="Arial" w:cs="Arial" w:eastAsia="Arial" w:hAnsi="Arial"/>
          <w:color w:val="2C3E50"/>
          <w:sz w:val="22"/>
          <w:szCs w:val="22"/>
        </w:rPr>
        <w:t xml:space="preserve">HTTP handling is isolated in BaseHandler (256 lines) — all CORS, CSRF, auth, and security headers are centralised.</w:t>
      </w:r>
    </w:p>
    <w:p>
      <w:pPr>
        <w:pStyle w:val="ListParagraph"/>
        <w:numPr>
          <w:ilvl w:val="0"/>
          <w:numId w:val="8"/>
        </w:numPr>
        <w:spacing w:after="60"/>
      </w:pPr>
      <w:r>
        <w:rPr>
          <w:rFonts w:ascii="Arial" w:cs="Arial" w:eastAsia="Arial" w:hAnsi="Arial"/>
          <w:color w:val="2C3E50"/>
          <w:sz w:val="22"/>
          <w:szCs w:val="22"/>
        </w:rPr>
        <w:t xml:space="preserve">Business logic (risk scoring, memo generation, validation) contains zero HTTP or framework dependencies.</w:t>
      </w:r>
    </w:p>
    <w:p>
      <w:pPr>
        <w:pStyle w:val="ListParagraph"/>
        <w:numPr>
          <w:ilvl w:val="0"/>
          <w:numId w:val="8"/>
        </w:numPr>
        <w:spacing w:after="60"/>
      </w:pPr>
      <w:r>
        <w:rPr>
          <w:rFonts w:ascii="Arial" w:cs="Arial" w:eastAsia="Arial" w:hAnsi="Arial"/>
          <w:color w:val="2C3E50"/>
          <w:sz w:val="22"/>
          <w:szCs w:val="22"/>
        </w:rPr>
        <w:t xml:space="preserve">Observability (logging, metrics, health checks) is a standalone module imported by all components.</w:t>
      </w:r>
    </w:p>
    <w:p>
      <w:pPr>
        <w:pStyle w:val="ListParagraph"/>
        <w:numPr>
          <w:ilvl w:val="0"/>
          <w:numId w:val="8"/>
        </w:numPr>
        <w:spacing w:after="60"/>
      </w:pPr>
      <w:r>
        <w:rPr>
          <w:rFonts w:ascii="Arial" w:cs="Arial" w:eastAsia="Arial" w:hAnsi="Arial"/>
          <w:color w:val="2C3E50"/>
          <w:sz w:val="22"/>
          <w:szCs w:val="22"/>
        </w:rPr>
        <w:t xml:space="preserve">Branding and configuration are driven by environment variables, enabling white-label deployment.</w:t>
      </w:r>
    </w:p>
    <w:p>
      <w:r>
        <w:br w:type="page"/>
      </w:r>
    </w:p>
    <w:p>
      <w:pPr>
        <w:pStyle w:val="Heading1"/>
      </w:pPr>
      <w:r>
        <w:t xml:space="preserve">7.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Backend Framework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Tornado 6.4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Async, non-blocking I/O; mature; minimal footprint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Database (Prod)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PostgreSQL 16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ACID compliance, JSON support, industry standard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Database (Dev)</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SQLite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Zero-config local development, portable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AI Provider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Anthropic Claude API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Sonnet 4 (routine) + Opus 4 (complex cases)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PDF Engine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WeasyPrint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CSS-based server-side rendering, no browser dependency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Authentication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Dual: Cookies + Tokens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httpOnly cookies (portal) + API bearer tokens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Containerisation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Docker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Multi-stage builds, non-root user, healthcheck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CI/CD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GitHub Actions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Lint, test, Docker validation on every push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Deployment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Render.com (PaaS)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Managed infrastructure, auto-deploy from main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Monitoring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Structured JSON logging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Prometheus-compatible metrics via observability.py</w:t>
            </w:r>
          </w:p>
        </w:tc>
      </w:tr>
    </w:tbl>
    <w:p>
      <w:pPr>
        <w:spacing w:after="80"/>
      </w:pPr>
    </w:p>
    <w:p>
      <w:pPr>
        <w:spacing w:after="140" w:before="0"/>
      </w:pPr>
      <w:r>
        <w:rPr>
          <w:rFonts w:ascii="Arial" w:cs="Arial" w:eastAsia="Arial" w:hAnsi="Arial"/>
          <w:color w:val="2C3E50"/>
          <w:sz w:val="22"/>
          <w:szCs w:val="22"/>
        </w:rPr>
        <w:t xml:space="preserve">The stack prioritises operational simplicity and auditability over novelty. Every component is production-proven, well-documented, and replaceable without architectural changes.</w:t>
      </w:r>
    </w:p>
    <w:p>
      <w:r>
        <w:br w:type="page"/>
      </w:r>
    </w:p>
    <w:p>
      <w:pPr>
        <w:pStyle w:val="Heading1"/>
      </w:pPr>
      <w:r>
        <w:t xml:space="preserve">8. Security &amp; Compliance Design</w:t>
      </w:r>
    </w:p>
    <w:p>
      <w:pPr>
        <w:pStyle w:val="Heading2"/>
      </w:pPr>
      <w:r>
        <w:t xml:space="preserve">8.1 Authentication Model</w:t>
      </w:r>
    </w:p>
    <w:p>
      <w:pPr>
        <w:spacing w:after="140" w:before="0"/>
      </w:pPr>
      <w:r>
        <w:rPr>
          <w:rFonts w:ascii="Arial" w:cs="Arial" w:eastAsia="Arial" w:hAnsi="Arial"/>
          <w:color w:val="2C3E50"/>
          <w:sz w:val="22"/>
          <w:szCs w:val="22"/>
        </w:rPr>
        <w:t xml:space="preserve">The platform implements dual-mode authentication to serve both browser-based and API-based access patterns:</w:t>
      </w:r>
    </w:p>
    <w:p>
      <w:pPr>
        <w:pStyle w:val="ListParagraph"/>
        <w:numPr>
          <w:ilvl w:val="0"/>
          <w:numId w:val="9"/>
        </w:numPr>
        <w:spacing w:after="60"/>
      </w:pPr>
      <w:r>
        <w:rPr>
          <w:rFonts w:ascii="Arial" w:cs="Arial" w:eastAsia="Arial" w:hAnsi="Arial"/>
          <w:color w:val="2C3E50"/>
          <w:sz w:val="22"/>
          <w:szCs w:val="22"/>
        </w:rPr>
        <w:t xml:space="preserve">Portal sessions use httpOnly, Secure cookies with SameSite=Strict, preventing client-side JavaScript access and CSRF via cookie theft.</w:t>
      </w:r>
    </w:p>
    <w:p>
      <w:pPr>
        <w:pStyle w:val="ListParagraph"/>
        <w:numPr>
          <w:ilvl w:val="0"/>
          <w:numId w:val="9"/>
        </w:numPr>
        <w:spacing w:after="60"/>
      </w:pPr>
      <w:r>
        <w:rPr>
          <w:rFonts w:ascii="Arial" w:cs="Arial" w:eastAsia="Arial" w:hAnsi="Arial"/>
          <w:color w:val="2C3E50"/>
          <w:sz w:val="22"/>
          <w:szCs w:val="22"/>
        </w:rPr>
        <w:t xml:space="preserve">API integrations use bearer tokens with server-side revocation capability.</w:t>
      </w:r>
    </w:p>
    <w:p>
      <w:pPr>
        <w:pStyle w:val="ListParagraph"/>
        <w:numPr>
          <w:ilvl w:val="0"/>
          <w:numId w:val="9"/>
        </w:numPr>
        <w:spacing w:after="60"/>
      </w:pPr>
      <w:r>
        <w:rPr>
          <w:rFonts w:ascii="Arial" w:cs="Arial" w:eastAsia="Arial" w:hAnsi="Arial"/>
          <w:color w:val="2C3E50"/>
          <w:sz w:val="22"/>
          <w:szCs w:val="22"/>
        </w:rPr>
        <w:t xml:space="preserve">Sessions include automatic expiry and rotation to limit exposure windows.</w:t>
      </w:r>
    </w:p>
    <w:p>
      <w:pPr>
        <w:spacing w:after="60"/>
      </w:pPr>
    </w:p>
    <w:p>
      <w:pPr>
        <w:pStyle w:val="Heading2"/>
      </w:pPr>
      <w:r>
        <w:t xml:space="preserve">8.2 CSRF Protection</w:t>
      </w:r>
    </w:p>
    <w:p>
      <w:pPr>
        <w:spacing w:after="140" w:before="0"/>
      </w:pPr>
      <w:r>
        <w:rPr>
          <w:rFonts w:ascii="Arial" w:cs="Arial" w:eastAsia="Arial" w:hAnsi="Arial"/>
          <w:color w:val="2C3E50"/>
          <w:sz w:val="22"/>
          <w:szCs w:val="22"/>
        </w:rPr>
        <w:t xml:space="preserve">All state-changing endpoints are protected by a double-submit cookie pattern. The client must provide a CSRF token that matches the server-issued cookie, preventing cross-site request forgery even if an attacker can induce a user’s browser to make requests.</w:t>
      </w:r>
    </w:p>
    <w:p>
      <w:pPr>
        <w:spacing w:after="60"/>
      </w:pPr>
    </w:p>
    <w:p>
      <w:pPr>
        <w:pStyle w:val="Heading2"/>
      </w:pPr>
      <w:r>
        <w:t xml:space="preserve">8.3 Data Protection</w:t>
      </w:r>
    </w:p>
    <w:p>
      <w:pPr>
        <w:pStyle w:val="ListParagraph"/>
        <w:numPr>
          <w:ilvl w:val="0"/>
          <w:numId w:val="10"/>
        </w:numPr>
        <w:spacing w:after="60"/>
      </w:pPr>
      <w:r>
        <w:rPr>
          <w:rFonts w:ascii="Arial" w:cs="Arial" w:eastAsia="Arial" w:hAnsi="Arial"/>
          <w:color w:val="2C3E50"/>
          <w:sz w:val="22"/>
          <w:szCs w:val="22"/>
        </w:rPr>
        <w:t xml:space="preserve">All SQL queries use parameterised statements throughout the codebase — zero string concatenation, eliminating SQL injection as an attack vector.</w:t>
      </w:r>
    </w:p>
    <w:p>
      <w:pPr>
        <w:pStyle w:val="ListParagraph"/>
        <w:numPr>
          <w:ilvl w:val="0"/>
          <w:numId w:val="10"/>
        </w:numPr>
        <w:spacing w:after="60"/>
      </w:pPr>
      <w:r>
        <w:rPr>
          <w:rFonts w:ascii="Arial" w:cs="Arial" w:eastAsia="Arial" w:hAnsi="Arial"/>
          <w:color w:val="2C3E50"/>
          <w:sz w:val="22"/>
          <w:szCs w:val="22"/>
        </w:rPr>
        <w:t xml:space="preserve">HTML output uses dedicated escaping functions to prevent cross-site scripting (XSS).</w:t>
      </w:r>
    </w:p>
    <w:p>
      <w:pPr>
        <w:pStyle w:val="ListParagraph"/>
        <w:numPr>
          <w:ilvl w:val="0"/>
          <w:numId w:val="10"/>
        </w:numPr>
        <w:spacing w:after="60"/>
      </w:pPr>
      <w:r>
        <w:rPr>
          <w:rFonts w:ascii="Arial" w:cs="Arial" w:eastAsia="Arial" w:hAnsi="Arial"/>
          <w:color w:val="2C3E50"/>
          <w:sz w:val="22"/>
          <w:szCs w:val="22"/>
        </w:rPr>
        <w:t xml:space="preserve">Security headers (X-Frame-Options, X-Content-Type-Options, Referrer-Policy, Content-Security-Policy) are set centrally in BaseHandler.</w:t>
      </w:r>
    </w:p>
    <w:p>
      <w:pPr>
        <w:pStyle w:val="ListParagraph"/>
        <w:numPr>
          <w:ilvl w:val="0"/>
          <w:numId w:val="10"/>
        </w:numPr>
        <w:spacing w:after="60"/>
      </w:pPr>
      <w:r>
        <w:rPr>
          <w:rFonts w:ascii="Arial" w:cs="Arial" w:eastAsia="Arial" w:hAnsi="Arial"/>
          <w:color w:val="2C3E50"/>
          <w:sz w:val="22"/>
          <w:szCs w:val="22"/>
        </w:rPr>
        <w:t xml:space="preserve">CORS is configured with explicit origin whitelisting, not wildcards.</w:t>
      </w:r>
    </w:p>
    <w:p>
      <w:pPr>
        <w:spacing w:after="60"/>
      </w:pPr>
    </w:p>
    <w:p>
      <w:pPr>
        <w:pStyle w:val="Heading2"/>
      </w:pPr>
      <w:r>
        <w:t xml:space="preserve">8.4 Audit Logging</w:t>
      </w:r>
    </w:p>
    <w:p>
      <w:pPr>
        <w:spacing w:after="140" w:before="0"/>
      </w:pPr>
      <w:r>
        <w:rPr>
          <w:rFonts w:ascii="Arial" w:cs="Arial" w:eastAsia="Arial" w:hAnsi="Arial"/>
          <w:color w:val="2C3E50"/>
          <w:sz w:val="22"/>
          <w:szCs w:val="22"/>
        </w:rPr>
        <w:t xml:space="preserve">The audit system captures every state change with actor identity, action type, timestamp, IP address, and before/after values. Audit records are append-only and designed to be immutable in production. This enables full decision reconstruction for regulatory examinations.</w:t>
      </w:r>
    </w:p>
    <w:p>
      <w:pPr>
        <w:spacing w:after="60"/>
      </w:pPr>
    </w:p>
    <w:p>
      <w:pPr>
        <w:pStyle w:val="Heading2"/>
      </w:pPr>
      <w:r>
        <w:t xml:space="preserve">8.5 Regulatory Alignment</w:t>
      </w:r>
    </w:p>
    <w:p>
      <w:pPr>
        <w:spacing w:after="140" w:before="0"/>
      </w:pPr>
      <w:r>
        <w:rPr>
          <w:rFonts w:ascii="Arial" w:cs="Arial" w:eastAsia="Arial" w:hAnsi="Arial"/>
          <w:color w:val="2C3E50"/>
          <w:sz w:val="22"/>
          <w:szCs w:val="22"/>
        </w:rPr>
        <w:t xml:space="preserve">The security design is aligned with requirements from the Bank of Mauritius’s Guidance Notes on AML/CFT, the FATF Recommendations (specifically Recommendation 10 on Customer Due Diligence), and data protection principles consistent with Mauritius’s Data Protection Act 2017.</w:t>
      </w:r>
    </w:p>
    <w:p>
      <w:r>
        <w:br w:type="page"/>
      </w:r>
    </w:p>
    <w:p>
      <w:pPr>
        <w:pStyle w:val="Heading1"/>
      </w:pPr>
      <w:r>
        <w:t xml:space="preserve">9. Data Architecture &amp; Deployment Model</w:t>
      </w:r>
    </w:p>
    <w:p>
      <w:pPr>
        <w:pStyle w:val="Heading2"/>
      </w:pPr>
      <w:r>
        <w:t xml:space="preserve">9.1 Single-Tenant Deployment</w:t>
      </w:r>
    </w:p>
    <w:p>
      <w:pPr>
        <w:spacing w:after="140" w:before="0"/>
      </w:pPr>
      <w:r>
        <w:rPr>
          <w:rFonts w:ascii="Arial" w:cs="Arial" w:eastAsia="Arial" w:hAnsi="Arial"/>
          <w:color w:val="2C3E50"/>
          <w:sz w:val="22"/>
          <w:szCs w:val="22"/>
        </w:rPr>
        <w:t xml:space="preserve">The current model deploys a dedicated instance per client institution. Each client has an isolated database, application container, and configuration. This approach provides the strongest possible data segregation — there is zero risk of data leakage between institutions.</w:t>
      </w:r>
    </w:p>
    <w:p>
      <w:pPr>
        <w:spacing w:after="60"/>
      </w:pPr>
    </w:p>
    <w:p>
      <w:pPr>
        <w:pStyle w:val="Heading2"/>
      </w:pPr>
      <w:r>
        <w:t xml:space="preserve">9.2 Data Segregation Strategy</w:t>
      </w:r>
    </w:p>
    <w:p>
      <w:pPr>
        <w:pStyle w:val="ListParagraph"/>
        <w:numPr>
          <w:ilvl w:val="0"/>
          <w:numId w:val="11"/>
        </w:numPr>
        <w:spacing w:after="60"/>
      </w:pPr>
      <w:r>
        <w:rPr>
          <w:rFonts w:ascii="Arial" w:cs="Arial" w:eastAsia="Arial" w:hAnsi="Arial"/>
          <w:color w:val="2C3E50"/>
          <w:sz w:val="22"/>
          <w:szCs w:val="22"/>
        </w:rPr>
        <w:t xml:space="preserve">Each client institution receives a dedicated PostgreSQL database and Docker container.</w:t>
      </w:r>
    </w:p>
    <w:p>
      <w:pPr>
        <w:pStyle w:val="ListParagraph"/>
        <w:numPr>
          <w:ilvl w:val="0"/>
          <w:numId w:val="11"/>
        </w:numPr>
        <w:spacing w:after="60"/>
      </w:pPr>
      <w:r>
        <w:rPr>
          <w:rFonts w:ascii="Arial" w:cs="Arial" w:eastAsia="Arial" w:hAnsi="Arial"/>
          <w:color w:val="2C3E50"/>
          <w:sz w:val="22"/>
          <w:szCs w:val="22"/>
        </w:rPr>
        <w:t xml:space="preserve">Application-level tenant isolation is enforced via client_id foreign keys across all 21 database tables.</w:t>
      </w:r>
    </w:p>
    <w:p>
      <w:pPr>
        <w:pStyle w:val="ListParagraph"/>
        <w:numPr>
          <w:ilvl w:val="0"/>
          <w:numId w:val="11"/>
        </w:numPr>
        <w:spacing w:after="60"/>
      </w:pPr>
      <w:r>
        <w:rPr>
          <w:rFonts w:ascii="Arial" w:cs="Arial" w:eastAsia="Arial" w:hAnsi="Arial"/>
          <w:color w:val="2C3E50"/>
          <w:sz w:val="22"/>
          <w:szCs w:val="22"/>
        </w:rPr>
        <w:t xml:space="preserve">Configuration (branding, risk thresholds, feature flags) is per-instance via environment variables.</w:t>
      </w:r>
    </w:p>
    <w:p>
      <w:pPr>
        <w:pStyle w:val="ListParagraph"/>
        <w:numPr>
          <w:ilvl w:val="0"/>
          <w:numId w:val="11"/>
        </w:numPr>
        <w:spacing w:after="60"/>
      </w:pPr>
      <w:r>
        <w:rPr>
          <w:rFonts w:ascii="Arial" w:cs="Arial" w:eastAsia="Arial" w:hAnsi="Arial"/>
          <w:color w:val="2C3E50"/>
          <w:sz w:val="22"/>
          <w:szCs w:val="22"/>
        </w:rPr>
        <w:t xml:space="preserve">No shared data stores exist between client instances.</w:t>
      </w:r>
    </w:p>
    <w:p>
      <w:pPr>
        <w:spacing w:after="60"/>
      </w:pPr>
    </w:p>
    <w:p>
      <w:pPr>
        <w:pStyle w:val="Heading2"/>
      </w:pPr>
      <w:r>
        <w:t xml:space="preserve">9.3 Scalability to Multi-Tenant</w:t>
      </w:r>
    </w:p>
    <w:p>
      <w:pPr>
        <w:spacing w:after="140" w:before="0"/>
      </w:pPr>
      <w:r>
        <w:rPr>
          <w:rFonts w:ascii="Arial" w:cs="Arial" w:eastAsia="Arial" w:hAnsi="Arial"/>
          <w:color w:val="2C3E50"/>
          <w:sz w:val="22"/>
          <w:szCs w:val="22"/>
        </w:rPr>
        <w:t xml:space="preserve">The architecture is pre-positioned for multi-tenant evolution. The application-level tenant isolation (client_id-based queries) means the move to shared infrastructure requires only connection pooling and row-level security policies in PostgreSQL — not a rewrite. The config-driven branding system already supports per-tenant customisation.</w:t>
      </w:r>
    </w:p>
    <w:p>
      <w:pPr>
        <w:spacing w:after="60"/>
      </w:pPr>
    </w:p>
    <w:p>
      <w:pPr>
        <w:pStyle w:val="Heading2"/>
      </w:pPr>
      <w:r>
        <w:t xml:space="preserve">9.4 Database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Total Tables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21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Indexes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15+ covering primary query patterns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Foreign Key Constraints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Enforced across all relations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Audit Trail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Dedicated audit_log table with full provenance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Schema Management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Raw SQL (migration framework on roadmap)</w:t>
            </w:r>
          </w:p>
        </w:tc>
      </w:tr>
    </w:tbl>
    <w:p>
      <w:r>
        <w:br w:type="page"/>
      </w:r>
    </w:p>
    <w:p>
      <w:pPr>
        <w:pStyle w:val="Heading1"/>
      </w:pPr>
      <w:r>
        <w:t xml:space="preserve">10. AI Layer Design</w:t>
      </w:r>
    </w:p>
    <w:p>
      <w:pPr>
        <w:pStyle w:val="Heading2"/>
      </w:pPr>
      <w:r>
        <w:t xml:space="preserve">10.1 AI vs. Deterministic Logic</w:t>
      </w:r>
    </w:p>
    <w:p>
      <w:pPr>
        <w:spacing w:after="140" w:before="0"/>
      </w:pPr>
      <w:r>
        <w:rPr>
          <w:rFonts w:ascii="Arial" w:cs="Arial" w:eastAsia="Arial" w:hAnsi="Arial"/>
          <w:color w:val="2C3E50"/>
          <w:sz w:val="22"/>
          <w:szCs w:val="22"/>
        </w:rPr>
        <w:t xml:space="preserve">This is a critical architectural decision: the AI does not make compliance decisions. The deterministic Rule Engine produces the risk score. The AI generates the narrative compliance memo — a structured analytical document that explains the risk factors in human-readable prose. The Validation Engine then cross-checks the AI’s narrative against the deterministic outputs for consistency. This design ensures:</w:t>
      </w:r>
    </w:p>
    <w:p>
      <w:pPr>
        <w:pStyle w:val="ListParagraph"/>
        <w:numPr>
          <w:ilvl w:val="0"/>
          <w:numId w:val="12"/>
        </w:numPr>
        <w:spacing w:after="60"/>
      </w:pPr>
      <w:r>
        <w:rPr>
          <w:rFonts w:ascii="Arial" w:cs="Arial" w:eastAsia="Arial" w:hAnsi="Arial"/>
          <w:color w:val="2C3E50"/>
          <w:sz w:val="22"/>
          <w:szCs w:val="22"/>
        </w:rPr>
        <w:t xml:space="preserve">Reproducibility — The same inputs always produce the same risk score, regardless of AI model behaviour.</w:t>
      </w:r>
    </w:p>
    <w:p>
      <w:pPr>
        <w:pStyle w:val="ListParagraph"/>
        <w:numPr>
          <w:ilvl w:val="0"/>
          <w:numId w:val="12"/>
        </w:numPr>
        <w:spacing w:after="60"/>
      </w:pPr>
      <w:r>
        <w:rPr>
          <w:rFonts w:ascii="Arial" w:cs="Arial" w:eastAsia="Arial" w:hAnsi="Arial"/>
          <w:color w:val="2C3E50"/>
          <w:sz w:val="22"/>
          <w:szCs w:val="22"/>
        </w:rPr>
        <w:t xml:space="preserve">Auditability — Regulators can examine the deterministic rule chain without needing to interpret AI reasoning.</w:t>
      </w:r>
    </w:p>
    <w:p>
      <w:pPr>
        <w:pStyle w:val="ListParagraph"/>
        <w:numPr>
          <w:ilvl w:val="0"/>
          <w:numId w:val="12"/>
        </w:numPr>
        <w:spacing w:after="60"/>
      </w:pPr>
      <w:r>
        <w:rPr>
          <w:rFonts w:ascii="Arial" w:cs="Arial" w:eastAsia="Arial" w:hAnsi="Arial"/>
          <w:color w:val="2C3E50"/>
          <w:sz w:val="22"/>
          <w:szCs w:val="22"/>
        </w:rPr>
        <w:t xml:space="preserve">Explainability — The AI memo provides human-readable analysis, but the underlying decision is driven by transparent rules.</w:t>
      </w:r>
    </w:p>
    <w:p>
      <w:pPr>
        <w:spacing w:after="60"/>
      </w:pPr>
    </w:p>
    <w:p>
      <w:pPr>
        <w:pStyle w:val="Heading2"/>
      </w:pPr>
      <w:r>
        <w:t xml:space="preserve">10.2 Model Routing Strategy</w:t>
      </w:r>
    </w:p>
    <w:p>
      <w:pPr>
        <w:spacing w:after="140" w:before="0"/>
      </w:pPr>
      <w:r>
        <w:rPr>
          <w:rFonts w:ascii="Arial" w:cs="Arial" w:eastAsia="Arial" w:hAnsi="Arial"/>
          <w:color w:val="2C3E50"/>
          <w:sz w:val="22"/>
          <w:szCs w:val="22"/>
        </w:rPr>
        <w:t xml:space="preserve">The platform implements risk-based AI model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AI Model</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LOW / 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Claude Sonnet 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Cost-efficient, fast; adequate for routine cases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HIGH / VERY_HIGH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Claude Opus 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Highest reasoning capability for complex scenarios</w:t>
            </w:r>
          </w:p>
        </w:tc>
      </w:tr>
    </w:tbl>
    <w:p>
      <w:pPr>
        <w:spacing w:after="60"/>
      </w:pPr>
    </w:p>
    <w:p>
      <w:pPr>
        <w:spacing w:after="140" w:before="0"/>
      </w:pPr>
      <w:r>
        <w:rPr>
          <w:rFonts w:ascii="Arial" w:cs="Arial" w:eastAsia="Arial" w:hAnsi="Arial"/>
          <w:color w:val="2C3E50"/>
          <w:sz w:val="22"/>
          <w:szCs w:val="22"/>
        </w:rPr>
        <w:t xml:space="preserve">This routing optimises cost without compromising quality. Approximately 70–80% of onboarding cases are LOW/MEDIUM risk, meaning the majority route to the less expensive model.</w:t>
      </w:r>
    </w:p>
    <w:p>
      <w:pPr>
        <w:spacing w:after="60"/>
      </w:pPr>
    </w:p>
    <w:p>
      <w:pPr>
        <w:pStyle w:val="Heading2"/>
      </w:pPr>
      <w:r>
        <w:t xml:space="preserve">10.3 Cost Control</w:t>
      </w:r>
    </w:p>
    <w:p>
      <w:pPr>
        <w:pStyle w:val="ListParagraph"/>
        <w:numPr>
          <w:ilvl w:val="0"/>
          <w:numId w:val="13"/>
        </w:numPr>
        <w:spacing w:after="60"/>
      </w:pPr>
      <w:r>
        <w:rPr>
          <w:rFonts w:ascii="Arial" w:cs="Arial" w:eastAsia="Arial" w:hAnsi="Arial"/>
          <w:color w:val="2C3E50"/>
          <w:sz w:val="22"/>
          <w:szCs w:val="22"/>
        </w:rPr>
        <w:t xml:space="preserve">Risk-based routing reduces average AI cost per case by 50–70% compared to using the most capable model for every case.</w:t>
      </w:r>
    </w:p>
    <w:p>
      <w:pPr>
        <w:pStyle w:val="ListParagraph"/>
        <w:numPr>
          <w:ilvl w:val="0"/>
          <w:numId w:val="13"/>
        </w:numPr>
        <w:spacing w:after="60"/>
      </w:pPr>
      <w:r>
        <w:rPr>
          <w:rFonts w:ascii="Arial" w:cs="Arial" w:eastAsia="Arial" w:hAnsi="Arial"/>
          <w:color w:val="2C3E50"/>
          <w:sz w:val="22"/>
          <w:szCs w:val="22"/>
        </w:rPr>
        <w:t xml:space="preserve">Structured prompt engineering minimises token usage by providing explicit output schemas.</w:t>
      </w:r>
    </w:p>
    <w:p>
      <w:pPr>
        <w:pStyle w:val="ListParagraph"/>
        <w:numPr>
          <w:ilvl w:val="0"/>
          <w:numId w:val="13"/>
        </w:numPr>
        <w:spacing w:after="60"/>
      </w:pPr>
      <w:r>
        <w:rPr>
          <w:rFonts w:ascii="Arial" w:cs="Arial" w:eastAsia="Arial" w:hAnsi="Arial"/>
          <w:color w:val="2C3E50"/>
          <w:sz w:val="22"/>
          <w:szCs w:val="22"/>
        </w:rPr>
        <w:t xml:space="preserve">The AI layer is optional — the Rule Engine and Supervisor function independently if the AI service is unavailable.</w:t>
      </w:r>
    </w:p>
    <w:p>
      <w:pPr>
        <w:spacing w:after="60"/>
      </w:pPr>
    </w:p>
    <w:p>
      <w:pPr>
        <w:pStyle w:val="Heading2"/>
      </w:pPr>
      <w:r>
        <w:t xml:space="preserve">10.4 Reliability Safeguards</w:t>
      </w:r>
    </w:p>
    <w:p>
      <w:pPr>
        <w:pStyle w:val="ListParagraph"/>
        <w:numPr>
          <w:ilvl w:val="0"/>
          <w:numId w:val="14"/>
        </w:numPr>
        <w:spacing w:after="60"/>
      </w:pPr>
      <w:r>
        <w:rPr>
          <w:rFonts w:ascii="Arial" w:cs="Arial" w:eastAsia="Arial" w:hAnsi="Arial"/>
          <w:color w:val="2C3E50"/>
          <w:sz w:val="22"/>
          <w:szCs w:val="22"/>
        </w:rPr>
        <w:t xml:space="preserve">Validation Engine catches AI hallucinations by cross-referencing narrative claims against rule engine data.</w:t>
      </w:r>
    </w:p>
    <w:p>
      <w:pPr>
        <w:pStyle w:val="ListParagraph"/>
        <w:numPr>
          <w:ilvl w:val="0"/>
          <w:numId w:val="14"/>
        </w:numPr>
        <w:spacing w:after="60"/>
      </w:pPr>
      <w:r>
        <w:rPr>
          <w:rFonts w:ascii="Arial" w:cs="Arial" w:eastAsia="Arial" w:hAnsi="Arial"/>
          <w:color w:val="2C3E50"/>
          <w:sz w:val="22"/>
          <w:szCs w:val="22"/>
        </w:rPr>
        <w:t xml:space="preserve">No AI output reaches a client without passing through both validation and human supervisor layers.</w:t>
      </w:r>
    </w:p>
    <w:p>
      <w:pPr>
        <w:pStyle w:val="ListParagraph"/>
        <w:numPr>
          <w:ilvl w:val="0"/>
          <w:numId w:val="14"/>
        </w:numPr>
        <w:spacing w:after="60"/>
      </w:pPr>
      <w:r>
        <w:rPr>
          <w:rFonts w:ascii="Arial" w:cs="Arial" w:eastAsia="Arial" w:hAnsi="Arial"/>
          <w:color w:val="2C3E50"/>
          <w:sz w:val="22"/>
          <w:szCs w:val="22"/>
        </w:rPr>
        <w:t xml:space="preserve">Structured prompts with explicit output formatting reduce the surface area for unexpected AI behaviour.</w:t>
      </w:r>
    </w:p>
    <w:p>
      <w:pPr>
        <w:pStyle w:val="ListParagraph"/>
        <w:numPr>
          <w:ilvl w:val="0"/>
          <w:numId w:val="14"/>
        </w:numPr>
        <w:spacing w:after="60"/>
      </w:pPr>
      <w:r>
        <w:rPr>
          <w:rFonts w:ascii="Arial" w:cs="Arial" w:eastAsia="Arial" w:hAnsi="Arial"/>
          <w:color w:val="2C3E50"/>
          <w:sz w:val="22"/>
          <w:szCs w:val="22"/>
        </w:rPr>
        <w:t xml:space="preserve">Timeout and fallback handling ensures the pipeline completes even if the AI service is slow or unavailable.</w:t>
      </w:r>
    </w:p>
    <w:p>
      <w:r>
        <w:br w:type="page"/>
      </w:r>
    </w:p>
    <w:p>
      <w:pPr>
        <w:pStyle w:val="Heading1"/>
      </w:pPr>
      <w:r>
        <w:t xml:space="preserve">11. Testing &amp; Reliability</w:t>
      </w:r>
    </w:p>
    <w:p>
      <w:pPr>
        <w:pStyle w:val="Heading2"/>
      </w:pPr>
      <w:r>
        <w:t xml:space="preserve">11.1 Test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Total Tests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206 across 14 test suites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Pass 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100% (206/206)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Flaky Tests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Zero (fixed in Sprint 3.5)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Test Types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Unit, integration, security, regression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20"/>
                <w:szCs w:val="20"/>
              </w:rPr>
              <w:t xml:space="preserve">CI Enforcement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All tests must pass before merge</w:t>
            </w:r>
          </w:p>
        </w:tc>
      </w:tr>
    </w:tbl>
    <w:p>
      <w:pPr>
        <w:spacing w:after="60"/>
      </w:pPr>
    </w:p>
    <w:p>
      <w:pPr>
        <w:pStyle w:val="Heading2"/>
      </w:pPr>
      <w:r>
        <w:t xml:space="preserve">11.2 Determinism in Testing</w:t>
      </w:r>
    </w:p>
    <w:p>
      <w:pPr>
        <w:spacing w:after="140" w:before="0"/>
      </w:pPr>
      <w:r>
        <w:rPr>
          <w:rFonts w:ascii="Arial" w:cs="Arial" w:eastAsia="Arial" w:hAnsi="Arial"/>
          <w:color w:val="2C3E50"/>
          <w:sz w:val="22"/>
          <w:szCs w:val="22"/>
        </w:rPr>
        <w:t xml:space="preserve">The Rule Engine is fully deterministic: given the same input data, it produces the identical risk score every time. This makes the engine inherently testable and enables regression testing that catches any unintended behavioural changes. The test suite includes boundary condition tests for all seven risk dimensions.</w:t>
      </w:r>
    </w:p>
    <w:p>
      <w:pPr>
        <w:spacing w:after="60"/>
      </w:pPr>
    </w:p>
    <w:p>
      <w:pPr>
        <w:pStyle w:val="Heading2"/>
      </w:pPr>
      <w:r>
        <w:t xml:space="preserve">11.3 CI/CD Validation</w:t>
      </w:r>
    </w:p>
    <w:p>
      <w:pPr>
        <w:spacing w:after="140" w:before="0"/>
      </w:pPr>
      <w:r>
        <w:rPr>
          <w:rFonts w:ascii="Arial" w:cs="Arial" w:eastAsia="Arial" w:hAnsi="Arial"/>
          <w:color w:val="2C3E50"/>
          <w:sz w:val="22"/>
          <w:szCs w:val="22"/>
        </w:rPr>
        <w:t xml:space="preserve">Every code push triggers a GitHub Actions pipeline that runs linting (flake8), the full test suite with coverage measurement, and Docker build validation. No code reaches the main branch without passing all gates.</w:t>
      </w:r>
    </w:p>
    <w:p>
      <w:pPr>
        <w:spacing w:after="60"/>
      </w:pPr>
    </w:p>
    <w:p>
      <w:pPr>
        <w:pStyle w:val="Heading2"/>
      </w:pPr>
      <w:r>
        <w:t xml:space="preserve">11.4 System Robustness</w:t>
      </w:r>
    </w:p>
    <w:p>
      <w:pPr>
        <w:pStyle w:val="ListParagraph"/>
        <w:numPr>
          <w:ilvl w:val="0"/>
          <w:numId w:val="15"/>
        </w:numPr>
        <w:spacing w:after="60"/>
      </w:pPr>
      <w:r>
        <w:rPr>
          <w:rFonts w:ascii="Arial" w:cs="Arial" w:eastAsia="Arial" w:hAnsi="Arial"/>
          <w:color w:val="2C3E50"/>
          <w:sz w:val="22"/>
          <w:szCs w:val="22"/>
        </w:rPr>
        <w:t xml:space="preserve">Graceful degradation: The Rule Engine and Supervisor operate independently of the AI layer.</w:t>
      </w:r>
    </w:p>
    <w:p>
      <w:pPr>
        <w:pStyle w:val="ListParagraph"/>
        <w:numPr>
          <w:ilvl w:val="0"/>
          <w:numId w:val="15"/>
        </w:numPr>
        <w:spacing w:after="60"/>
      </w:pPr>
      <w:r>
        <w:rPr>
          <w:rFonts w:ascii="Arial" w:cs="Arial" w:eastAsia="Arial" w:hAnsi="Arial"/>
          <w:color w:val="2C3E50"/>
          <w:sz w:val="22"/>
          <w:szCs w:val="22"/>
        </w:rPr>
        <w:t xml:space="preserve">Rate limiting on all API endpoints prevents abuse.</w:t>
      </w:r>
    </w:p>
    <w:p>
      <w:pPr>
        <w:pStyle w:val="ListParagraph"/>
        <w:numPr>
          <w:ilvl w:val="0"/>
          <w:numId w:val="15"/>
        </w:numPr>
        <w:spacing w:after="60"/>
      </w:pPr>
      <w:r>
        <w:rPr>
          <w:rFonts w:ascii="Arial" w:cs="Arial" w:eastAsia="Arial" w:hAnsi="Arial"/>
          <w:color w:val="2C3E50"/>
          <w:sz w:val="22"/>
          <w:szCs w:val="22"/>
        </w:rPr>
        <w:t xml:space="preserve">Structured error handling with appropriate HTTP status codes and client-safe error messages.</w:t>
      </w:r>
    </w:p>
    <w:p>
      <w:pPr>
        <w:pStyle w:val="ListParagraph"/>
        <w:numPr>
          <w:ilvl w:val="0"/>
          <w:numId w:val="15"/>
        </w:numPr>
        <w:spacing w:after="60"/>
      </w:pPr>
      <w:r>
        <w:rPr>
          <w:rFonts w:ascii="Arial" w:cs="Arial" w:eastAsia="Arial" w:hAnsi="Arial"/>
          <w:color w:val="2C3E50"/>
          <w:sz w:val="22"/>
          <w:szCs w:val="22"/>
        </w:rPr>
        <w:t xml:space="preserve">Health endpoint for container orchestration and uptime monitoring.</w:t>
      </w:r>
    </w:p>
    <w:p>
      <w:r>
        <w:br w:type="page"/>
      </w:r>
    </w:p>
    <w:p>
      <w:pPr>
        <w:pStyle w:val="Heading1"/>
      </w:pPr>
      <w:r>
        <w:t xml:space="preserve">12. Product Differentiation</w:t>
      </w:r>
    </w:p>
    <w:p>
      <w:pPr>
        <w:pStyle w:val="Heading2"/>
      </w:pPr>
      <w:r>
        <w:t xml:space="preserve">12.1 Deterministic vs. Black-Box AI</w:t>
      </w:r>
    </w:p>
    <w:p>
      <w:pPr>
        <w:spacing w:after="140" w:before="0"/>
      </w:pPr>
      <w:r>
        <w:rPr>
          <w:rFonts w:ascii="Arial" w:cs="Arial" w:eastAsia="Arial" w:hAnsi="Arial"/>
          <w:color w:val="2C3E50"/>
          <w:sz w:val="22"/>
          <w:szCs w:val="22"/>
        </w:rPr>
        <w:t xml:space="preserve">Most AI compliance tools treat the model as the decision-maker. Onboarda treats AI as a drafting assistant within a deterministic pipeline. This is not a philosophical distinction — it’s a regulatory requirement. Financial regulators require that compliance decisions be explainable, reproducible, and auditable. A system that says “the AI decided” cannot satisfy these requirements. Onboarda’s architecture can.</w:t>
      </w:r>
    </w:p>
    <w:p>
      <w:pPr>
        <w:spacing w:after="60"/>
      </w:pPr>
    </w:p>
    <w:p>
      <w:pPr>
        <w:pStyle w:val="Heading2"/>
      </w:pPr>
      <w:r>
        <w:t xml:space="preserve">12.2 Auditability</w:t>
      </w:r>
    </w:p>
    <w:p>
      <w:pPr>
        <w:spacing w:after="140" w:before="0"/>
      </w:pPr>
      <w:r>
        <w:rPr>
          <w:rFonts w:ascii="Arial" w:cs="Arial" w:eastAsia="Arial" w:hAnsi="Arial"/>
          <w:color w:val="2C3E50"/>
          <w:sz w:val="22"/>
          <w:szCs w:val="22"/>
        </w:rPr>
        <w:t xml:space="preserve">Every decision can be reconstructed from the audit trail: which rules fired, what data they evaluated, what the AI generated, what the validator flagged, and what the supervisor decided. This end-to-end traceability is essential for regulatory examinations and is typically absent from competitor offerings at this stage.</w:t>
      </w:r>
    </w:p>
    <w:p>
      <w:pPr>
        <w:spacing w:after="60"/>
      </w:pPr>
    </w:p>
    <w:p>
      <w:pPr>
        <w:pStyle w:val="Heading2"/>
      </w:pPr>
      <w:r>
        <w:t xml:space="preserve">12.3 Compliance-First Design</w:t>
      </w:r>
    </w:p>
    <w:p>
      <w:pPr>
        <w:spacing w:after="140" w:before="0"/>
      </w:pPr>
      <w:r>
        <w:rPr>
          <w:rFonts w:ascii="Arial" w:cs="Arial" w:eastAsia="Arial" w:hAnsi="Arial"/>
          <w:color w:val="2C3E50"/>
          <w:sz w:val="22"/>
          <w:szCs w:val="22"/>
        </w:rPr>
        <w:t xml:space="preserve">The platform was built from Day 1 as a compliance tool, not a general-purpose AI product adapted for compliance. This means:</w:t>
      </w:r>
    </w:p>
    <w:p>
      <w:pPr>
        <w:pStyle w:val="ListParagraph"/>
        <w:numPr>
          <w:ilvl w:val="0"/>
          <w:numId w:val="16"/>
        </w:numPr>
        <w:spacing w:after="60"/>
      </w:pPr>
      <w:r>
        <w:rPr>
          <w:rFonts w:ascii="Arial" w:cs="Arial" w:eastAsia="Arial" w:hAnsi="Arial"/>
          <w:color w:val="2C3E50"/>
          <w:sz w:val="22"/>
          <w:szCs w:val="22"/>
        </w:rPr>
        <w:t xml:space="preserve">Risk dimensions are aligned with FATF guidance and jurisdictional regulatory frameworks.</w:t>
      </w:r>
    </w:p>
    <w:p>
      <w:pPr>
        <w:pStyle w:val="ListParagraph"/>
        <w:numPr>
          <w:ilvl w:val="0"/>
          <w:numId w:val="16"/>
        </w:numPr>
        <w:spacing w:after="60"/>
      </w:pPr>
      <w:r>
        <w:rPr>
          <w:rFonts w:ascii="Arial" w:cs="Arial" w:eastAsia="Arial" w:hAnsi="Arial"/>
          <w:color w:val="2C3E50"/>
          <w:sz w:val="22"/>
          <w:szCs w:val="22"/>
        </w:rPr>
        <w:t xml:space="preserve">The human-in-the-loop requirement is embedded in the architecture, not bolted on.</w:t>
      </w:r>
    </w:p>
    <w:p>
      <w:pPr>
        <w:pStyle w:val="ListParagraph"/>
        <w:numPr>
          <w:ilvl w:val="0"/>
          <w:numId w:val="16"/>
        </w:numPr>
        <w:spacing w:after="60"/>
      </w:pPr>
      <w:r>
        <w:rPr>
          <w:rFonts w:ascii="Arial" w:cs="Arial" w:eastAsia="Arial" w:hAnsi="Arial"/>
          <w:color w:val="2C3E50"/>
          <w:sz w:val="22"/>
          <w:szCs w:val="22"/>
        </w:rPr>
        <w:t xml:space="preserve">Data segregation and audit logging are core features, not afterthoughts.</w:t>
      </w:r>
    </w:p>
    <w:p>
      <w:pPr>
        <w:pStyle w:val="ListParagraph"/>
        <w:numPr>
          <w:ilvl w:val="0"/>
          <w:numId w:val="16"/>
        </w:numPr>
        <w:spacing w:after="60"/>
      </w:pPr>
      <w:r>
        <w:rPr>
          <w:rFonts w:ascii="Arial" w:cs="Arial" w:eastAsia="Arial" w:hAnsi="Arial"/>
          <w:color w:val="2C3E50"/>
          <w:sz w:val="22"/>
          <w:szCs w:val="22"/>
        </w:rPr>
        <w:t xml:space="preserve">PDF outputs are formatted for regulatory submission, not internal consumption.</w:t>
      </w:r>
    </w:p>
    <w:p>
      <w:r>
        <w:br w:type="page"/>
      </w:r>
    </w:p>
    <w:p>
      <w:pPr>
        <w:pStyle w:val="Heading1"/>
      </w:pPr>
      <w:r>
        <w:t xml:space="preserve">13. Use Cases</w:t>
      </w:r>
    </w:p>
    <w:p>
      <w:pPr>
        <w:pStyle w:val="Heading2"/>
      </w:pPr>
      <w:r>
        <w:t xml:space="preserve">13.1 Simple Onboarding (Low Risk)</w:t>
      </w:r>
    </w:p>
    <w:p>
      <w:pPr>
        <w:spacing w:after="140" w:before="0"/>
      </w:pPr>
      <w:r>
        <w:rPr>
          <w:rFonts w:ascii="Arial" w:cs="Arial" w:eastAsia="Arial" w:hAnsi="Arial"/>
          <w:color w:val="2C3E50"/>
          <w:sz w:val="22"/>
          <w:szCs w:val="22"/>
        </w:rPr>
        <w:t xml:space="preserve">A local Mauritian retail company applies for a banking relationship. The business operates in a low-risk sector, has a simple ownership structure with two individual shareholders, and all documentation is in order. The Rule Engine assigns a LOW risk score. Sonnet generates a concise compliance memo. Validation passes with no flags. A junior compliance officer reviews and approves within 30 minutes.</w:t>
      </w:r>
    </w:p>
    <w:p>
      <w:pPr>
        <w:spacing w:after="60"/>
      </w:pPr>
    </w:p>
    <w:p>
      <w:pPr>
        <w:pStyle w:val="Heading2"/>
      </w:pPr>
      <w:r>
        <w:t xml:space="preserve">13.2 Complex UBO Structure (Medium Risk)</w:t>
      </w:r>
    </w:p>
    <w:p>
      <w:pPr>
        <w:spacing w:after="140" w:before="0"/>
      </w:pPr>
      <w:r>
        <w:rPr>
          <w:rFonts w:ascii="Arial" w:cs="Arial" w:eastAsia="Arial" w:hAnsi="Arial"/>
          <w:color w:val="2C3E50"/>
          <w:sz w:val="22"/>
          <w:szCs w:val="22"/>
        </w:rPr>
        <w:t xml:space="preserve">A holding company with a multi-layered ownership structure involving entities in three jurisdictions applies for onboarding. The UBO analysis identifies a chain of four intermediate holding companies. The Rule Engine assigns MEDIUM risk due to structural complexity. Sonnet generates a detailed memo with UBO chain visualisation. Validation flags one documentation gap. The compliance officer requests additional documents before approval.</w:t>
      </w:r>
    </w:p>
    <w:p>
      <w:pPr>
        <w:spacing w:after="60"/>
      </w:pPr>
    </w:p>
    <w:p>
      <w:pPr>
        <w:pStyle w:val="Heading2"/>
      </w:pPr>
      <w:r>
        <w:t xml:space="preserve">13.3 High-Risk PEP Case</w:t>
      </w:r>
    </w:p>
    <w:p>
      <w:pPr>
        <w:spacing w:after="140" w:before="0"/>
      </w:pPr>
      <w:r>
        <w:rPr>
          <w:rFonts w:ascii="Arial" w:cs="Arial" w:eastAsia="Arial" w:hAnsi="Arial"/>
          <w:color w:val="2C3E50"/>
          <w:sz w:val="22"/>
          <w:szCs w:val="22"/>
        </w:rPr>
        <w:t xml:space="preserve">A company with a Politically Exposed Person as a major shareholder applies for a financial services relationship. PEP screening triggers an automatic escalation. The Rule Engine assigns HIGH risk. Opus generates an in-depth compliance memo with enhanced due diligence analysis. Validation identifies the need for source of wealth verification. A senior compliance officer and supervisor must both sign off, with mandatory override justification if approved. The entire decision chain is logged for regulatory examination.</w:t>
      </w:r>
    </w:p>
    <w:p>
      <w:r>
        <w:br w:type="page"/>
      </w:r>
    </w:p>
    <w:p>
      <w:pPr>
        <w:pStyle w:val="Heading1"/>
      </w:pPr>
      <w:r>
        <w:t xml:space="preserve">14. Commercial Model</w:t>
      </w:r>
    </w:p>
    <w:p>
      <w:pPr>
        <w:pStyle w:val="Heading2"/>
      </w:pPr>
      <w:r>
        <w:t xml:space="preserve">14.1 Pilot Model</w:t>
      </w:r>
    </w:p>
    <w:p>
      <w:pPr>
        <w:spacing w:after="140" w:before="0"/>
      </w:pPr>
      <w:r>
        <w:rPr>
          <w:rFonts w:ascii="Arial" w:cs="Arial" w:eastAsia="Arial" w:hAnsi="Arial"/>
          <w:color w:val="2C3E50"/>
          <w:sz w:val="22"/>
          <w:szCs w:val="22"/>
        </w:rPr>
        <w:t xml:space="preserve">Onboarda’s go-to-market begins with structured pilot engagements. Each pilot runs 8–12 weeks with a maximum of 5 clients, allowing the team to validate product-market fit, gather usage data, and refine the platform based on real compliance officer feedback. Pilots are priced at a discounted SaaS rate to reduce adoption friction while establishing commercial relationships.</w:t>
      </w:r>
    </w:p>
    <w:p>
      <w:pPr>
        <w:spacing w:after="60"/>
      </w:pPr>
    </w:p>
    <w:p>
      <w:pPr>
        <w:pStyle w:val="Heading2"/>
      </w:pPr>
      <w:r>
        <w:t xml:space="preserve">14.2 Pricing Structure</w:t>
      </w:r>
    </w:p>
    <w:p>
      <w:pPr>
        <w:spacing w:after="140" w:before="0"/>
      </w:pPr>
      <w:r>
        <w:rPr>
          <w:rFonts w:ascii="Arial" w:cs="Arial" w:eastAsia="Arial" w:hAnsi="Arial"/>
          <w:color w:val="2C3E50"/>
          <w:sz w:val="22"/>
          <w:szCs w:val="22"/>
        </w:rPr>
        <w:t xml:space="preserve">The commercial model is designed for predictable, recurring revenue:</w:t>
      </w:r>
    </w:p>
    <w:p>
      <w:pPr>
        <w:pStyle w:val="ListParagraph"/>
        <w:numPr>
          <w:ilvl w:val="0"/>
          <w:numId w:val="17"/>
        </w:numPr>
        <w:spacing w:after="60"/>
      </w:pPr>
      <w:r>
        <w:rPr>
          <w:rFonts w:ascii="Arial" w:cs="Arial" w:eastAsia="Arial" w:hAnsi="Arial"/>
          <w:color w:val="2C3E50"/>
          <w:sz w:val="22"/>
          <w:szCs w:val="22"/>
        </w:rPr>
        <w:t xml:space="preserve">Platform License: Monthly SaaS fee per institution, tiered by volume.</w:t>
      </w:r>
    </w:p>
    <w:p>
      <w:pPr>
        <w:pStyle w:val="ListParagraph"/>
        <w:numPr>
          <w:ilvl w:val="0"/>
          <w:numId w:val="17"/>
        </w:numPr>
        <w:spacing w:after="60"/>
      </w:pPr>
      <w:r>
        <w:rPr>
          <w:rFonts w:ascii="Arial" w:cs="Arial" w:eastAsia="Arial" w:hAnsi="Arial"/>
          <w:color w:val="2C3E50"/>
          <w:sz w:val="22"/>
          <w:szCs w:val="22"/>
        </w:rPr>
        <w:t xml:space="preserve">Per-Case Processing: Variable fee per onboarding case processed, covering AI compute costs.</w:t>
      </w:r>
    </w:p>
    <w:p>
      <w:pPr>
        <w:pStyle w:val="ListParagraph"/>
        <w:numPr>
          <w:ilvl w:val="0"/>
          <w:numId w:val="17"/>
        </w:numPr>
        <w:spacing w:after="60"/>
      </w:pPr>
      <w:r>
        <w:rPr>
          <w:rFonts w:ascii="Arial" w:cs="Arial" w:eastAsia="Arial" w:hAnsi="Arial"/>
          <w:color w:val="2C3E50"/>
          <w:sz w:val="22"/>
          <w:szCs w:val="22"/>
        </w:rPr>
        <w:t xml:space="preserve">Premium Features: Enhanced reporting, custom risk models, API integrations, and priority support.</w:t>
      </w:r>
    </w:p>
    <w:p>
      <w:pPr>
        <w:spacing w:after="60"/>
      </w:pPr>
    </w:p>
    <w:p>
      <w:pPr>
        <w:pStyle w:val="Heading2"/>
      </w:pPr>
      <w:r>
        <w:t xml:space="preserve">14.3 Revenue Scalability</w:t>
      </w:r>
    </w:p>
    <w:p>
      <w:pPr>
        <w:spacing w:after="140" w:before="0"/>
      </w:pPr>
      <w:r>
        <w:rPr>
          <w:rFonts w:ascii="Arial" w:cs="Arial" w:eastAsia="Arial" w:hAnsi="Arial"/>
          <w:color w:val="2C3E50"/>
          <w:sz w:val="22"/>
          <w:szCs w:val="22"/>
        </w:rPr>
        <w:t xml:space="preserve">Revenue scales in two dimensions: horizontally (more institutional clients) and vertically (more cases per client). The AI cost structure improves at scale because the risk-based routing means higher volume does not linearly increase AI spend. Infrastructure costs are relatively fixed per tenant, so gross margins improve significantly beyond the first 10–15 clients.</w:t>
      </w:r>
    </w:p>
    <w:p>
      <w:r>
        <w:br w:type="page"/>
      </w:r>
    </w:p>
    <w:p>
      <w:pPr>
        <w:pStyle w:val="Heading1"/>
      </w:pPr>
      <w:r>
        <w:t xml:space="preserve">15. Market Opportunity</w:t>
      </w:r>
    </w:p>
    <w:p>
      <w:pPr>
        <w:pStyle w:val="Heading2"/>
      </w:pPr>
      <w:r>
        <w:t xml:space="preserve">15.1 Target Clients</w:t>
      </w:r>
    </w:p>
    <w:p>
      <w:pPr>
        <w:pStyle w:val="ListParagraph"/>
        <w:numPr>
          <w:ilvl w:val="0"/>
          <w:numId w:val="18"/>
        </w:numPr>
        <w:spacing w:after="60"/>
      </w:pPr>
      <w:r>
        <w:rPr>
          <w:rFonts w:ascii="Arial" w:cs="Arial" w:eastAsia="Arial" w:hAnsi="Arial"/>
          <w:color w:val="2C3E50"/>
          <w:sz w:val="22"/>
          <w:szCs w:val="22"/>
        </w:rPr>
        <w:t xml:space="preserve">Licensed banks and non-bank financial institutions in Mauritius (~25 banks, ~300+ NBFIs).</w:t>
      </w:r>
    </w:p>
    <w:p>
      <w:pPr>
        <w:pStyle w:val="ListParagraph"/>
        <w:numPr>
          <w:ilvl w:val="0"/>
          <w:numId w:val="18"/>
        </w:numPr>
        <w:spacing w:after="60"/>
      </w:pPr>
      <w:r>
        <w:rPr>
          <w:rFonts w:ascii="Arial" w:cs="Arial" w:eastAsia="Arial" w:hAnsi="Arial"/>
          <w:color w:val="2C3E50"/>
          <w:sz w:val="22"/>
          <w:szCs w:val="22"/>
        </w:rPr>
        <w:t xml:space="preserve">Global Business Companies (GBCs) and management companies operating under the Mauritius Financial Services Commission.</w:t>
      </w:r>
    </w:p>
    <w:p>
      <w:pPr>
        <w:pStyle w:val="ListParagraph"/>
        <w:numPr>
          <w:ilvl w:val="0"/>
          <w:numId w:val="18"/>
        </w:numPr>
        <w:spacing w:after="60"/>
      </w:pPr>
      <w:r>
        <w:rPr>
          <w:rFonts w:ascii="Arial" w:cs="Arial" w:eastAsia="Arial" w:hAnsi="Arial"/>
          <w:color w:val="2C3E50"/>
          <w:sz w:val="22"/>
          <w:szCs w:val="22"/>
        </w:rPr>
        <w:t xml:space="preserve">Insurance companies and fund administrators with AML/KYC obligations.</w:t>
      </w:r>
    </w:p>
    <w:p>
      <w:pPr>
        <w:spacing w:after="60"/>
      </w:pPr>
    </w:p>
    <w:p>
      <w:pPr>
        <w:pStyle w:val="Heading2"/>
      </w:pPr>
      <w:r>
        <w:t xml:space="preserve">15.2 Geographic Expansion</w:t>
      </w:r>
    </w:p>
    <w:p>
      <w:pPr>
        <w:spacing w:after="140" w:before="0"/>
      </w:pPr>
      <w:r>
        <w:rPr>
          <w:rFonts w:ascii="Arial" w:cs="Arial" w:eastAsia="Arial" w:hAnsi="Arial"/>
          <w:color w:val="2C3E50"/>
          <w:sz w:val="22"/>
          <w:szCs w:val="22"/>
        </w:rPr>
        <w:t xml:space="preserve">Mauritius is the beachhead market, but the platform’s architecture supports geographic expansion:</w:t>
      </w:r>
    </w:p>
    <w:p>
      <w:pPr>
        <w:pStyle w:val="ListParagraph"/>
        <w:numPr>
          <w:ilvl w:val="0"/>
          <w:numId w:val="19"/>
        </w:numPr>
        <w:spacing w:after="60"/>
      </w:pPr>
      <w:r>
        <w:rPr>
          <w:rFonts w:ascii="Arial" w:cs="Arial" w:eastAsia="Arial" w:hAnsi="Arial"/>
          <w:color w:val="2C3E50"/>
          <w:sz w:val="22"/>
          <w:szCs w:val="22"/>
        </w:rPr>
        <w:t xml:space="preserve">East Africa corridor: Kenya, Tanzania, Rwanda — rapidly digitising financial sectors with growing compliance requirements.</w:t>
      </w:r>
    </w:p>
    <w:p>
      <w:pPr>
        <w:pStyle w:val="ListParagraph"/>
        <w:numPr>
          <w:ilvl w:val="0"/>
          <w:numId w:val="19"/>
        </w:numPr>
        <w:spacing w:after="60"/>
      </w:pPr>
      <w:r>
        <w:rPr>
          <w:rFonts w:ascii="Arial" w:cs="Arial" w:eastAsia="Arial" w:hAnsi="Arial"/>
          <w:color w:val="2C3E50"/>
          <w:sz w:val="22"/>
          <w:szCs w:val="22"/>
        </w:rPr>
        <w:t xml:space="preserve">Southern Africa: South Africa, Botswana — mature financial markets with established but underserved compliance technology needs.</w:t>
      </w:r>
    </w:p>
    <w:p>
      <w:pPr>
        <w:pStyle w:val="ListParagraph"/>
        <w:numPr>
          <w:ilvl w:val="0"/>
          <w:numId w:val="19"/>
        </w:numPr>
        <w:spacing w:after="60"/>
      </w:pPr>
      <w:r>
        <w:rPr>
          <w:rFonts w:ascii="Arial" w:cs="Arial" w:eastAsia="Arial" w:hAnsi="Arial"/>
          <w:color w:val="2C3E50"/>
          <w:sz w:val="22"/>
          <w:szCs w:val="22"/>
        </w:rPr>
        <w:t xml:space="preserve">International financial centres: Dubai (DIFC), Singapore — where Mauritius-based entities frequently interact.</w:t>
      </w:r>
    </w:p>
    <w:p>
      <w:pPr>
        <w:spacing w:after="60"/>
      </w:pPr>
    </w:p>
    <w:p>
      <w:pPr>
        <w:pStyle w:val="Heading2"/>
      </w:pPr>
      <w:r>
        <w:t xml:space="preserve">15.3 Industry Relevance</w:t>
      </w:r>
    </w:p>
    <w:p>
      <w:pPr>
        <w:spacing w:after="140" w:before="0"/>
      </w:pPr>
      <w:r>
        <w:rPr>
          <w:rFonts w:ascii="Arial" w:cs="Arial" w:eastAsia="Arial" w:hAnsi="Arial"/>
          <w:color w:val="2C3E50"/>
          <w:sz w:val="22"/>
          <w:szCs w:val="22"/>
        </w:rPr>
        <w:t xml:space="preserve">The global RegTech market is projected to exceed $44 billion by 2028, growing at 23% CAGR. Within this, KYC/AML compliance represents the largest segment. Africa and the Middle East remain the most underserved regions — creating a first-mover opportunity for a platform built for these regulatory environments.</w:t>
      </w:r>
    </w:p>
    <w:p>
      <w:r>
        <w:br w:type="page"/>
      </w:r>
    </w:p>
    <w:p>
      <w:pPr>
        <w:pStyle w:val="Heading1"/>
      </w:pPr>
      <w:r>
        <w:t xml:space="preserve">16. Scalability</w:t>
      </w:r>
    </w:p>
    <w:p>
      <w:pPr>
        <w:pStyle w:val="Heading2"/>
      </w:pPr>
      <w:r>
        <w:t xml:space="preserve">16.1 Technical Scalability</w:t>
      </w:r>
    </w:p>
    <w:p>
      <w:pPr>
        <w:pStyle w:val="ListParagraph"/>
        <w:numPr>
          <w:ilvl w:val="0"/>
          <w:numId w:val="20"/>
        </w:numPr>
        <w:spacing w:after="60"/>
      </w:pPr>
      <w:r>
        <w:rPr>
          <w:rFonts w:ascii="Arial" w:cs="Arial" w:eastAsia="Arial" w:hAnsi="Arial"/>
          <w:color w:val="2C3E50"/>
          <w:sz w:val="22"/>
          <w:szCs w:val="22"/>
        </w:rPr>
        <w:t xml:space="preserve">Tornado’s async, non-blocking I/O supports high concurrency without thread-per-request overhead.</w:t>
      </w:r>
    </w:p>
    <w:p>
      <w:pPr>
        <w:pStyle w:val="ListParagraph"/>
        <w:numPr>
          <w:ilvl w:val="0"/>
          <w:numId w:val="20"/>
        </w:numPr>
        <w:spacing w:after="60"/>
      </w:pPr>
      <w:r>
        <w:rPr>
          <w:rFonts w:ascii="Arial" w:cs="Arial" w:eastAsia="Arial" w:hAnsi="Arial"/>
          <w:color w:val="2C3E50"/>
          <w:sz w:val="22"/>
          <w:szCs w:val="22"/>
        </w:rPr>
        <w:t xml:space="preserve">Stateless API design enables horizontal scaling behind a load balancer.</w:t>
      </w:r>
    </w:p>
    <w:p>
      <w:pPr>
        <w:pStyle w:val="ListParagraph"/>
        <w:numPr>
          <w:ilvl w:val="0"/>
          <w:numId w:val="20"/>
        </w:numPr>
        <w:spacing w:after="60"/>
      </w:pPr>
      <w:r>
        <w:rPr>
          <w:rFonts w:ascii="Arial" w:cs="Arial" w:eastAsia="Arial" w:hAnsi="Arial"/>
          <w:color w:val="2C3E50"/>
          <w:sz w:val="22"/>
          <w:szCs w:val="22"/>
        </w:rPr>
        <w:t xml:space="preserve">PostgreSQL supports connection pooling and read replicas for database scaling.</w:t>
      </w:r>
    </w:p>
    <w:p>
      <w:pPr>
        <w:pStyle w:val="ListParagraph"/>
        <w:numPr>
          <w:ilvl w:val="0"/>
          <w:numId w:val="20"/>
        </w:numPr>
        <w:spacing w:after="60"/>
      </w:pPr>
      <w:r>
        <w:rPr>
          <w:rFonts w:ascii="Arial" w:cs="Arial" w:eastAsia="Arial" w:hAnsi="Arial"/>
          <w:color w:val="2C3E50"/>
          <w:sz w:val="22"/>
          <w:szCs w:val="22"/>
        </w:rPr>
        <w:t xml:space="preserve">Docker containers enable rapid scaling on any cloud provider (AWS ECS, GCP Cloud Run, Azure Container Instances).</w:t>
      </w:r>
    </w:p>
    <w:p>
      <w:pPr>
        <w:pStyle w:val="ListParagraph"/>
        <w:numPr>
          <w:ilvl w:val="0"/>
          <w:numId w:val="20"/>
        </w:numPr>
        <w:spacing w:after="60"/>
      </w:pPr>
      <w:r>
        <w:rPr>
          <w:rFonts w:ascii="Arial" w:cs="Arial" w:eastAsia="Arial" w:hAnsi="Arial"/>
          <w:color w:val="2C3E50"/>
          <w:sz w:val="22"/>
          <w:szCs w:val="22"/>
        </w:rPr>
        <w:t xml:space="preserve">The AI layer is an external API call — it scales independently of the application infrastructure.</w:t>
      </w:r>
    </w:p>
    <w:p>
      <w:pPr>
        <w:spacing w:after="60"/>
      </w:pPr>
    </w:p>
    <w:p>
      <w:pPr>
        <w:pStyle w:val="Heading2"/>
      </w:pPr>
      <w:r>
        <w:t xml:space="preserve">16.2 Product Scalability</w:t>
      </w:r>
    </w:p>
    <w:p>
      <w:pPr>
        <w:pStyle w:val="ListParagraph"/>
        <w:numPr>
          <w:ilvl w:val="0"/>
          <w:numId w:val="21"/>
        </w:numPr>
        <w:spacing w:after="60"/>
      </w:pPr>
      <w:r>
        <w:rPr>
          <w:rFonts w:ascii="Arial" w:cs="Arial" w:eastAsia="Arial" w:hAnsi="Arial"/>
          <w:color w:val="2C3E50"/>
          <w:sz w:val="22"/>
          <w:szCs w:val="22"/>
        </w:rPr>
        <w:t xml:space="preserve">Config-driven risk models allow new jurisdictions and sectors to be added without code changes.</w:t>
      </w:r>
    </w:p>
    <w:p>
      <w:pPr>
        <w:pStyle w:val="ListParagraph"/>
        <w:numPr>
          <w:ilvl w:val="0"/>
          <w:numId w:val="21"/>
        </w:numPr>
        <w:spacing w:after="60"/>
      </w:pPr>
      <w:r>
        <w:rPr>
          <w:rFonts w:ascii="Arial" w:cs="Arial" w:eastAsia="Arial" w:hAnsi="Arial"/>
          <w:color w:val="2C3E50"/>
          <w:sz w:val="22"/>
          <w:szCs w:val="22"/>
        </w:rPr>
        <w:t xml:space="preserve">Branding system supports white-label deployments for distribution partners.</w:t>
      </w:r>
    </w:p>
    <w:p>
      <w:pPr>
        <w:pStyle w:val="ListParagraph"/>
        <w:numPr>
          <w:ilvl w:val="0"/>
          <w:numId w:val="21"/>
        </w:numPr>
        <w:spacing w:after="60"/>
      </w:pPr>
      <w:r>
        <w:rPr>
          <w:rFonts w:ascii="Arial" w:cs="Arial" w:eastAsia="Arial" w:hAnsi="Arial"/>
          <w:color w:val="2C3E50"/>
          <w:sz w:val="22"/>
          <w:szCs w:val="22"/>
        </w:rPr>
        <w:t xml:space="preserve">Feature flags per environment enable progressive rollout of new capabilities.</w:t>
      </w:r>
    </w:p>
    <w:p>
      <w:pPr>
        <w:pStyle w:val="ListParagraph"/>
        <w:numPr>
          <w:ilvl w:val="0"/>
          <w:numId w:val="21"/>
        </w:numPr>
        <w:spacing w:after="60"/>
      </w:pPr>
      <w:r>
        <w:rPr>
          <w:rFonts w:ascii="Arial" w:cs="Arial" w:eastAsia="Arial" w:hAnsi="Arial"/>
          <w:color w:val="2C3E50"/>
          <w:sz w:val="22"/>
          <w:szCs w:val="22"/>
        </w:rPr>
        <w:t xml:space="preserve">The modular architecture allows individual components (e.g., screening, PDF generation) to be upgraded independently.</w:t>
      </w:r>
    </w:p>
    <w:p>
      <w:pPr>
        <w:spacing w:after="60"/>
      </w:pPr>
    </w:p>
    <w:p>
      <w:pPr>
        <w:pStyle w:val="Heading2"/>
      </w:pPr>
      <w:r>
        <w:t xml:space="preserve">16.3 Geographic Expansion</w:t>
      </w:r>
    </w:p>
    <w:p>
      <w:pPr>
        <w:spacing w:after="140" w:before="0"/>
      </w:pPr>
      <w:r>
        <w:rPr>
          <w:rFonts w:ascii="Arial" w:cs="Arial" w:eastAsia="Arial" w:hAnsi="Arial"/>
          <w:color w:val="2C3E50"/>
          <w:sz w:val="22"/>
          <w:szCs w:val="22"/>
        </w:rPr>
        <w:t xml:space="preserve">Adding a new jurisdiction requires: configuring jurisdiction risk scores, adapting screening data sources, and localising compliance memo templates. The Rule Engine’s risk dimensions are universal (aligned with FATF), so the core logic transfers directly. Estimated time to add a new jurisdiction: 2–4 weeks of configuration, not development.</w:t>
      </w:r>
    </w:p>
    <w:p>
      <w:r>
        <w:br w:type="page"/>
      </w:r>
    </w:p>
    <w:p>
      <w:pPr>
        <w:pStyle w:val="Heading1"/>
      </w:pPr>
      <w:r>
        <w:t xml:space="preserve">17. Risks &amp; Limitations</w:t>
      </w:r>
    </w:p>
    <w:p>
      <w:pPr>
        <w:pStyle w:val="Heading2"/>
      </w:pPr>
      <w:r>
        <w:t xml:space="preserve">17.1 Technical Risks</w:t>
      </w:r>
    </w:p>
    <w:p>
      <w:pPr>
        <w:pStyle w:val="ListParagraph"/>
        <w:numPr>
          <w:ilvl w:val="0"/>
          <w:numId w:val="22"/>
        </w:numPr>
        <w:spacing w:after="60"/>
      </w:pPr>
      <w:r>
        <w:rPr>
          <w:rFonts w:ascii="Arial" w:cs="Arial" w:eastAsia="Arial" w:hAnsi="Arial"/>
          <w:color w:val="2C3E50"/>
          <w:sz w:val="22"/>
          <w:szCs w:val="22"/>
        </w:rPr>
        <w:t xml:space="preserve">Single AI provider dependency: Currently reliant on Anthropic’s Claude API. Mitigation: The AI layer abstraction supports future provider diversification.</w:t>
      </w:r>
    </w:p>
    <w:p>
      <w:pPr>
        <w:pStyle w:val="ListParagraph"/>
        <w:numPr>
          <w:ilvl w:val="0"/>
          <w:numId w:val="22"/>
        </w:numPr>
        <w:spacing w:after="60"/>
      </w:pPr>
      <w:r>
        <w:rPr>
          <w:rFonts w:ascii="Arial" w:cs="Arial" w:eastAsia="Arial" w:hAnsi="Arial"/>
          <w:color w:val="2C3E50"/>
          <w:sz w:val="22"/>
          <w:szCs w:val="22"/>
        </w:rPr>
        <w:t xml:space="preserve">Dependency version pinning gap: Requirements are not yet version-pinned. Mitigation: Scheduled for pre-pilot hardening (1 day of effort).</w:t>
      </w:r>
    </w:p>
    <w:p>
      <w:pPr>
        <w:pStyle w:val="ListParagraph"/>
        <w:numPr>
          <w:ilvl w:val="0"/>
          <w:numId w:val="22"/>
        </w:numPr>
        <w:spacing w:after="60"/>
      </w:pPr>
      <w:r>
        <w:rPr>
          <w:rFonts w:ascii="Arial" w:cs="Arial" w:eastAsia="Arial" w:hAnsi="Arial"/>
          <w:color w:val="2C3E50"/>
          <w:sz w:val="22"/>
          <w:szCs w:val="22"/>
        </w:rPr>
        <w:t xml:space="preserve">Test coverage depth: At ~40–50% code coverage, edge cases in complex UBO and screening logic need additional coverage. Mitigation: Raising CI threshold to 60% on the immediate roadmap.</w:t>
      </w:r>
    </w:p>
    <w:p>
      <w:pPr>
        <w:spacing w:after="60"/>
      </w:pPr>
    </w:p>
    <w:p>
      <w:pPr>
        <w:pStyle w:val="Heading2"/>
      </w:pPr>
      <w:r>
        <w:t xml:space="preserve">17.2 Operational Risks</w:t>
      </w:r>
    </w:p>
    <w:p>
      <w:pPr>
        <w:pStyle w:val="ListParagraph"/>
        <w:numPr>
          <w:ilvl w:val="0"/>
          <w:numId w:val="23"/>
        </w:numPr>
        <w:spacing w:after="60"/>
      </w:pPr>
      <w:r>
        <w:rPr>
          <w:rFonts w:ascii="Arial" w:cs="Arial" w:eastAsia="Arial" w:hAnsi="Arial"/>
          <w:color w:val="2C3E50"/>
          <w:sz w:val="22"/>
          <w:szCs w:val="22"/>
        </w:rPr>
        <w:t xml:space="preserve">Key person risk: Small founding engineering team. Mitigation: Comprehensive architecture documentation and modular codebase reduce bus factor.</w:t>
      </w:r>
    </w:p>
    <w:p>
      <w:pPr>
        <w:pStyle w:val="ListParagraph"/>
        <w:numPr>
          <w:ilvl w:val="0"/>
          <w:numId w:val="23"/>
        </w:numPr>
        <w:spacing w:after="60"/>
      </w:pPr>
      <w:r>
        <w:rPr>
          <w:rFonts w:ascii="Arial" w:cs="Arial" w:eastAsia="Arial" w:hAnsi="Arial"/>
          <w:color w:val="2C3E50"/>
          <w:sz w:val="22"/>
          <w:szCs w:val="22"/>
        </w:rPr>
        <w:t xml:space="preserve">No staging environment: Production deployments are validated by CI but lack a staging gate. Mitigation: Staging deployment planned before pilot launch.</w:t>
      </w:r>
    </w:p>
    <w:p>
      <w:pPr>
        <w:pStyle w:val="ListParagraph"/>
        <w:numPr>
          <w:ilvl w:val="0"/>
          <w:numId w:val="23"/>
        </w:numPr>
        <w:spacing w:after="60"/>
      </w:pPr>
      <w:r>
        <w:rPr>
          <w:rFonts w:ascii="Arial" w:cs="Arial" w:eastAsia="Arial" w:hAnsi="Arial"/>
          <w:color w:val="2C3E50"/>
          <w:sz w:val="22"/>
          <w:szCs w:val="22"/>
        </w:rPr>
        <w:t xml:space="preserve">Database migration tooling: Schema changes require manual SQL scripts. Mitigation: Alembic adoption on the short-term roadmap.</w:t>
      </w:r>
    </w:p>
    <w:p>
      <w:pPr>
        <w:spacing w:after="60"/>
      </w:pPr>
    </w:p>
    <w:p>
      <w:pPr>
        <w:pStyle w:val="Heading2"/>
      </w:pPr>
      <w:r>
        <w:t xml:space="preserve">17.3 AI Limitations</w:t>
      </w:r>
    </w:p>
    <w:p>
      <w:pPr>
        <w:pStyle w:val="ListParagraph"/>
        <w:numPr>
          <w:ilvl w:val="0"/>
          <w:numId w:val="24"/>
        </w:numPr>
        <w:spacing w:after="60"/>
      </w:pPr>
      <w:r>
        <w:rPr>
          <w:rFonts w:ascii="Arial" w:cs="Arial" w:eastAsia="Arial" w:hAnsi="Arial"/>
          <w:color w:val="2C3E50"/>
          <w:sz w:val="22"/>
          <w:szCs w:val="22"/>
        </w:rPr>
        <w:t xml:space="preserve">AI-generated memos are analytical drafts, not legal opinions. Compliance officers must exercise professional judgment.</w:t>
      </w:r>
    </w:p>
    <w:p>
      <w:pPr>
        <w:pStyle w:val="ListParagraph"/>
        <w:numPr>
          <w:ilvl w:val="0"/>
          <w:numId w:val="24"/>
        </w:numPr>
        <w:spacing w:after="60"/>
      </w:pPr>
      <w:r>
        <w:rPr>
          <w:rFonts w:ascii="Arial" w:cs="Arial" w:eastAsia="Arial" w:hAnsi="Arial"/>
          <w:color w:val="2C3E50"/>
          <w:sz w:val="22"/>
          <w:szCs w:val="22"/>
        </w:rPr>
        <w:t xml:space="preserve">LLM behaviour can vary between model versions. The Validation Engine mitigates this by cross-checking AI output against deterministic results.</w:t>
      </w:r>
    </w:p>
    <w:p>
      <w:pPr>
        <w:pStyle w:val="ListParagraph"/>
        <w:numPr>
          <w:ilvl w:val="0"/>
          <w:numId w:val="24"/>
        </w:numPr>
        <w:spacing w:after="60"/>
      </w:pPr>
      <w:r>
        <w:rPr>
          <w:rFonts w:ascii="Arial" w:cs="Arial" w:eastAsia="Arial" w:hAnsi="Arial"/>
          <w:color w:val="2C3E50"/>
          <w:sz w:val="22"/>
          <w:szCs w:val="22"/>
        </w:rPr>
        <w:t xml:space="preserve">Token costs increase with case complexity. The risk-based routing strategy manages this, but very complex cases (deep UBO chains) will have higher per-case AI costs.</w:t>
      </w:r>
    </w:p>
    <w:p>
      <w:r>
        <w:br w:type="page"/>
      </w:r>
    </w:p>
    <w:p>
      <w:pPr>
        <w:pStyle w:val="Heading1"/>
      </w:pPr>
      <w:r>
        <w:t xml:space="preserve">18. Roadmap</w:t>
      </w:r>
    </w:p>
    <w:p>
      <w:pPr>
        <w:pStyle w:val="Heading2"/>
      </w:pPr>
      <w:r>
        <w:t xml:space="preserve">18.1 Short-Term: Pilot Phase (0–3 months)</w:t>
      </w:r>
    </w:p>
    <w:p>
      <w:pPr>
        <w:pStyle w:val="ListParagraph"/>
        <w:numPr>
          <w:ilvl w:val="0"/>
          <w:numId w:val="25"/>
        </w:numPr>
        <w:spacing w:after="60"/>
      </w:pPr>
      <w:r>
        <w:rPr>
          <w:rFonts w:ascii="Arial" w:cs="Arial" w:eastAsia="Arial" w:hAnsi="Arial"/>
          <w:color w:val="2C3E50"/>
          <w:sz w:val="22"/>
          <w:szCs w:val="22"/>
        </w:rPr>
        <w:t xml:space="preserve">Pin all dependency versions with hash verification.</w:t>
      </w:r>
    </w:p>
    <w:p>
      <w:pPr>
        <w:pStyle w:val="ListParagraph"/>
        <w:numPr>
          <w:ilvl w:val="0"/>
          <w:numId w:val="25"/>
        </w:numPr>
        <w:spacing w:after="60"/>
      </w:pPr>
      <w:r>
        <w:rPr>
          <w:rFonts w:ascii="Arial" w:cs="Arial" w:eastAsia="Arial" w:hAnsi="Arial"/>
          <w:color w:val="2C3E50"/>
          <w:sz w:val="22"/>
          <w:szCs w:val="22"/>
        </w:rPr>
        <w:t xml:space="preserve">Deploy staging environment mirroring production.</w:t>
      </w:r>
    </w:p>
    <w:p>
      <w:pPr>
        <w:pStyle w:val="ListParagraph"/>
        <w:numPr>
          <w:ilvl w:val="0"/>
          <w:numId w:val="25"/>
        </w:numPr>
        <w:spacing w:after="60"/>
      </w:pPr>
      <w:r>
        <w:rPr>
          <w:rFonts w:ascii="Arial" w:cs="Arial" w:eastAsia="Arial" w:hAnsi="Arial"/>
          <w:color w:val="2C3E50"/>
          <w:sz w:val="22"/>
          <w:szCs w:val="22"/>
        </w:rPr>
        <w:t xml:space="preserve">Launch pilot with 3–5 Mauritian financial institutions.</w:t>
      </w:r>
    </w:p>
    <w:p>
      <w:pPr>
        <w:pStyle w:val="ListParagraph"/>
        <w:numPr>
          <w:ilvl w:val="0"/>
          <w:numId w:val="25"/>
        </w:numPr>
        <w:spacing w:after="60"/>
      </w:pPr>
      <w:r>
        <w:rPr>
          <w:rFonts w:ascii="Arial" w:cs="Arial" w:eastAsia="Arial" w:hAnsi="Arial"/>
          <w:color w:val="2C3E50"/>
          <w:sz w:val="22"/>
          <w:szCs w:val="22"/>
        </w:rPr>
        <w:t xml:space="preserve">Raise test coverage threshold to 60%.</w:t>
      </w:r>
    </w:p>
    <w:p>
      <w:pPr>
        <w:pStyle w:val="ListParagraph"/>
        <w:numPr>
          <w:ilvl w:val="0"/>
          <w:numId w:val="25"/>
        </w:numPr>
        <w:spacing w:after="60"/>
      </w:pPr>
      <w:r>
        <w:rPr>
          <w:rFonts w:ascii="Arial" w:cs="Arial" w:eastAsia="Arial" w:hAnsi="Arial"/>
          <w:color w:val="2C3E50"/>
          <w:sz w:val="22"/>
          <w:szCs w:val="22"/>
        </w:rPr>
        <w:t xml:space="preserve">Implement per-client AI cost attribution dashboard.</w:t>
      </w:r>
    </w:p>
    <w:p>
      <w:pPr>
        <w:pStyle w:val="ListParagraph"/>
        <w:numPr>
          <w:ilvl w:val="0"/>
          <w:numId w:val="25"/>
        </w:numPr>
        <w:spacing w:after="60"/>
      </w:pPr>
      <w:r>
        <w:rPr>
          <w:rFonts w:ascii="Arial" w:cs="Arial" w:eastAsia="Arial" w:hAnsi="Arial"/>
          <w:color w:val="2C3E50"/>
          <w:sz w:val="22"/>
          <w:szCs w:val="22"/>
        </w:rPr>
        <w:t xml:space="preserve">Add 4 missing database indexes for production performance.</w:t>
      </w:r>
    </w:p>
    <w:p>
      <w:pPr>
        <w:spacing w:after="60"/>
      </w:pPr>
    </w:p>
    <w:p>
      <w:pPr>
        <w:pStyle w:val="Heading2"/>
      </w:pPr>
      <w:r>
        <w:t xml:space="preserve">18.2 Medium-Term: Post-Pilot (3–6 months)</w:t>
      </w:r>
    </w:p>
    <w:p>
      <w:pPr>
        <w:pStyle w:val="ListParagraph"/>
        <w:numPr>
          <w:ilvl w:val="0"/>
          <w:numId w:val="26"/>
        </w:numPr>
        <w:spacing w:after="60"/>
      </w:pPr>
      <w:r>
        <w:rPr>
          <w:rFonts w:ascii="Arial" w:cs="Arial" w:eastAsia="Arial" w:hAnsi="Arial"/>
          <w:color w:val="2C3E50"/>
          <w:sz w:val="22"/>
          <w:szCs w:val="22"/>
        </w:rPr>
        <w:t xml:space="preserve">Adopt database migration framework (Alembic).</w:t>
      </w:r>
    </w:p>
    <w:p>
      <w:pPr>
        <w:pStyle w:val="ListParagraph"/>
        <w:numPr>
          <w:ilvl w:val="0"/>
          <w:numId w:val="26"/>
        </w:numPr>
        <w:spacing w:after="60"/>
      </w:pPr>
      <w:r>
        <w:rPr>
          <w:rFonts w:ascii="Arial" w:cs="Arial" w:eastAsia="Arial" w:hAnsi="Arial"/>
          <w:color w:val="2C3E50"/>
          <w:sz w:val="22"/>
          <w:szCs w:val="22"/>
        </w:rPr>
        <w:t xml:space="preserve">Implement monitoring and alerting stack (Prometheus + Grafana).</w:t>
      </w:r>
    </w:p>
    <w:p>
      <w:pPr>
        <w:pStyle w:val="ListParagraph"/>
        <w:numPr>
          <w:ilvl w:val="0"/>
          <w:numId w:val="26"/>
        </w:numPr>
        <w:spacing w:after="60"/>
      </w:pPr>
      <w:r>
        <w:rPr>
          <w:rFonts w:ascii="Arial" w:cs="Arial" w:eastAsia="Arial" w:hAnsi="Arial"/>
          <w:color w:val="2C3E50"/>
          <w:sz w:val="22"/>
          <w:szCs w:val="22"/>
        </w:rPr>
        <w:t xml:space="preserve">Add end-to-end browser testing for portal and back office.</w:t>
      </w:r>
    </w:p>
    <w:p>
      <w:pPr>
        <w:pStyle w:val="ListParagraph"/>
        <w:numPr>
          <w:ilvl w:val="0"/>
          <w:numId w:val="26"/>
        </w:numPr>
        <w:spacing w:after="60"/>
      </w:pPr>
      <w:r>
        <w:rPr>
          <w:rFonts w:ascii="Arial" w:cs="Arial" w:eastAsia="Arial" w:hAnsi="Arial"/>
          <w:color w:val="2C3E50"/>
          <w:sz w:val="22"/>
          <w:szCs w:val="22"/>
        </w:rPr>
        <w:t xml:space="preserve">Begin SOC 2 Type I certification preparation.</w:t>
      </w:r>
    </w:p>
    <w:p>
      <w:pPr>
        <w:pStyle w:val="ListParagraph"/>
        <w:numPr>
          <w:ilvl w:val="0"/>
          <w:numId w:val="26"/>
        </w:numPr>
        <w:spacing w:after="60"/>
      </w:pPr>
      <w:r>
        <w:rPr>
          <w:rFonts w:ascii="Arial" w:cs="Arial" w:eastAsia="Arial" w:hAnsi="Arial"/>
          <w:color w:val="2C3E50"/>
          <w:sz w:val="22"/>
          <w:szCs w:val="22"/>
        </w:rPr>
        <w:t xml:space="preserve">Evaluate multi-provider AI fallback strategy.</w:t>
      </w:r>
    </w:p>
    <w:p>
      <w:pPr>
        <w:pStyle w:val="ListParagraph"/>
        <w:numPr>
          <w:ilvl w:val="0"/>
          <w:numId w:val="26"/>
        </w:numPr>
        <w:spacing w:after="60"/>
      </w:pPr>
      <w:r>
        <w:rPr>
          <w:rFonts w:ascii="Arial" w:cs="Arial" w:eastAsia="Arial" w:hAnsi="Arial"/>
          <w:color w:val="2C3E50"/>
          <w:sz w:val="22"/>
          <w:szCs w:val="22"/>
        </w:rPr>
        <w:t xml:space="preserve">Onboard first paying clients at full commercial pricing.</w:t>
      </w:r>
    </w:p>
    <w:p>
      <w:pPr>
        <w:spacing w:after="60"/>
      </w:pPr>
    </w:p>
    <w:p>
      <w:pPr>
        <w:pStyle w:val="Heading2"/>
      </w:pPr>
      <w:r>
        <w:t xml:space="preserve">18.3 Long-Term: Platform Expansion (6–18 months)</w:t>
      </w:r>
    </w:p>
    <w:p>
      <w:pPr>
        <w:pStyle w:val="ListParagraph"/>
        <w:numPr>
          <w:ilvl w:val="0"/>
          <w:numId w:val="27"/>
        </w:numPr>
        <w:spacing w:after="60"/>
      </w:pPr>
      <w:r>
        <w:rPr>
          <w:rFonts w:ascii="Arial" w:cs="Arial" w:eastAsia="Arial" w:hAnsi="Arial"/>
          <w:color w:val="2C3E50"/>
          <w:sz w:val="22"/>
          <w:szCs w:val="22"/>
        </w:rPr>
        <w:t xml:space="preserve">Expand to East African markets (Kenya, Tanzania, Rwanda).</w:t>
      </w:r>
    </w:p>
    <w:p>
      <w:pPr>
        <w:pStyle w:val="ListParagraph"/>
        <w:numPr>
          <w:ilvl w:val="0"/>
          <w:numId w:val="27"/>
        </w:numPr>
        <w:spacing w:after="60"/>
      </w:pPr>
      <w:r>
        <w:rPr>
          <w:rFonts w:ascii="Arial" w:cs="Arial" w:eastAsia="Arial" w:hAnsi="Arial"/>
          <w:color w:val="2C3E50"/>
          <w:sz w:val="22"/>
          <w:szCs w:val="22"/>
        </w:rPr>
        <w:t xml:space="preserve">Evolve from single-tenant to multi-tenant architecture.</w:t>
      </w:r>
    </w:p>
    <w:p>
      <w:pPr>
        <w:pStyle w:val="ListParagraph"/>
        <w:numPr>
          <w:ilvl w:val="0"/>
          <w:numId w:val="27"/>
        </w:numPr>
        <w:spacing w:after="60"/>
      </w:pPr>
      <w:r>
        <w:rPr>
          <w:rFonts w:ascii="Arial" w:cs="Arial" w:eastAsia="Arial" w:hAnsi="Arial"/>
          <w:color w:val="2C3E50"/>
          <w:sz w:val="22"/>
          <w:szCs w:val="22"/>
        </w:rPr>
        <w:t xml:space="preserve">Develop API marketplace for third-party screening integrations.</w:t>
      </w:r>
    </w:p>
    <w:p>
      <w:pPr>
        <w:pStyle w:val="ListParagraph"/>
        <w:numPr>
          <w:ilvl w:val="0"/>
          <w:numId w:val="27"/>
        </w:numPr>
        <w:spacing w:after="60"/>
      </w:pPr>
      <w:r>
        <w:rPr>
          <w:rFonts w:ascii="Arial" w:cs="Arial" w:eastAsia="Arial" w:hAnsi="Arial"/>
          <w:color w:val="2C3E50"/>
          <w:sz w:val="22"/>
          <w:szCs w:val="22"/>
        </w:rPr>
        <w:t xml:space="preserve">Build real-time transaction monitoring module.</w:t>
      </w:r>
    </w:p>
    <w:p>
      <w:pPr>
        <w:pStyle w:val="ListParagraph"/>
        <w:numPr>
          <w:ilvl w:val="0"/>
          <w:numId w:val="27"/>
        </w:numPr>
        <w:spacing w:after="60"/>
      </w:pPr>
      <w:r>
        <w:rPr>
          <w:rFonts w:ascii="Arial" w:cs="Arial" w:eastAsia="Arial" w:hAnsi="Arial"/>
          <w:color w:val="2C3E50"/>
          <w:sz w:val="22"/>
          <w:szCs w:val="22"/>
        </w:rPr>
        <w:t xml:space="preserve">Launch partner channel for white-label distribution.</w:t>
      </w:r>
    </w:p>
    <w:p>
      <w:pPr>
        <w:pStyle w:val="ListParagraph"/>
        <w:numPr>
          <w:ilvl w:val="0"/>
          <w:numId w:val="27"/>
        </w:numPr>
        <w:spacing w:after="60"/>
      </w:pPr>
      <w:r>
        <w:rPr>
          <w:rFonts w:ascii="Arial" w:cs="Arial" w:eastAsia="Arial" w:hAnsi="Arial"/>
          <w:color w:val="2C3E50"/>
          <w:sz w:val="22"/>
          <w:szCs w:val="22"/>
        </w:rPr>
        <w:t xml:space="preserve">Pursue SOC 2 Type II and ISO 27001 certifications.</w:t>
      </w:r>
    </w:p>
    <w:p>
      <w:r>
        <w:br w:type="page"/>
      </w:r>
    </w:p>
    <w:p>
      <w:pPr>
        <w:pStyle w:val="Heading1"/>
      </w:pPr>
      <w:r>
        <w:t xml:space="preserve">19. Conclusion</w:t>
      </w:r>
    </w:p>
    <w:p>
      <w:pPr>
        <w:pStyle w:val="Heading2"/>
      </w:pPr>
      <w:r>
        <w:t xml:space="preserve">19.1 Why the Product is Investable</w:t>
      </w:r>
    </w:p>
    <w:p>
      <w:pPr>
        <w:spacing w:after="140" w:before="0"/>
      </w:pPr>
      <w:r>
        <w:rPr>
          <w:rFonts w:ascii="Arial" w:cs="Arial" w:eastAsia="Arial" w:hAnsi="Arial"/>
          <w:color w:val="2C3E50"/>
          <w:sz w:val="22"/>
          <w:szCs w:val="22"/>
        </w:rPr>
        <w:t xml:space="preserve">Onboarda addresses a $274 billion global compliance cost problem with a platform purpose-built for regulated financial institutions. The initial market (Mauritius) provides a focused beachhead with clear regulatory demand and limited technology competition. The dual-brand strategy (Onboarda for clients, RegMind for compliance officers) demonstrates product sophistication beyond a typical seed-stage offering.</w:t>
      </w:r>
    </w:p>
    <w:p>
      <w:pPr>
        <w:spacing w:after="60"/>
      </w:pPr>
    </w:p>
    <w:p>
      <w:pPr>
        <w:pStyle w:val="Heading2"/>
      </w:pPr>
      <w:r>
        <w:t xml:space="preserve">19.2 Why the Architecture is Sound</w:t>
      </w:r>
    </w:p>
    <w:p>
      <w:pPr>
        <w:spacing w:after="140" w:before="0"/>
      </w:pPr>
      <w:r>
        <w:rPr>
          <w:rFonts w:ascii="Arial" w:cs="Arial" w:eastAsia="Arial" w:hAnsi="Arial"/>
          <w:color w:val="2C3E50"/>
          <w:sz w:val="22"/>
          <w:szCs w:val="22"/>
        </w:rPr>
        <w:t xml:space="preserve">The four-layer deterministic pipeline is the correct architectural answer for regulated-industry compliance. It ensures every decision is reproducible, auditable, and explainable — the three non-negotiable requirements from financial regulators globally. The codebase at 16,851 lines across 24 modules, with 206 passing tests and no circular dependencies, is clean, well-structured, and maintainable. Security controls exceed typical seed-stage maturity.</w:t>
      </w:r>
    </w:p>
    <w:p>
      <w:pPr>
        <w:spacing w:after="60"/>
      </w:pPr>
    </w:p>
    <w:p>
      <w:pPr>
        <w:pStyle w:val="Heading2"/>
      </w:pPr>
      <w:r>
        <w:t xml:space="preserve">19.3 Why It Can Scale</w:t>
      </w:r>
    </w:p>
    <w:p>
      <w:pPr>
        <w:spacing w:after="140" w:before="0"/>
      </w:pPr>
      <w:r>
        <w:rPr>
          <w:rFonts w:ascii="Arial" w:cs="Arial" w:eastAsia="Arial" w:hAnsi="Arial"/>
          <w:color w:val="2C3E50"/>
          <w:sz w:val="22"/>
          <w:szCs w:val="22"/>
        </w:rPr>
        <w:t xml:space="preserve">The config-driven architecture means new jurisdictions, new clients, and new compliance frameworks can be added through configuration rather than code changes. The single-tenant model provides the strongest data segregation for early enterprise clients, while the application-level tenant isolation is pre-positioned for multi-tenant evolution. Revenue scales both horizontally (more institutions) and vertically (more cases per institution), with improving unit economics at volume.</w:t>
      </w:r>
    </w:p>
    <w:p>
      <w:pPr>
        <w:spacing w:after="200"/>
      </w:pPr>
    </w:p>
    <w:p>
      <w:pPr>
        <w:pBdr>
          <w:bottom w:val="single" w:color="1B3A5C" w:sz="6" w:space="1"/>
        </w:pBdr>
        <w:spacing w:after="200"/>
      </w:pPr>
    </w:p>
    <w:p>
      <w:pPr>
        <w:spacing w:after="60"/>
        <w:jc w:val="center"/>
      </w:pPr>
      <w:r>
        <w:rPr>
          <w:rFonts w:ascii="Arial" w:cs="Arial" w:eastAsia="Arial" w:hAnsi="Arial"/>
          <w:i/>
          <w:iCs/>
          <w:color w:val="95A5A6"/>
          <w:sz w:val="20"/>
          <w:szCs w:val="20"/>
        </w:rPr>
        <w:t xml:space="preserve">End of Product &amp; Technical Specification Report</w:t>
      </w:r>
    </w:p>
    <w:p>
      <w:pPr>
        <w:jc w:val="center"/>
      </w:pPr>
      <w:r>
        <w:rPr>
          <w:rFonts w:ascii="Arial" w:cs="Arial" w:eastAsia="Arial" w:hAnsi="Arial"/>
          <w:color w:val="95A5A6"/>
          <w:sz w:val="20"/>
          <w:szCs w:val="20"/>
        </w:rPr>
        <w:t xml:space="preserve">Onboarda Ltd — Confidential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1"/>
      </w:pBdr>
      <w:tabs>
        <w:tab w:val="right" w:pos="9026"/>
      </w:tabs>
    </w:pPr>
    <w:r>
      <w:rPr>
        <w:rFonts w:ascii="Arial" w:cs="Arial" w:eastAsia="Arial" w:hAnsi="Arial"/>
        <w:color w:val="95A5A6"/>
        <w:sz w:val="16"/>
        <w:szCs w:val="16"/>
      </w:rPr>
      <w:t xml:space="preserve">Onboarda Ltd  |  Powered by RegMind</w:t>
    </w:r>
    <w:r>
      <w:rPr>
        <w:rFonts w:ascii="Arial" w:cs="Arial" w:eastAsia="Arial" w:hAnsi="Arial"/>
        <w:color w:val="95A5A6"/>
        <w:sz w:val="16"/>
        <w:szCs w:val="16"/>
      </w:rPr>
      <w:t xml:space="preserve">	Page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1"/>
      </w:pBdr>
      <w:tabs>
        <w:tab w:val="right" w:pos="9026"/>
      </w:tabs>
    </w:pPr>
    <w:r>
      <w:rPr>
        <w:rFonts w:ascii="Arial" w:cs="Arial" w:eastAsia="Arial" w:hAnsi="Arial"/>
        <w:color w:val="95A5A6"/>
        <w:sz w:val="16"/>
        <w:szCs w:val="16"/>
      </w:rPr>
      <w:t xml:space="preserve">Onboarda — Product &amp; Technical Specification</w:t>
    </w:r>
    <w:r>
      <w:rPr>
        <w:rFonts w:ascii="Arial" w:cs="Arial" w:eastAsia="Arial" w:hAnsi="Arial"/>
        <w:b/>
        <w:bCs/>
        <w:color w:val="95A5A6"/>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2026-03-22T12:33:07.876Z</dcterms:created>
  <dcterms:modified xsi:type="dcterms:W3CDTF">2026-03-22T12:33:07.876Z</dcterms:modified>
</cp:coreProperties>
</file>

<file path=docProps/custom.xml><?xml version="1.0" encoding="utf-8"?>
<Properties xmlns="http://schemas.openxmlformats.org/officeDocument/2006/custom-properties" xmlns:vt="http://schemas.openxmlformats.org/officeDocument/2006/docPropsVTypes"/>
</file>