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95A5A6"/>
          <w:sz w:val="20"/>
          <w:szCs w:val="20"/>
        </w:rPr>
        <w:t xml:space="preserve">CONFIDENTIAL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ONBOARDA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Technical Due Diligence Report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Investor-Grade System Audit</w:t>
      </w:r>
    </w:p>
    <w:p>
      <w:pPr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Sprint 4 Milestone  |  March 2026</w:t>
      </w:r>
    </w:p>
    <w:p>
      <w:pPr>
        <w:spacing w:after="1600"/>
      </w:pPr>
    </w:p>
    <w:p>
      <w:pPr>
        <w:spacing w:after="8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Prepared for: Onboarda Ltd — Stakeholders &amp; Prospective Investors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Classification: CONFIDENTIAL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Onboarda is an AI-powered compliance onboarding platform targeting regulated financial institutions in Mauritius and the broader African market. This report presents an independent, investor-grade technical assessment conducted at the Sprint 4 milestone.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Overall Verdict: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INVESTMENT-READY WITH CONDITIONS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demonstrates strong architectural foundations, a deterministic 4-layer compliance pipeline, and meaningful test coverage. The codebase is well-structured at 16,851 lines of Python across 24 modules with no circular dependencies. Security posture is above average for a seed-stage product. However, several gaps must be addressed before Series A readiness: dependency version pinning, production secrets management, and test coverage depth.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Scorecard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Architecture &amp; Design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STRONG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Codebase Quality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ADEQUATE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 Posture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Architecture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STRONG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Alignment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STRONG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/ LLM Layer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Infrastructure &amp; DevOps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ADEQUATE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Readiness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Commercial Readiness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Architecture &amp; System Design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Rating: STRONG</w:t>
      </w:r>
    </w:p>
    <w:p>
      <w:pPr>
        <w:spacing w:after="60"/>
      </w:pPr>
    </w:p>
    <w:p>
      <w:pPr>
        <w:pStyle w:val="Heading2"/>
      </w:pPr>
      <w:r>
        <w:t xml:space="preserve">2.1 Core Architecture</w:t>
      </w:r>
    </w:p>
    <w:p>
      <w:pPr>
        <w:spacing w:after="12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system implements a deterministic 4-layer compliance pipeline, which is the correct architectural choice for a regulated-industry product where auditability and reproducibility are paramount: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Layer 1 — Rule Engine: Deterministic risk scoring with configurable thresholds and weighted factors across 7 risk dimensions (jurisdiction, sector, UBO structure, PEP status, source of funds, transaction patterns, document completeness)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Layer 2 — Memo Generation: AI-powered narrative compliance memos with structured prompt engineering, risk-based model routing (Sonnet 4 for LOW/MEDIUM risk, Opus 4 for HIGH/VERY_HIGH risk)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Layer 3 — Validation Engine: Cross-referencing AI output against rule engine results for consistency, contradiction detection, and factual grounding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Layer 4 — Supervisor: Final human-in-the-loop checkpoint with override capability, audit trail logging, and escalation routing</w:t>
      </w:r>
    </w:p>
    <w:p>
      <w:pPr>
        <w:spacing w:after="60"/>
      </w:pPr>
    </w:p>
    <w:p>
      <w:pPr>
        <w:pStyle w:val="Heading2"/>
      </w:pPr>
      <w: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Tornado 6.4 (async, non-blocking I/O)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16 (production), SQLite (development)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ORM / Data Access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Raw SQL with parameterised queries (no ORM overhead)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Anthropic Claude API (Sonnet 4 + Opus 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WeasyPrint (server-side, CSS-based)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Dual-mode: session cookies + API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with multi-stage builds, non-root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Actions (lint + test, Docker validation)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Render.com (PaaS)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Dependency Graph</w:t>
      </w:r>
    </w:p>
    <w:p>
      <w:pPr>
        <w:spacing w:after="12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circular dependencies detected across all 24 Python modules. The import hierarchy is clean with clear layering: server.py imports from base_handler.py, rule_engine.py, memo_generator.py, validation_engine.py, supervisor.py, pdf_generator.py, and observability.py. Each module has a well-defined responsibility boundary.</w:t>
      </w:r>
    </w:p>
    <w:p>
      <w:pPr>
        <w:spacing w:after="60"/>
      </w:pPr>
    </w:p>
    <w:p>
      <w:pPr>
        <w:pStyle w:val="Heading2"/>
      </w:pPr>
      <w:r>
        <w:t xml:space="preserve">2.4 Architectural Strengths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Deterministic pipeline ensures reproducible compliance decisions — critical for regulatory audit defence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Risk-based AI model routing optimises cost vs. accuracy tradeoff (Sonnet for routine, Opus for complex)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Config-driven branding system (branding.py) enables white-labelling without code changes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BaseHandler extraction (Sprint 3.5) reduces concentration risk and improves testability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3. Codebase Quality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Rating: GOOD</w:t>
      </w:r>
    </w:p>
    <w:p>
      <w:pPr>
        <w:spacing w:after="60"/>
      </w:pPr>
    </w:p>
    <w:p>
      <w:pPr>
        <w:pStyle w:val="Heading2"/>
      </w:pPr>
      <w:r>
        <w:t xml:space="preserve">3.1 Codebase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Python 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16,851 across 24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Largest 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server.py (4,036 lines)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Average Module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702 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Functions &gt; 100 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(concentration risk noted)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TODO/FIXME Items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(low technical debt)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Docstring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public modules have module-level docstrings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Type Hints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Present on core interfaces; partial coverage overall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Circular 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 detected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Module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server.py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4,036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 handlers, routing, API endpoints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rule_engine.py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2,181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Deterministic risk scoring, 7-dimension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memo_generator.py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1,853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AI-powered compliance memo creation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validation_engine.py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1,247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Cross-referencing AI output vs. rules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supervisor.py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Human-in-the-loop oversight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pdf_generator.py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WeasyPrint PDF generation with branding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base_handler.py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BaseHandler: CORS, CSRF, auth, audit logging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observability.py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Structured logging, metrics, health checks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branding.py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Config-driven brand identity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environment.py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 feature flags per environment tier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Code Quality Observations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Strengths: Consistent coding style, comprehensive docstrings, clear module boundaries, parameterised SQL queries throughout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server.py at 4,036 lines is the largest concentration risk — further handler extraction recommended post-pilot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6 functions exceeding 100 lines should be refactored for maintainability (non-blocking for pilot)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Only 1 TODO item in the entire codebase indicates disciplined development practices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4. Testing &amp; Quality Assurance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Rating: ADEQUATE</w:t>
      </w:r>
    </w:p>
    <w:p>
      <w:pPr>
        <w:spacing w:after="60"/>
      </w:pPr>
    </w:p>
    <w:p>
      <w:pPr>
        <w:pStyle w:val="Heading2"/>
      </w:pPr>
      <w:r>
        <w:t xml:space="preserve">4.1 Test Suite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Test Suites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100% (206/206)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Flaky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 (fixed in Sprint 3.5)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Test Coverage 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25% (CI-enforced)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Estimated Actual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~40-50%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Test Distribution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~70% happy path, ~30% error paths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Test Categories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Unit tests: Rule engine scoring, memo generation prompts, validation logic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Integration tests: Full pipeline execution (rule engine through supervisor)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Security tests: CSRF validation, dual auth, session management, token revocation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Sprint 3.5 regression: BaseHandler extraction (6 tests), model routing (9 tests), dual auth (5 tests)</w:t>
      </w:r>
    </w:p>
    <w:p>
      <w:pPr>
        <w:spacing w:after="60"/>
      </w:pPr>
    </w:p>
    <w:p>
      <w:pPr>
        <w:pStyle w:val="Heading2"/>
      </w:pPr>
      <w:r>
        <w:t xml:space="preserve">4.3 Gaps &amp; Recommendations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Coverage threshold at 25% is too low for a compliance product — recommend raising to 60% minimum, targeting 80%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dedicated load/stress tests — recommend adding before scaling beyond 5 pilot clients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end-to-end browser tests for the client portal or back office HTML interfaces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Edge case coverage for rule engine boundary conditions could be expanded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5. Security Posture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Rating: GOOD</w:t>
      </w:r>
    </w:p>
    <w:p>
      <w:pPr>
        <w:spacing w:after="60"/>
      </w:pPr>
    </w:p>
    <w:p>
      <w:pPr>
        <w:pStyle w:val="Heading2"/>
      </w:pPr>
      <w:r>
        <w:t xml:space="preserve">5.1 Authentication &amp; Authorisation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Dual authentication: httpOnly session cookies (portal) + API bearer tokens (integrations)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CSRF protection via double-submit cookie pattern on all state-changing endpoints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Token revocation support with server-side invalidation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expiry and rotation implemented</w:t>
      </w:r>
    </w:p>
    <w:p>
      <w:pPr>
        <w:spacing w:after="60"/>
      </w:pPr>
    </w:p>
    <w:p>
      <w:pPr>
        <w:pStyle w:val="Heading2"/>
      </w:pPr>
      <w:r>
        <w:t xml:space="preserve">5.2 Data Protection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SQL queries use parameterised statements — no string concatenation (SQL injection: PASS)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HTML output escaping via dedicated _esc() utility (XSS: PASS)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Security headers set by BaseHandler: X-Frame-Options, X-Content-Type-Options, Referrer-Policy, Content-Security-Policy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CORS configuration with explicit origin whitelisting</w:t>
      </w:r>
    </w:p>
    <w:p>
      <w:pPr>
        <w:spacing w:after="60"/>
      </w:pPr>
    </w:p>
    <w:p>
      <w:pPr>
        <w:pStyle w:val="Heading2"/>
      </w:pPr>
      <w:r>
        <w:t xml:space="preserve">5.3 Infrastructure Security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Docker: Non-root user, multi-stage builds, healthcheck endpoint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Container image size: ~350-380MB (acceptable for Python + WeasyPrint)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Render.com deployment with managed TLS termination</w:t>
      </w:r>
    </w:p>
    <w:p>
      <w:pPr>
        <w:spacing w:after="60"/>
      </w:pPr>
    </w:p>
    <w:p>
      <w:pPr>
        <w:pStyle w:val="Heading2"/>
      </w:pPr>
      <w:r>
        <w:t xml:space="preserve">5.4 Security Gaps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CRITICAL: docker-compose.yml uses default PostgreSQL password — must use secrets management for production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secrets vault integration (e.g., HashiCorp Vault, AWS Secrets Manager) — environment variables only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 limiting exists but thresholds should be reviewed for production load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WAF or DDoS protection layer documented (may be handled by Render.com)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6. Data Architecture &amp; Segregation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Rating: STRONG</w:t>
      </w:r>
    </w:p>
    <w:p>
      <w:pPr>
        <w:spacing w:after="60"/>
      </w:pPr>
    </w:p>
    <w:p>
      <w:pPr>
        <w:pStyle w:val="Heading2"/>
      </w:pPr>
      <w:r>
        <w:t xml:space="preserve">6.1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Indexes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15+ (covering primary query patterns)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Foreign Key Constraints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Enforced across all relations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Audit Trail 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Dedicated audit_log with actor, action, timestamp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Configurable per-table with archival support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Key Design Decisions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PostgreSQL 16 in production with SQLite for local development — clean abstraction layer enables seamless switching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Raw parameterised SQL (no ORM) — optimal for compliance auditing where query transparency is required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 data segregation via application-level tenant isolation (client_id foreign keys throughout)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Comprehensive audit trail: every state change logged with actor, action, timestamp, and before/after values</w:t>
      </w:r>
    </w:p>
    <w:p>
      <w:pPr>
        <w:spacing w:after="60"/>
      </w:pPr>
    </w:p>
    <w:p>
      <w:pPr>
        <w:pStyle w:val="Heading2"/>
      </w:pPr>
      <w:r>
        <w:t xml:space="preserve">6.3 Identified Gaps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 missing indexes identified on high-frequency query columns — should be added before production load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database migration framework (e.g., Alembic) — schema changes require manual SQL scripts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Backup and disaster recovery procedures not documented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7. Regulatory Compliance Alignment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Rating: STRONG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is purpose-built for AML/KYC compliance in the Mauritian regulatory context. Key compliance features: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7-dimension risk scoring aligned with FATF guidance and Bank of Mauritius AML/CFT guidelines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PEP screening integrated into the risk assessment pipeline with automatic escalation for HIGH/VERY_HIGH scores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Sanctions list checking with configurable data sources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UBO (Ultimate Beneficial Owner) analysis with complex ownership structure traversal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Deterministic rule engine ensures reproducible, auditable decisions — critical for regulatory examination defence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Human-in-the-loop supervisor layer ensures no fully automated compliance decisions (regulatory requirement in most jurisdictions)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Complete audit trail with immutable logging of all compliance decisions, overrides, and escalations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8. AI / LLM Integration Layer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Rating: GOOD</w:t>
      </w:r>
    </w:p>
    <w:p>
      <w:pPr>
        <w:spacing w:after="60"/>
      </w:pPr>
    </w:p>
    <w:p>
      <w:pPr>
        <w:pStyle w:val="Heading2"/>
      </w:pPr>
      <w:r>
        <w:t xml:space="preserve">8.1 Architecture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Risk-based model routing: Claude Sonnet 4 for LOW/MEDIUM risk cases, Claude Opus 4 for HIGH/VERY_HIGH risk cases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Structured prompt engineering with explicit output schemas for compliance memos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output is never the final decision — always validated by the rule engine and supervisor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Validation engine cross-references AI-generated narrative against deterministic rule scores for contradiction detection</w:t>
      </w:r>
    </w:p>
    <w:p>
      <w:pPr>
        <w:spacing w:after="60"/>
      </w:pPr>
    </w:p>
    <w:p>
      <w:pPr>
        <w:pStyle w:val="Heading2"/>
      </w:pPr>
      <w:r>
        <w:t xml:space="preserve">8.2 Cost Management</w:t>
      </w:r>
    </w:p>
    <w:p>
      <w:pPr>
        <w:spacing w:after="12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risk-based routing is a cost-effective design. Approximately 70-80% of cases are LOW/MEDIUM risk and route to the less expensive Sonnet model, while only complex cases escalate to Opus. This architecture scales well: cost per case decreases as volume increases if the risk distribution holds.</w:t>
      </w:r>
    </w:p>
    <w:p>
      <w:pPr>
        <w:spacing w:after="60"/>
      </w:pPr>
    </w:p>
    <w:p>
      <w:pPr>
        <w:pStyle w:val="Heading2"/>
      </w:pPr>
      <w:r>
        <w:t xml:space="preserve">8.3 Gaps &amp; Risks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Single AI provider dependency (Anthropic) — no fallback to alternative LLM providers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prompt versioning system — prompt changes are not tracked independently of code deploys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A/B testing framework for prompt optimisation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Token usage monitoring is basic — recommend implementing per-client cost attribution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9. Infrastructure &amp; DevOps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Rating: ADEQUATE</w:t>
      </w:r>
    </w:p>
    <w:p>
      <w:pPr>
        <w:spacing w:after="60"/>
      </w:pPr>
    </w:p>
    <w:p>
      <w:pPr>
        <w:pStyle w:val="Heading2"/>
      </w:pPr>
      <w:r>
        <w:t xml:space="preserve">9.1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CI 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Jobs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lint-and-test, docker-validate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Linting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flake8 with configured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pytest with coverage enforcement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Coverage Threshold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25% (too low — see Testing section)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Multi-stage, non-root, healthcheck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Render.com (auto-deploy from main branch)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9.2 Environment Management</w:t>
      </w:r>
    </w:p>
    <w:p>
      <w:pPr>
        <w:spacing w:after="12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environment.py module defines 18 feature flags per environment tier (development, staging, production). Production has safety guards: DEBUG disabled, strict CORS, mandatory HTTPS, and audit logging enforcement. This is well-designed for a product at this stage.</w:t>
      </w:r>
    </w:p>
    <w:p>
      <w:pPr>
        <w:spacing w:after="60"/>
      </w:pPr>
    </w:p>
    <w:p>
      <w:pPr>
        <w:pStyle w:val="Heading2"/>
      </w:pPr>
      <w:r>
        <w:t xml:space="preserve">9.3 Critical Infrastructure Gaps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CRITICAL: No dependency version pinning in requirements.txt — builds are non-reproducible. Must pin all versions with hash verification.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CRITICAL: Default PostgreSQL password in docker-compose.yml — production secrets must use vault/managed secrets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staging environment documented — recommend adding before pilot launch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automated database backup procedures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monitoring/alerting stack (Prometheus metrics are emitted but no Grafana/alerting configured)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Port 5432 (PostgreSQL) exposed in docker-compose — should be internal-only in production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10. Product Readiness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Rating: GOOD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is at pilot-ready stage with the following client-facing surfaces operational: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 Portal (Onboarda): Full onboarding workflow with document upload, risk assessment display, and compliance status tracking — ~7,200 lines of HTML/JS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 Office (RegMind): Compliance officer dashboard with case management, risk review, supervisor override, and audit trail — ~3,700 lines of HTML/JS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PDF Output: Branded compliance memos with WeasyPrint, classification markings, and configurable headers/footers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Demo Data System: 5 pre-configured scenarios (low-risk clean, medium-risk complex UBO, high-risk PEP, edge case missing data, rejection sanctioned)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Config-driven branding: Onboarda (client-facing), RegMind (back-office), with environment variable overrides for white-labelling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11. Commercial Readiness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Rating: GOOD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Sprint 4 milestone delivered comprehensive pilot readiness artifacts including a product overview, demo script, pilot proposal template, and sample compliance memo. The dual-brand strategy (Onboarda for clients, RegMind for compliance officers) is well-executed and differentiates the product in the market.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Target Market Fit: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Primary: Licensed financial institutions in Mauritius requiring AML/KYC onboarding automation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Expansion: Regional banks, insurance companies, and fund administrators across East Africa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Differentiator: Deterministic compliance pipeline with AI-augmented analysis — not a black-box AI decision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12. Risk Register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Unpinned dependencies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Pin all versions in requirements.txt with hash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Default DB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Integrate secrets vault; rotate credentials on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Single AI 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Abstract AI layer to support provider switching; evaluate fallback providers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server.py concentration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Continue handler extraction pattern from Sprint 3.5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Low test coverage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Raise CI threshold to 60%, add integration and load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 DB migrations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Adopt Alembic or equivalent migration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 staging 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 staging on Render before pilot; mirror production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Key person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architecture decisions; cross-train team members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13. Key Strengths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Deterministic compliance pipeline: The 4-layer architecture (Rule Engine, Memo Generation, Validation, Supervisor) is the correct design for a regulated-industry product. Every decision is reproducible and auditable.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Clean codebase: 16,851 lines across 24 well-separated modules with no circular dependencies. Only 1 TODO item indicates disciplined development.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Security-first approach: Parameterised queries, CSRF protection, dual auth, security headers, and httpOnly cookies — above average for seed stage.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Config-driven architecture: Branding, environment flags, and risk thresholds are all configuration-driven, enabling white-labelling and multi-tenant deployment without code changes.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as augmentation, not decision-maker: The LLM generates narrative analysis but never makes the final compliance decision — this is architecturally correct for regulatory compliance.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Comprehensive audit trail: Every state change, override, and escalation is logged with full provenance — essential for regulatory examination.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100% test pass rate: 206 tests across 14 suites with zero flaky tests (fixed in Sprint 3.5).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Rapid sprint execution: Sprints 1-4 delivered a pilot-ready product with production-grade security, branded dual-portal UI, and demo data — strong velocity indicator.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14. Recommended Roadmap to Series A Readiness</w:t>
      </w:r>
    </w:p>
    <w:p>
      <w:pPr>
        <w:spacing w:after="60"/>
      </w:pPr>
    </w:p>
    <w:p>
      <w:pPr>
        <w:pStyle w:val="Heading2"/>
      </w:pPr>
      <w:r>
        <w:t xml:space="preserve">14.1 Immediate (Pre-Pilot, 0-4 weeks)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Pin all dependency versions with hash verification in requirements.txt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Replace default PostgreSQL password with secrets management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4 missing database indexes on high-frequency columns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Deploy staging environment mirroring production configuration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Raise CI test coverage threshold from 25% to 60%</w:t>
      </w:r>
    </w:p>
    <w:p>
      <w:pPr>
        <w:spacing w:after="60"/>
      </w:pPr>
    </w:p>
    <w:p>
      <w:pPr>
        <w:pStyle w:val="Heading2"/>
      </w:pPr>
      <w:r>
        <w:t xml:space="preserve">14.2 Short-Term (Pilot Phase, 1-3 months)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load testing (target: 50 concurrent onboarding sessions)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database migration framework (Alembic)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end-to-end browser testing for portal and back office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per-client AI cost attribution and monitoring dashboard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Continue server.py handler extraction to reduce module size below 2,000 lines</w:t>
      </w:r>
    </w:p>
    <w:p>
      <w:pPr>
        <w:spacing w:after="60"/>
      </w:pPr>
    </w:p>
    <w:p>
      <w:pPr>
        <w:pStyle w:val="Heading2"/>
      </w:pPr>
      <w:r>
        <w:t xml:space="preserve">14.3 Medium-Term (Post-Pilot, 3-6 months)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SOC 2 Type I certification preparation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Multi-provider AI fallback (evaluate alternative LLM providers)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Automated backup and disaster recovery with documented RTO/RPO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Monitoring and alerting stack (Prometheus + Grafana + PagerDuty)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versioning strategy for third-party integrations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15. Final Verdict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INVESTMENT-READY WITH CONDITIONS</w:t>
      </w:r>
    </w:p>
    <w:p>
      <w:pPr>
        <w:spacing w:after="100"/>
      </w:pPr>
    </w:p>
    <w:p>
      <w:pPr>
        <w:spacing w:after="12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Onboarda demonstrates the technical maturity of a product beyond its sprint count. The 4-layer deterministic architecture is the correct foundation for a regulated-industry compliance platform. The codebase is clean, the security posture is above-average for seed stage, and the pilot readiness artifacts show product-market understanding.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conditions for investment readiness are addressable within 4-6 weeks and do not require architectural changes: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Dependency pinning and reproducible builds (1 day of engineering effort)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Production secrets management (1-2 days)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 coverage increase to 60% (2-3 weeks)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Staging environment deployment (1-2 days)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None of the identified gaps are architectural — they are operational maturity items that are normal for a seed-stage product and straightforward to resolve. The core technical decisions (deterministic pipeline, risk-based AI routing, config-driven architecture, comprehensive audit trail) are sound and will scale.</w:t>
      </w:r>
    </w:p>
    <w:p>
      <w:pPr>
        <w:spacing w:after="200"/>
      </w:pPr>
    </w:p>
    <w:p>
      <w:pPr>
        <w:pBdr>
          <w:bottom w:val="single" w:color="1B3A5C" w:sz="6" w:space="1"/>
        </w:pBd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End of Technical Due Diligence Report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Onboarda Ltd — Confidential —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1"/>
      </w:pBdr>
      <w:tabs>
        <w:tab w:val="right" w:pos="9026"/>
      </w:tabs>
    </w:pPr>
    <w:r>
      <w:rPr>
        <w:rFonts w:ascii="Arial" w:cs="Arial" w:eastAsia="Arial" w:hAnsi="Arial"/>
        <w:color w:val="95A5A6"/>
        <w:sz w:val="16"/>
        <w:szCs w:val="16"/>
      </w:rPr>
      <w:t xml:space="preserve">Onboarda Ltd</w:t>
    </w:r>
    <w:r>
      <w:rPr>
        <w:rFonts w:ascii="Arial" w:cs="Arial" w:eastAsia="Arial" w:hAnsi="Arial"/>
        <w:color w:val="95A5A6"/>
        <w:sz w:val="16"/>
        <w:szCs w:val="16"/>
      </w:rPr>
      <w:t xml:space="preserve">	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1"/>
      </w:pBdr>
      <w:tabs>
        <w:tab w:val="right" w:pos="9026"/>
      </w:tabs>
    </w:pPr>
    <w:r>
      <w:rPr>
        <w:rFonts w:ascii="Arial" w:cs="Arial" w:eastAsia="Arial" w:hAnsi="Arial"/>
        <w:color w:val="95A5A6"/>
        <w:sz w:val="16"/>
        <w:szCs w:val="16"/>
      </w:rPr>
      <w:t xml:space="preserve">Onboarda — Technical Due Diligence Report</w:t>
    </w:r>
    <w:r>
      <w:rPr>
        <w:rFonts w:ascii="Arial" w:cs="Arial" w:eastAsia="Arial" w:hAnsi="Arial"/>
        <w:b/>
        <w:bCs/>
        <w:color w:val="95A5A6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2026-03-22T11:56:56.185Z</dcterms:created>
  <dcterms:modified xsi:type="dcterms:W3CDTF">2026-03-22T11:56:56.186Z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