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ONBOARDA</w:t>
      </w:r>
    </w:p>
    <w:p>
      <w:pPr>
        <w:spacing w:after="40"/>
        <w:jc w:val="center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10-Minute Demo Script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5 Scenarios • Full Pipeline • Reproducible Results</w:t>
      </w:r>
    </w:p>
    <w:p>
      <w:pPr>
        <w:pStyle w:val="Heading1"/>
      </w:pPr>
      <w:r>
        <w:rPr>
          <w:rFonts w:ascii="Arial" w:cs="Arial" w:eastAsia="Arial" w:hAnsi="Arial"/>
        </w:rPr>
        <w:t xml:space="preserve">Pre-Demo Setup (2 minutes before)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python demo_pilot_data.py --run to seed all 5 scenarios and verify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as admin (admin@ariefinance.mu) to see the officer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5 applications appear in 'compliance_review'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 browser tab with the PDF download ready for Scenario 1.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Opening (30 seconds)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"Today I want to show you Onboarda — our AI-powered compliance onboarding platform. We are going to take 5 real-world scenarios, from a clean approval to a rejection, and show you how the system handles each one. Everything you see is deterministic — the same inputs always produce the same outputs. Let us start."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Scenario 1: Low-Risk: Meridian Software Ltd (UK)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Time: 2 min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Risk: LOW (38.0)  |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Decision: APPROVE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Setup: Open the application list. Select ARF-2026-DEMO01.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company profile: UK Technology SME, simple ownership, two shareholders.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'View Risk Assessment' — score 38.0 (LOW). Highlight the 7 risk dimensions, all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screening results: clean sanctions, verified corporate registry, no PEP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'View Compliance Memo' — scroll through the structured 11-section memo.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decision: APPROVE at 95% confidence. No rule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'Download PDF' — show the regulator-grade PDF with SHA-256 hash.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KEY MESSAGE: "This is what 80% of onboarding cases should look like: fast, clean, automated. The officer just reviews and approves."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Scenario 2: Medium-Risk: Coral Bay Holdings (Mauritius)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Time: 2 min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Risk: MEDIUM (51.4)  |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Decision: APPROVE_WITH_CONDITIONS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Setup: Navigate to ARF-2026-DEMO02.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complex UBO structure: 3 shareholders, one via a Jersey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score: 51.4 (MEDIUM). Highlight jurisdiction risk (Mauritius = offshore) and ownership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how the system identified the trust structure and flagged it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compliance memo — note the enhanced monitoring conditions in the decision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audit trail — every step from submission to risk scoring to memo generation is logged.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KEY MESSAGE: "The system handles complexity without slowing down. The officer gets a structured analysis, not a blank page."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Scenario 3: High-Risk: Atlas Digital Assets (UAE)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Time: 3 min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Risk: HIGH (63.3)  |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Decision: REVIEW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Setup: Navigate to ARF-2026-DEMO03.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red flags: PEP director (former Nigerian Deputy Minister), crypto sector, newly incorporated.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score: 63.3 (HIGH). The system automatically routes to Enhanced Due Diligence (EDD) 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AI model routing: this case used Opus (thorough model) because risk &gt; 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compliance memo: detailed PEP analysis, sector risk justification, enhanced monitoring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decision: REVIEW — the system recommends senior officer review, not automatic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 the rule engine: no human can downgrade this to APPROVE without documented justification.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KEY MESSAGE: "This is where Onboarda protects the institution. The AI does the heavy analysis; the rule engine ensures the right decision."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Scenario 4: Edge Case: Sunshine Trading (Missing Data)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Time: 2 min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Risk: MEDIUM (47.5)  |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Decision: APPROVE_WITH_CONDITIONS + Warnings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Setup: Navigate to ARF-2026-DEMO04.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data gaps: no BRN, no source of funds, no financial statements, unverified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supervisor flags CONSISTENT_WITH_WARNINGS — it detected the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validation result: pass_with_fixes — the system identifies exactly what is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how confidence drops to 60% due to missing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how a compliance officer would send an RMI (Request for More Information).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KEY MESSAGE: "Real applications are messy. Onboarda does not hide from gaps — it identifies and quantifies them."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Scenario 5: Rejection: Levant Global (Syria / Shell)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Time: 1.5 min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Risk: HIGH (65.9)  |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Decision: REVIEW (effective REJECT)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Setup: Navigate to ARF-2026-DEMO05.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application: Syrian company, shell entity, nominee directors, zero UBO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score: 65.9 (HIGH). Supervisor verdict: INCONSISTENT — with 1 rule violation.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rule violation: the system identified conflicting risk signals and blocked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audit trail: every decision point is logged with timestamps and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Emphasise: a human must explicitly reject with documented notes. The system protects, not decides.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KEY MESSAGE: "The system knows when to say no. It creates a defensible audit trail for the regulator."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Closing (1 minute)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"What you have just seen is a platform that can:"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risk in under 5 minutes with 7-dimension weighted 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regulator-ready compliance memos with AI, validated by deterministic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complexity: PEPs, multi-tier UBOs, offshore structures, data gaps.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 when to say no — and create the audit trail to prove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onboarding time from 30–90 days to hours.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B3A5C"/>
          <w:sz w:val="22"/>
          <w:szCs w:val="22"/>
        </w:rPr>
        <w:t xml:space="preserve">"We are currently running a 30-day pilot programme. We would love to show you this on your actual caseload. Can we schedule a follow-up to discuss pilot scope?"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Anticipated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Can the AI override rules?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No. The rule engine is deterministic and runs BEFORE and AFTER AI generation. It enforces hard constraints that AI cannot override.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What about data privacy?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GDPR and Mauritius DPA 2017 compliance. Data retention policies with automated purge schedules. DSAR workflow built 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How does it integrate?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 API with JWT auth. Dockerised deployment. Can run alongside existing systems during pilot.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What if the AI is wrong?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Every AI output passes through: (1) deterministic validation, (2) rule-engine enforcement, (3) supervisor contradiction check. Humans make the final decision.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What does it cost?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Risk-based model routing means LOW/MEDIUM cases use cost-efficient AI. Typical cost: $0.50–$3.00 per case for AI analysis.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Onboarda — Powered by RegMind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Onboarda — Demo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2026-03-22T11:18:23.771Z</dcterms:created>
  <dcterms:modified xsi:type="dcterms:W3CDTF">2026-03-22T11:18:23.771Z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