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ONBOARDA</w:t>
      </w:r>
    </w:p>
    <w:p>
      <w:pPr>
        <w:spacing w:after="100"/>
        <w:jc w:val="center"/>
      </w:pPr>
      <w:r>
        <w:rPr>
          <w:rFonts w:ascii="Arial" w:cs="Arial" w:eastAsia="Arial" w:hAnsi="Arial"/>
          <w:color w:val="2E75B6"/>
          <w:sz w:val="36"/>
          <w:szCs w:val="36"/>
        </w:rPr>
        <w:t xml:space="preserve">CSO STRATEGIC PLAN</w:t>
      </w:r>
    </w:p>
    <w:p>
      <w:pPr>
        <w:spacing w:after="60"/>
        <w:jc w:val="center"/>
      </w:pPr>
      <w:r>
        <w:rPr>
          <w:rFonts w:ascii="Arial" w:cs="Arial" w:eastAsia="Arial" w:hAnsi="Arial"/>
          <w:i/>
          <w:iCs/>
          <w:color w:val="666666"/>
          <w:sz w:val="24"/>
          <w:szCs w:val="24"/>
        </w:rPr>
        <w:t xml:space="preserve">AI Compliance Operating System</w:t>
      </w:r>
    </w:p>
    <w:p>
      <w:pPr>
        <w:spacing w:after="80"/>
      </w:pPr>
    </w:p>
    <w:p>
      <w:pPr>
        <w:spacing w:after="60"/>
        <w:jc w:val="center"/>
      </w:pPr>
      <w:r>
        <w:rPr>
          <w:rFonts w:ascii="Arial" w:cs="Arial" w:eastAsia="Arial" w:hAnsi="Arial"/>
          <w:color w:val="555555"/>
          <w:sz w:val="22"/>
          <w:szCs w:val="22"/>
        </w:rPr>
        <w:t xml:space="preserve">From Pilot to $1M ARR: The Execution Playbook</w:t>
      </w:r>
    </w:p>
    <w:p>
      <w:pPr>
        <w:spacing w:after="80"/>
      </w:pPr>
    </w:p>
    <w:p>
      <w:pPr>
        <w:spacing w:after="80"/>
      </w:pPr>
    </w:p>
    <w:p>
      <w:pPr>
        <w:spacing w:after="80"/>
      </w:pPr>
    </w:p>
    <w:p>
      <w:pPr>
        <w:spacing w:after="80"/>
      </w:pPr>
    </w:p>
    <w:p>
      <w:pPr>
        <w:jc w:val="center"/>
      </w:pPr>
      <w:r>
        <w:rPr>
          <w:rFonts w:ascii="Arial" w:cs="Arial" w:eastAsia="Arial" w:hAnsi="Arial"/>
          <w:b/>
          <w:bCs/>
          <w:color w:val="999999"/>
          <w:sz w:val="20"/>
          <w:szCs w:val="20"/>
        </w:rPr>
        <w:t xml:space="preserve">CONFIDENTIAL</w:t>
      </w:r>
    </w:p>
    <w:p>
      <w:pPr>
        <w:jc w:val="center"/>
      </w:pPr>
      <w:r>
        <w:rPr>
          <w:rFonts w:ascii="Arial" w:cs="Arial" w:eastAsia="Arial" w:hAnsi="Arial"/>
          <w:color w:val="999999"/>
          <w:sz w:val="20"/>
          <w:szCs w:val="20"/>
        </w:rPr>
        <w:t xml:space="preserve">March 2026</w:t>
      </w:r>
    </w:p>
    <w:p>
      <w:r>
        <w:br w:type="page"/>
      </w:r>
    </w:p>
    <w:p>
      <w:pPr>
        <w:pStyle w:val="Heading1"/>
        <w:spacing w:after="20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Executive Summary</w:t>
      </w:r>
    </w:p>
    <w:p>
      <w:pPr>
        <w:spacing w:after="140" w:line="276"/>
        <w:jc w:val="left"/>
      </w:pPr>
      <w:r>
        <w:rPr>
          <w:rFonts w:ascii="Arial" w:cs="Arial" w:eastAsia="Arial" w:hAnsi="Arial"/>
          <w:color w:val="333333"/>
          <w:sz w:val="21"/>
          <w:szCs w:val="21"/>
        </w:rPr>
        <w:t xml:space="preserve">Onboarda sits at the intersection of two powerful forces: the explosion of regulatory complexity across European financial services, and the maturation of AI to a point where it can meaningfully automate compliance workflows that have historically been manual, expensive, and error-prone.</w:t>
      </w:r>
    </w:p>
    <w:p>
      <w:pPr>
        <w:spacing w:after="140" w:line="276"/>
        <w:jc w:val="left"/>
      </w:pPr>
      <w:r>
        <w:rPr>
          <w:rFonts w:ascii="Arial" w:cs="Arial" w:eastAsia="Arial" w:hAnsi="Arial"/>
          <w:color w:val="333333"/>
          <w:sz w:val="21"/>
          <w:szCs w:val="21"/>
        </w:rPr>
        <w:t xml:space="preserve">This document is not a vision deck. It is an execution plan. It covers the specific actions, pricing decisions, channel strategies, and product priorities required to take Onboarda from its current pilot-ready stage to $1M ARR within 12-15 months, while building toward a defensible $5M-$10M+ valuation.</w:t>
      </w:r>
    </w:p>
    <w:p>
      <w:pPr>
        <w:spacing w:after="140" w:line="276"/>
        <w:jc w:val="left"/>
      </w:pPr>
      <w:r>
        <w:rPr>
          <w:rFonts w:ascii="Arial" w:cs="Arial" w:eastAsia="Arial" w:hAnsi="Arial"/>
          <w:color w:val="333333"/>
          <w:sz w:val="21"/>
          <w:szCs w:val="21"/>
        </w:rPr>
        <w:t xml:space="preserve">The core thesis is simple: Onboarda should not try to be everything to everyone. The fastest path to revenue and valuation is to </w:t>
      </w:r>
      <w:r>
        <w:rPr>
          <w:rFonts w:ascii="Arial" w:cs="Arial" w:eastAsia="Arial" w:hAnsi="Arial"/>
          <w:b/>
          <w:bCs/>
          <w:color w:val="333333"/>
          <w:sz w:val="21"/>
          <w:szCs w:val="21"/>
        </w:rPr>
        <w:t xml:space="preserve">dominate a narrow wedge</w:t>
      </w:r>
      <w:r>
        <w:rPr>
          <w:rFonts w:ascii="Arial" w:cs="Arial" w:eastAsia="Arial" w:hAnsi="Arial"/>
          <w:color w:val="333333"/>
          <w:sz w:val="21"/>
          <w:szCs w:val="21"/>
        </w:rPr>
        <w:t xml:space="preserve"> (AI-powered KYC/AML onboarding for PSPs and CSPs in the EU/EEA), prove that wedge with hard metrics, and expand from there. Every recommendation in this plan flows from that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r>
              <w:rPr>
                <w:rFonts w:ascii="Arial" w:cs="Arial" w:eastAsia="Arial" w:hAnsi="Arial"/>
                <w:b/>
                <w:bCs/>
                <w:color w:val="1B3A5C"/>
                <w:sz w:val="21"/>
                <w:szCs w:val="21"/>
              </w:rPr>
              <w:t xml:space="preserve">Key targets: 10 paying clients by month 6, $1M ARR by month 12-15, 90%+ gross retention, and a clear path to Series A at $5M-$10M+ valuation.</w:t>
            </w:r>
          </w:p>
        </w:tc>
      </w:tr>
    </w:tbl>
    <w:p>
      <w:pPr>
        <w:spacing w:after="80"/>
      </w:pPr>
    </w:p>
    <w:p>
      <w:r>
        <w:br w:type="page"/>
      </w:r>
    </w:p>
    <w:p>
      <w:pPr>
        <w:pStyle w:val="Heading1"/>
        <w:spacing w:after="200" w:before="360"/>
      </w:pPr>
      <w:r>
        <w:rPr>
          <w:rFonts w:ascii="Arial" w:cs="Arial" w:eastAsia="Arial" w:hAnsi="Arial"/>
          <w:b/>
          <w:bCs/>
          <w:color w:val="1B3A5C"/>
          <w:sz w:val="32"/>
          <w:szCs w:val="32"/>
        </w:rPr>
        <w:t xml:space="preserve">A. Strategic Vision</w:t>
      </w:r>
    </w:p>
    <w:p>
      <w:pPr>
        <w:pStyle w:val="Heading2"/>
        <w:spacing w:after="160" w:before="280"/>
      </w:pPr>
      <w:r>
        <w:rPr>
          <w:rFonts w:ascii="Arial" w:cs="Arial" w:eastAsia="Arial" w:hAnsi="Arial"/>
          <w:b/>
          <w:bCs/>
          <w:color w:val="2E75B6"/>
          <w:sz w:val="26"/>
          <w:szCs w:val="26"/>
        </w:rPr>
        <w:t xml:space="preserve">A.1 The 3-5 Year Destination</w:t>
      </w:r>
    </w:p>
    <w:p>
      <w:pPr>
        <w:spacing w:after="140" w:line="276"/>
        <w:jc w:val="left"/>
      </w:pPr>
      <w:r>
        <w:rPr>
          <w:rFonts w:ascii="Arial" w:cs="Arial" w:eastAsia="Arial" w:hAnsi="Arial"/>
          <w:color w:val="333333"/>
          <w:sz w:val="21"/>
          <w:szCs w:val="21"/>
        </w:rPr>
        <w:t xml:space="preserve">In 3-5 years, Onboarda becomes the </w:t>
      </w:r>
      <w:r>
        <w:rPr>
          <w:rFonts w:ascii="Arial" w:cs="Arial" w:eastAsia="Arial" w:hAnsi="Arial"/>
          <w:b/>
          <w:bCs/>
          <w:color w:val="333333"/>
          <w:sz w:val="21"/>
          <w:szCs w:val="21"/>
        </w:rPr>
        <w:t xml:space="preserve">default compliance infrastructure layer</w:t>
      </w:r>
      <w:r>
        <w:rPr>
          <w:rFonts w:ascii="Arial" w:cs="Arial" w:eastAsia="Arial" w:hAnsi="Arial"/>
          <w:color w:val="333333"/>
          <w:sz w:val="21"/>
          <w:szCs w:val="21"/>
        </w:rPr>
        <w:t xml:space="preserve"> for mid-market regulated financial institutions across the EU/EEA. Not a point solution for screening. Not a consultancy that happens to have software. The operating system that compliance teams live inside every day.</w:t>
      </w:r>
    </w:p>
    <w:p>
      <w:pPr>
        <w:spacing w:after="140" w:line="276"/>
        <w:jc w:val="left"/>
      </w:pPr>
      <w:r>
        <w:rPr>
          <w:rFonts w:ascii="Arial" w:cs="Arial" w:eastAsia="Arial" w:hAnsi="Arial"/>
          <w:color w:val="333333"/>
          <w:sz w:val="21"/>
          <w:szCs w:val="21"/>
        </w:rPr>
        <w:t xml:space="preserve">Concretely, that means: 200+ regulated entities running their entire onboarding and ongoing monitoring through Onboarda, generating $8-12M ARR, with 80%+ of revenue on annual contracts and net revenue retention above 120%.</w:t>
      </w:r>
    </w:p>
    <w:p>
      <w:pPr>
        <w:pStyle w:val="Heading2"/>
        <w:spacing w:after="160" w:before="280"/>
      </w:pPr>
      <w:r>
        <w:rPr>
          <w:rFonts w:ascii="Arial" w:cs="Arial" w:eastAsia="Arial" w:hAnsi="Arial"/>
          <w:b/>
          <w:bCs/>
          <w:color w:val="2E75B6"/>
          <w:sz w:val="26"/>
          <w:szCs w:val="26"/>
        </w:rPr>
        <w:t xml:space="preserve">A.2 Core Positioning</w:t>
      </w:r>
    </w:p>
    <w:p>
      <w:pPr>
        <w:spacing w:after="140" w:line="276"/>
        <w:jc w:val="left"/>
      </w:pPr>
      <w:r>
        <w:rPr>
          <w:rFonts w:ascii="Arial" w:cs="Arial" w:eastAsia="Arial" w:hAnsi="Arial"/>
          <w:color w:val="333333"/>
          <w:sz w:val="21"/>
          <w:szCs w:val="21"/>
        </w:rPr>
        <w:t xml:space="preserve">The market is crowded with screening tools and crowded with legacy case management systems. Onboarda does not compete in either category. The positioning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r>
              <w:rPr>
                <w:rFonts w:ascii="Arial" w:cs="Arial" w:eastAsia="Arial" w:hAnsi="Arial"/>
                <w:b/>
                <w:bCs/>
                <w:color w:val="1B3A5C"/>
                <w:sz w:val="21"/>
                <w:szCs w:val="21"/>
              </w:rPr>
              <w:t xml:space="preserve">Onboarda is the AI Compliance Operating System: the only platform that combines AI-powered KYC/AML onboarding, risk scoring with full explainability, and workflow automation in a single system built specifically for PSPs, CSPs, and management companies.</w:t>
            </w:r>
          </w:p>
        </w:tc>
      </w:tr>
    </w:tbl>
    <w:p>
      <w:pPr>
        <w:spacing w:after="140" w:line="276"/>
        <w:jc w:val="left"/>
      </w:pPr>
      <w:r>
        <w:rPr>
          <w:rFonts w:ascii="Arial" w:cs="Arial" w:eastAsia="Arial" w:hAnsi="Arial"/>
          <w:color w:val="333333"/>
          <w:sz w:val="21"/>
          <w:szCs w:val="21"/>
        </w:rPr>
        <w:t xml:space="preserve">This positioning works because it reframes the buying decision. Prospects are not comparing Onboarda to ComplyAdvantage (screening only) or to Encompass (workflow only). They are asking: do I want to keep stitching together 4-5 tools, or do I want one system that does it all with AI?</w:t>
      </w:r>
    </w:p>
    <w:p>
      <w:pPr>
        <w:pStyle w:val="Heading2"/>
        <w:spacing w:after="160" w:before="280"/>
      </w:pPr>
      <w:r>
        <w:rPr>
          <w:rFonts w:ascii="Arial" w:cs="Arial" w:eastAsia="Arial" w:hAnsi="Arial"/>
          <w:b/>
          <w:bCs/>
          <w:color w:val="2E75B6"/>
          <w:sz w:val="26"/>
          <w:szCs w:val="26"/>
        </w:rPr>
        <w:t xml:space="preserve">A.3 Category Definition</w:t>
      </w:r>
    </w:p>
    <w:p>
      <w:pPr>
        <w:spacing w:after="140" w:line="276"/>
        <w:jc w:val="left"/>
      </w:pPr>
      <w:r>
        <w:rPr>
          <w:rFonts w:ascii="Arial" w:cs="Arial" w:eastAsia="Arial" w:hAnsi="Arial"/>
          <w:color w:val="333333"/>
          <w:sz w:val="21"/>
          <w:szCs w:val="21"/>
        </w:rPr>
        <w:t xml:space="preserve">Onboarda should actively define and own a new category: </w:t>
      </w:r>
      <w:r>
        <w:rPr>
          <w:rFonts w:ascii="Arial" w:cs="Arial" w:eastAsia="Arial" w:hAnsi="Arial"/>
          <w:b/>
          <w:bCs/>
          <w:color w:val="333333"/>
          <w:sz w:val="21"/>
          <w:szCs w:val="21"/>
        </w:rPr>
        <w:t xml:space="preserve">AI Compliance Operating Systems (AI-COS)</w:t>
      </w:r>
      <w:r>
        <w:rPr>
          <w:rFonts w:ascii="Arial" w:cs="Arial" w:eastAsia="Arial" w:hAnsi="Arial"/>
          <w:color w:val="333333"/>
          <w:sz w:val="21"/>
          <w:szCs w:val="21"/>
        </w:rPr>
        <w:t xml:space="preserve">. This is not marketing fluff; it is a strategic weapon. When you define the category, you set the evaluation criteria. Competitors are forced to respond to your framing.</w:t>
      </w:r>
    </w:p>
    <w:p>
      <w:pPr>
        <w:spacing w:after="140" w:line="276"/>
        <w:jc w:val="left"/>
      </w:pPr>
      <w:r>
        <w:rPr>
          <w:rFonts w:ascii="Arial" w:cs="Arial" w:eastAsia="Arial" w:hAnsi="Arial"/>
          <w:color w:val="333333"/>
          <w:sz w:val="21"/>
          <w:szCs w:val="21"/>
        </w:rPr>
        <w:t xml:space="preserve">The category narrative: Legacy compliance tools were built for a world where regulations changed slowly and client volumes were manageable. That world is gone. The new reality demands AI-native systems that can process complex corporate structures, generate compliance reasoning, and adapt to regulatory change in real time. Onboarda is the first platform built entirely for this new reality.</w:t>
      </w:r>
    </w:p>
    <w:p>
      <w:pPr>
        <w:spacing w:after="140" w:line="276"/>
        <w:jc w:val="left"/>
      </w:pPr>
      <w:r>
        <w:rPr>
          <w:rFonts w:ascii="Arial" w:cs="Arial" w:eastAsia="Arial" w:hAnsi="Arial"/>
          <w:color w:val="333333"/>
          <w:sz w:val="21"/>
          <w:szCs w:val="21"/>
        </w:rPr>
        <w:t xml:space="preserve">Every piece of content, every sales conversation, every investor meeting should reinforce this frame. The goal is that when a prospect thinks about upgrading their compliance stack, they think in terms of the AI-COS category, and Onboarda is the only name that comes to mind.</w:t>
      </w:r>
    </w:p>
    <w:p>
      <w:r>
        <w:br w:type="page"/>
      </w:r>
    </w:p>
    <w:p>
      <w:pPr>
        <w:pStyle w:val="Heading1"/>
        <w:spacing w:after="200" w:before="360"/>
      </w:pPr>
      <w:r>
        <w:rPr>
          <w:rFonts w:ascii="Arial" w:cs="Arial" w:eastAsia="Arial" w:hAnsi="Arial"/>
          <w:b/>
          <w:bCs/>
          <w:color w:val="1B3A5C"/>
          <w:sz w:val="32"/>
          <w:szCs w:val="32"/>
        </w:rPr>
        <w:t xml:space="preserve">B. Business Model</w:t>
      </w:r>
    </w:p>
    <w:p>
      <w:pPr>
        <w:pStyle w:val="Heading2"/>
        <w:spacing w:after="160" w:before="280"/>
      </w:pPr>
      <w:r>
        <w:rPr>
          <w:rFonts w:ascii="Arial" w:cs="Arial" w:eastAsia="Arial" w:hAnsi="Arial"/>
          <w:b/>
          <w:bCs/>
          <w:color w:val="2E75B6"/>
          <w:sz w:val="26"/>
          <w:szCs w:val="26"/>
        </w:rPr>
        <w:t xml:space="preserve">B.1 Pricing Strategy</w:t>
      </w:r>
    </w:p>
    <w:p>
      <w:pPr>
        <w:spacing w:after="140" w:line="276"/>
        <w:jc w:val="left"/>
      </w:pPr>
      <w:r>
        <w:rPr>
          <w:rFonts w:ascii="Arial" w:cs="Arial" w:eastAsia="Arial" w:hAnsi="Arial"/>
          <w:color w:val="333333"/>
          <w:sz w:val="21"/>
          <w:szCs w:val="21"/>
        </w:rPr>
        <w:t xml:space="preserve">Pricing must accomplish three things simultaneously: generate enough revenue per client to hit $1M ARR with a realistic number of customers, be simple enough that a prospect can understand it in 30 seconds, and create natural expansion revenue as clients grow.</w:t>
      </w:r>
    </w:p>
    <w:p>
      <w:pPr>
        <w:spacing w:after="140" w:line="276"/>
        <w:jc w:val="left"/>
      </w:pPr>
      <w:r>
        <w:rPr>
          <w:rFonts w:ascii="Arial" w:cs="Arial" w:eastAsia="Arial" w:hAnsi="Arial"/>
          <w:color w:val="333333"/>
          <w:sz w:val="21"/>
          <w:szCs w:val="21"/>
        </w:rPr>
        <w:t xml:space="preserve">Recommended pricing architecture: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400"/>
        <w:gridCol w:w="2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Price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Client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€1,500/mo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50 active client files, 2 users, core KYC/AML, screening, risk scoring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 PSPs, early-stage CSPs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Growth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€3,000/mo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Up to 200 active client files, 5 users, + compliance memos, migration engine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Mid-size PSPs and CSPs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€5,000-8,000/mo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Unlimited files, 15+ users, + API access, custom workflows, dedicated support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PSPs, management companies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White-Label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€6,000-10,000/mo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Growth/Enterprise + white-label branding, partner dashboard, sub-entity mgmt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CSPs reselling to clients</w:t>
            </w:r>
          </w:p>
        </w:tc>
      </w:tr>
    </w:tbl>
    <w:p>
      <w:pPr>
        <w:spacing w:after="80"/>
      </w:pPr>
    </w:p>
    <w:p>
      <w:pPr>
        <w:spacing w:after="140" w:line="276"/>
        <w:jc w:val="left"/>
      </w:pPr>
      <w:r>
        <w:rPr>
          <w:rFonts w:ascii="Arial" w:cs="Arial" w:eastAsia="Arial" w:hAnsi="Arial"/>
          <w:color w:val="333333"/>
          <w:sz w:val="21"/>
          <w:szCs w:val="21"/>
        </w:rPr>
        <w:t xml:space="preserve"/>
      </w:r>
      <w:r>
        <w:rPr>
          <w:rFonts w:ascii="Arial" w:cs="Arial" w:eastAsia="Arial" w:hAnsi="Arial"/>
          <w:b/>
          <w:bCs/>
          <w:color w:val="333333"/>
          <w:sz w:val="21"/>
          <w:szCs w:val="21"/>
        </w:rPr>
        <w:t xml:space="preserve">Critical pricing decisions:</w:t>
      </w:r>
      <w:r>
        <w:rPr>
          <w:rFonts w:ascii="Arial" w:cs="Arial" w:eastAsia="Arial" w:hAnsi="Arial"/>
          <w:color w:val="333333"/>
          <w:sz w:val="21"/>
          <w:szCs w:val="21"/>
        </w:rPr>
        <w:t xml:space="preserve"/>
      </w:r>
    </w:p>
    <w:p>
      <w:pPr>
        <w:pStyle w:val="ListParagraph"/>
        <w:numPr>
          <w:ilvl w:val="0"/>
          <w:numId w:val="2"/>
        </w:numPr>
        <w:spacing w:after="80" w:line="276"/>
      </w:pPr>
      <w:r>
        <w:rPr>
          <w:rFonts w:ascii="Arial" w:cs="Arial" w:eastAsia="Arial" w:hAnsi="Arial"/>
          <w:color w:val="333333"/>
          <w:sz w:val="21"/>
          <w:szCs w:val="21"/>
        </w:rPr>
        <w:t xml:space="preserve">Do NOT price per screening or per API call at this stage. Usage-based pricing creates unpredictable revenue and makes it harder to forecast ARR. Flat monthly tiers with file-count limits are cleaner.</w:t>
      </w:r>
    </w:p>
    <w:p>
      <w:pPr>
        <w:pStyle w:val="ListParagraph"/>
        <w:numPr>
          <w:ilvl w:val="0"/>
          <w:numId w:val="2"/>
        </w:numPr>
        <w:spacing w:after="80" w:line="276"/>
      </w:pPr>
      <w:r>
        <w:rPr>
          <w:rFonts w:ascii="Arial" w:cs="Arial" w:eastAsia="Arial" w:hAnsi="Arial"/>
          <w:color w:val="333333"/>
          <w:sz w:val="21"/>
          <w:szCs w:val="21"/>
        </w:rPr>
        <w:t xml:space="preserve">Charge for the migration engine as a one-time onboarding fee (€2,000-5,000) on top of the subscription. This covers your real cost and signals value.</w:t>
      </w:r>
    </w:p>
    <w:p>
      <w:pPr>
        <w:pStyle w:val="ListParagraph"/>
        <w:numPr>
          <w:ilvl w:val="0"/>
          <w:numId w:val="2"/>
        </w:numPr>
        <w:spacing w:after="80" w:line="276"/>
      </w:pPr>
      <w:r>
        <w:rPr>
          <w:rFonts w:ascii="Arial" w:cs="Arial" w:eastAsia="Arial" w:hAnsi="Arial"/>
          <w:color w:val="333333"/>
          <w:sz w:val="21"/>
          <w:szCs w:val="21"/>
        </w:rPr>
        <w:t xml:space="preserve">Annual contracts with 15-20% discount. Push hard for annual commitments; they reduce churn, improve cash flow, and make ARR metrics cleaner for investors.</w:t>
      </w:r>
    </w:p>
    <w:p>
      <w:pPr>
        <w:pStyle w:val="ListParagraph"/>
        <w:numPr>
          <w:ilvl w:val="0"/>
          <w:numId w:val="2"/>
        </w:numPr>
        <w:spacing w:after="80" w:line="276"/>
      </w:pPr>
      <w:r>
        <w:rPr>
          <w:rFonts w:ascii="Arial" w:cs="Arial" w:eastAsia="Arial" w:hAnsi="Arial"/>
          <w:color w:val="333333"/>
          <w:sz w:val="21"/>
          <w:szCs w:val="21"/>
        </w:rPr>
        <w:t xml:space="preserve">Do not offer a free tier. Free trials of 14 days with hands-on onboarding are fine. Free tiers attract the wrong customers and drain support resources.</w:t>
      </w:r>
    </w:p>
    <w:p>
      <w:pPr>
        <w:pStyle w:val="Heading2"/>
        <w:spacing w:after="160" w:before="280"/>
      </w:pPr>
      <w:r>
        <w:rPr>
          <w:rFonts w:ascii="Arial" w:cs="Arial" w:eastAsia="Arial" w:hAnsi="Arial"/>
          <w:b/>
          <w:bCs/>
          <w:color w:val="2E75B6"/>
          <w:sz w:val="26"/>
          <w:szCs w:val="26"/>
        </w:rPr>
        <w:t xml:space="preserve">B.2 Revenue Streams</w:t>
      </w:r>
    </w:p>
    <w:p>
      <w:pPr>
        <w:spacing w:after="140" w:line="276"/>
        <w:jc w:val="left"/>
      </w:pPr>
      <w:r>
        <w:rPr>
          <w:rFonts w:ascii="Arial" w:cs="Arial" w:eastAsia="Arial" w:hAnsi="Arial"/>
          <w:color w:val="333333"/>
          <w:sz w:val="21"/>
          <w:szCs w:val="21"/>
        </w:rPr>
        <w:t xml:space="preserve">Primary: </w:t>
      </w:r>
      <w:r>
        <w:rPr>
          <w:rFonts w:ascii="Arial" w:cs="Arial" w:eastAsia="Arial" w:hAnsi="Arial"/>
          <w:b/>
          <w:bCs/>
          <w:color w:val="333333"/>
          <w:sz w:val="21"/>
          <w:szCs w:val="21"/>
        </w:rPr>
        <w:t xml:space="preserve">SaaS subscriptions</w:t>
      </w:r>
      <w:r>
        <w:rPr>
          <w:rFonts w:ascii="Arial" w:cs="Arial" w:eastAsia="Arial" w:hAnsi="Arial"/>
          <w:color w:val="333333"/>
          <w:sz w:val="21"/>
          <w:szCs w:val="21"/>
        </w:rPr>
        <w:t xml:space="preserve"> (target 85%+ of revenue). This is the core. Every strategic decision should protect and grow this stream.</w:t>
      </w:r>
    </w:p>
    <w:p>
      <w:pPr>
        <w:spacing w:after="140" w:line="276"/>
        <w:jc w:val="left"/>
      </w:pPr>
      <w:r>
        <w:rPr>
          <w:rFonts w:ascii="Arial" w:cs="Arial" w:eastAsia="Arial" w:hAnsi="Arial"/>
          <w:color w:val="333333"/>
          <w:sz w:val="21"/>
          <w:szCs w:val="21"/>
        </w:rPr>
        <w:t xml:space="preserve">Secondary: </w:t>
      </w:r>
      <w:r>
        <w:rPr>
          <w:rFonts w:ascii="Arial" w:cs="Arial" w:eastAsia="Arial" w:hAnsi="Arial"/>
          <w:b/>
          <w:bCs/>
          <w:color w:val="333333"/>
          <w:sz w:val="21"/>
          <w:szCs w:val="21"/>
        </w:rPr>
        <w:t xml:space="preserve">Onboarding/migration fees</w:t>
      </w:r>
      <w:r>
        <w:rPr>
          <w:rFonts w:ascii="Arial" w:cs="Arial" w:eastAsia="Arial" w:hAnsi="Arial"/>
          <w:color w:val="333333"/>
          <w:sz w:val="21"/>
          <w:szCs w:val="21"/>
        </w:rPr>
        <w:t xml:space="preserve"> (one-time, €2K-5K per client). This covers the real cost of migrating legacy client files and configuring workflows. Do not give this away for free.</w:t>
      </w:r>
    </w:p>
    <w:p>
      <w:pPr>
        <w:spacing w:after="140" w:line="276"/>
        <w:jc w:val="left"/>
      </w:pPr>
      <w:r>
        <w:rPr>
          <w:rFonts w:ascii="Arial" w:cs="Arial" w:eastAsia="Arial" w:hAnsi="Arial"/>
          <w:color w:val="333333"/>
          <w:sz w:val="21"/>
          <w:szCs w:val="21"/>
        </w:rPr>
        <w:t xml:space="preserve">Tertiary: </w:t>
      </w:r>
      <w:r>
        <w:rPr>
          <w:rFonts w:ascii="Arial" w:cs="Arial" w:eastAsia="Arial" w:hAnsi="Arial"/>
          <w:b/>
          <w:bCs/>
          <w:color w:val="333333"/>
          <w:sz w:val="21"/>
          <w:szCs w:val="21"/>
        </w:rPr>
        <w:t xml:space="preserve">White-label premium</w:t>
      </w:r>
      <w:r>
        <w:rPr>
          <w:rFonts w:ascii="Arial" w:cs="Arial" w:eastAsia="Arial" w:hAnsi="Arial"/>
          <w:color w:val="333333"/>
          <w:sz w:val="21"/>
          <w:szCs w:val="21"/>
        </w:rPr>
        <w:t xml:space="preserve"> (15-30% markup on base subscription). Covered in detail in Section E.</w:t>
      </w:r>
    </w:p>
    <w:p>
      <w:pPr>
        <w:spacing w:after="140" w:line="276"/>
        <w:jc w:val="left"/>
      </w:pPr>
      <w:r>
        <w:rPr>
          <w:rFonts w:ascii="Arial" w:cs="Arial" w:eastAsia="Arial" w:hAnsi="Arial"/>
          <w:color w:val="333333"/>
          <w:sz w:val="21"/>
          <w:szCs w:val="21"/>
        </w:rPr>
        <w:t xml:space="preserve">Do NOT pursue: Professional services / consulting revenue. The moment you start selling compliance consulting alongside software, you confuse the market and destroy your SaaS multiples. If a prospect needs consulting, refer them to a partner and take a referral fee.</w:t>
      </w:r>
    </w:p>
    <w:p>
      <w:pPr>
        <w:pStyle w:val="Heading2"/>
        <w:spacing w:after="160" w:before="280"/>
      </w:pPr>
      <w:r>
        <w:rPr>
          <w:rFonts w:ascii="Arial" w:cs="Arial" w:eastAsia="Arial" w:hAnsi="Arial"/>
          <w:b/>
          <w:bCs/>
          <w:color w:val="2E75B6"/>
          <w:sz w:val="26"/>
          <w:szCs w:val="26"/>
        </w:rPr>
        <w:t xml:space="preserve">B.3 Ideal Customer Profile (ICP)</w:t>
      </w:r>
    </w:p>
    <w:p>
      <w:pPr>
        <w:spacing w:after="140" w:line="276"/>
        <w:jc w:val="left"/>
      </w:pPr>
      <w:r>
        <w:rPr>
          <w:rFonts w:ascii="Arial" w:cs="Arial" w:eastAsia="Arial" w:hAnsi="Arial"/>
          <w:color w:val="333333"/>
          <w:sz w:val="21"/>
          <w:szCs w:val="21"/>
        </w:rPr>
        <w:t xml:space="preserve">The ICP must be specific enough that you can build a target list of 200 companies by name. Here it is: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Geography:</w:t>
      </w:r>
      <w:r>
        <w:rPr>
          <w:rFonts w:ascii="Arial" w:cs="Arial" w:eastAsia="Arial" w:hAnsi="Arial"/>
          <w:color w:val="333333"/>
          <w:sz w:val="21"/>
          <w:szCs w:val="21"/>
        </w:rPr>
        <w:t xml:space="preserve"> EU/EEA-regulated entities, with initial focus on Luxembourg, Ireland, Netherlands, Belgium, Malta, and Cyprus (high density of PSPs and CSPs)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Entity type:</w:t>
      </w:r>
      <w:r>
        <w:rPr>
          <w:rFonts w:ascii="Arial" w:cs="Arial" w:eastAsia="Arial" w:hAnsi="Arial"/>
          <w:color w:val="333333"/>
          <w:sz w:val="21"/>
          <w:szCs w:val="21"/>
        </w:rPr>
        <w:t xml:space="preserve"> Payment Service Providers (PIS/AIS licensed), Corporate Service Providers, Fund Management Companies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Size:</w:t>
      </w:r>
      <w:r>
        <w:rPr>
          <w:rFonts w:ascii="Arial" w:cs="Arial" w:eastAsia="Arial" w:hAnsi="Arial"/>
          <w:color w:val="333333"/>
          <w:sz w:val="21"/>
          <w:szCs w:val="21"/>
        </w:rPr>
        <w:t xml:space="preserve"> 20-500 underlying clients being onboarded/monitored</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Pain:</w:t>
      </w:r>
      <w:r>
        <w:rPr>
          <w:rFonts w:ascii="Arial" w:cs="Arial" w:eastAsia="Arial" w:hAnsi="Arial"/>
          <w:color w:val="333333"/>
          <w:sz w:val="21"/>
          <w:szCs w:val="21"/>
        </w:rPr>
        <w:t xml:space="preserve"> Currently using manual processes, spreadsheets, or fragmented tools for KYC/AML</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Budget:</w:t>
      </w:r>
      <w:r>
        <w:rPr>
          <w:rFonts w:ascii="Arial" w:cs="Arial" w:eastAsia="Arial" w:hAnsi="Arial"/>
          <w:color w:val="333333"/>
          <w:sz w:val="21"/>
          <w:szCs w:val="21"/>
        </w:rPr>
        <w:t xml:space="preserve"> Spending €2K-15K/month on compliance tooling and/or headcount allocated to onboarding</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Trigger:</w:t>
      </w:r>
      <w:r>
        <w:rPr>
          <w:rFonts w:ascii="Arial" w:cs="Arial" w:eastAsia="Arial" w:hAnsi="Arial"/>
          <w:color w:val="333333"/>
          <w:sz w:val="21"/>
          <w:szCs w:val="21"/>
        </w:rPr>
        <w:t xml:space="preserve"> Recent regulatory audit finding, new license requirement, scaling client base, or key compliance hire</w:t>
      </w:r>
    </w:p>
    <w:p>
      <w:pPr>
        <w:pStyle w:val="Heading2"/>
        <w:spacing w:after="160" w:before="280"/>
      </w:pPr>
      <w:r>
        <w:rPr>
          <w:rFonts w:ascii="Arial" w:cs="Arial" w:eastAsia="Arial" w:hAnsi="Arial"/>
          <w:b/>
          <w:bCs/>
          <w:color w:val="2E75B6"/>
          <w:sz w:val="26"/>
          <w:szCs w:val="26"/>
        </w:rPr>
        <w:t xml:space="preserve">B.4 Segment Prioritisation</w:t>
      </w:r>
    </w:p>
    <w:p>
      <w:pPr>
        <w:spacing w:after="140" w:line="276"/>
        <w:jc w:val="left"/>
      </w:pPr>
      <w:r>
        <w:rPr>
          <w:rFonts w:ascii="Arial" w:cs="Arial" w:eastAsia="Arial" w:hAnsi="Arial"/>
          <w:color w:val="333333"/>
          <w:sz w:val="21"/>
          <w:szCs w:val="21"/>
        </w:rPr>
        <w:t xml:space="preserve">Not all segments are equal. Prioritise based on speed to close, ACV, and referencability: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400"/>
        <w:gridCol w:w="24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ACV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PSPs (PIS/AIS)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(Highest)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ARIE is a PSP; you have domain expertise and a live reference. Fastest to close.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€36K-60K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CSPs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 (High)</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Natural white-label buyers. High LTV. Longer sales cycle but bigger deals.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€48K-96K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Management Cos.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(Medium)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Larger deals but more complex requirements. Pursue opportunistically.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€60K-96K</w:t>
            </w:r>
          </w:p>
        </w:tc>
      </w:tr>
    </w:tbl>
    <w:p>
      <w:pPr>
        <w:spacing w:after="80"/>
      </w:pPr>
    </w:p>
    <w:p>
      <w:r>
        <w:br w:type="page"/>
      </w:r>
    </w:p>
    <w:p>
      <w:pPr>
        <w:pStyle w:val="Heading1"/>
        <w:spacing w:after="200" w:before="360"/>
      </w:pPr>
      <w:r>
        <w:rPr>
          <w:rFonts w:ascii="Arial" w:cs="Arial" w:eastAsia="Arial" w:hAnsi="Arial"/>
          <w:b/>
          <w:bCs/>
          <w:color w:val="1B3A5C"/>
          <w:sz w:val="32"/>
          <w:szCs w:val="32"/>
        </w:rPr>
        <w:t xml:space="preserve">C. Go-To-Market Strategy</w:t>
      </w:r>
    </w:p>
    <w:p>
      <w:pPr>
        <w:pStyle w:val="Heading2"/>
        <w:spacing w:after="160" w:before="280"/>
      </w:pPr>
      <w:r>
        <w:rPr>
          <w:rFonts w:ascii="Arial" w:cs="Arial" w:eastAsia="Arial" w:hAnsi="Arial"/>
          <w:b/>
          <w:bCs/>
          <w:color w:val="2E75B6"/>
          <w:sz w:val="26"/>
          <w:szCs w:val="26"/>
        </w:rPr>
        <w:t xml:space="preserve">C.1 Primary Acquisition Channels</w:t>
      </w:r>
    </w:p>
    <w:p>
      <w:pPr>
        <w:spacing w:after="140" w:line="276"/>
        <w:jc w:val="left"/>
      </w:pPr>
      <w:r>
        <w:rPr>
          <w:rFonts w:ascii="Arial" w:cs="Arial" w:eastAsia="Arial" w:hAnsi="Arial"/>
          <w:color w:val="333333"/>
          <w:sz w:val="21"/>
          <w:szCs w:val="21"/>
        </w:rPr>
        <w:t xml:space="preserve">At this stage, you need channels that produce results in weeks, not months. Rank-ordered by expected speed-to-revenue:</w:t>
      </w:r>
    </w:p>
    <w:p>
      <w:pPr>
        <w:spacing w:after="80"/>
      </w:pPr>
    </w:p>
    <w:p>
      <w:pPr>
        <w:spacing w:after="120" w:before="200"/>
      </w:pPr>
      <w:r>
        <w:rPr>
          <w:rFonts w:ascii="Arial" w:cs="Arial" w:eastAsia="Arial" w:hAnsi="Arial"/>
          <w:b/>
          <w:bCs/>
          <w:color w:val="1B3A5C"/>
          <w:sz w:val="22"/>
          <w:szCs w:val="22"/>
        </w:rPr>
        <w:t xml:space="preserve">Channel 1: Founder-Led Outbound (60% of pipeline)</w:t>
      </w:r>
    </w:p>
    <w:p>
      <w:pPr>
        <w:spacing w:after="140" w:line="276"/>
        <w:jc w:val="left"/>
      </w:pPr>
      <w:r>
        <w:rPr>
          <w:rFonts w:ascii="Arial" w:cs="Arial" w:eastAsia="Arial" w:hAnsi="Arial"/>
          <w:color w:val="333333"/>
          <w:sz w:val="21"/>
          <w:szCs w:val="21"/>
        </w:rPr>
        <w:t xml:space="preserve">This is your primary engine for the first 6-9 months. Nobody sells Onboarda better than the founder. The goal is 20-30 personalised outreach messages per week targeting compliance heads, MLROs, and COOs at PSPs and CSPs.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Platform:</w:t>
      </w:r>
      <w:r>
        <w:rPr>
          <w:rFonts w:ascii="Arial" w:cs="Arial" w:eastAsia="Arial" w:hAnsi="Arial"/>
          <w:color w:val="333333"/>
          <w:sz w:val="21"/>
          <w:szCs w:val="21"/>
        </w:rPr>
        <w:t xml:space="preserve"> LinkedIn (primary), email (secondary). Do NOT cold call; compliance professionals respond to written, thoughtful outreach.</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Targeting:</w:t>
      </w:r>
      <w:r>
        <w:rPr>
          <w:rFonts w:ascii="Arial" w:cs="Arial" w:eastAsia="Arial" w:hAnsi="Arial"/>
          <w:color w:val="333333"/>
          <w:sz w:val="21"/>
          <w:szCs w:val="21"/>
        </w:rPr>
        <w:t xml:space="preserve"> Build a named account list of 200 companies using LinkedIn Sales Navigator, CSSF/FCA/DNB registers, and industry association member lists.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Cadence:</w:t>
      </w:r>
      <w:r>
        <w:rPr>
          <w:rFonts w:ascii="Arial" w:cs="Arial" w:eastAsia="Arial" w:hAnsi="Arial"/>
          <w:color w:val="333333"/>
          <w:sz w:val="21"/>
          <w:szCs w:val="21"/>
        </w:rPr>
        <w:t xml:space="preserve"> 5 touches per prospect over 3 weeks (connection request, value message, case study share, direct ask, break-up message).</w:t>
      </w:r>
    </w:p>
    <w:p>
      <w:pPr>
        <w:spacing w:after="120" w:before="200"/>
      </w:pPr>
      <w:r>
        <w:rPr>
          <w:rFonts w:ascii="Arial" w:cs="Arial" w:eastAsia="Arial" w:hAnsi="Arial"/>
          <w:b/>
          <w:bCs/>
          <w:color w:val="1B3A5C"/>
          <w:sz w:val="22"/>
          <w:szCs w:val="22"/>
        </w:rPr>
        <w:t xml:space="preserve">Channel 2: Design Partner Network (25% of pipeline)</w:t>
      </w:r>
    </w:p>
    <w:p>
      <w:pPr>
        <w:spacing w:after="140" w:line="276"/>
        <w:jc w:val="left"/>
      </w:pPr>
      <w:r>
        <w:rPr>
          <w:rFonts w:ascii="Arial" w:cs="Arial" w:eastAsia="Arial" w:hAnsi="Arial"/>
          <w:color w:val="333333"/>
          <w:sz w:val="21"/>
          <w:szCs w:val="21"/>
        </w:rPr>
        <w:t xml:space="preserve">ARIE Finance is not just a client; it is a distribution channel. ARIE interacts with other regulated entities, has industry relationships, and can make warm introductions. Structure this formally:</w:t>
      </w:r>
    </w:p>
    <w:p>
      <w:pPr>
        <w:pStyle w:val="ListParagraph"/>
        <w:numPr>
          <w:ilvl w:val="0"/>
          <w:numId w:val="2"/>
        </w:numPr>
        <w:spacing w:after="80" w:line="276"/>
      </w:pPr>
      <w:r>
        <w:rPr>
          <w:rFonts w:ascii="Arial" w:cs="Arial" w:eastAsia="Arial" w:hAnsi="Arial"/>
          <w:color w:val="333333"/>
          <w:sz w:val="21"/>
          <w:szCs w:val="21"/>
        </w:rPr>
        <w:t xml:space="preserve">Offer ARIE a </w:t>
      </w:r>
      <w:r>
        <w:rPr>
          <w:rFonts w:ascii="Arial" w:cs="Arial" w:eastAsia="Arial" w:hAnsi="Arial"/>
          <w:b/>
          <w:bCs/>
          <w:color w:val="333333"/>
          <w:sz w:val="21"/>
          <w:szCs w:val="21"/>
        </w:rPr>
        <w:t xml:space="preserve">referral fee of 10-15% of first-year revenue</w:t>
      </w:r>
      <w:r>
        <w:rPr>
          <w:rFonts w:ascii="Arial" w:cs="Arial" w:eastAsia="Arial" w:hAnsi="Arial"/>
          <w:color w:val="333333"/>
          <w:sz w:val="21"/>
          <w:szCs w:val="21"/>
        </w:rPr>
        <w:t xml:space="preserve"> for every introduction that converts to a paying client.</w:t>
      </w:r>
    </w:p>
    <w:p>
      <w:pPr>
        <w:pStyle w:val="ListParagraph"/>
        <w:numPr>
          <w:ilvl w:val="0"/>
          <w:numId w:val="2"/>
        </w:numPr>
        <w:spacing w:after="80" w:line="276"/>
      </w:pPr>
      <w:r>
        <w:rPr>
          <w:rFonts w:ascii="Arial" w:cs="Arial" w:eastAsia="Arial" w:hAnsi="Arial"/>
          <w:color w:val="333333"/>
          <w:sz w:val="21"/>
          <w:szCs w:val="21"/>
        </w:rPr>
        <w:t xml:space="preserve">Co-create a case study with ARIE that quantifies time saved, error reduction, and audit readiness improvement.</w:t>
      </w:r>
    </w:p>
    <w:p>
      <w:pPr>
        <w:pStyle w:val="ListParagraph"/>
        <w:numPr>
          <w:ilvl w:val="0"/>
          <w:numId w:val="2"/>
        </w:numPr>
        <w:spacing w:after="80" w:line="276"/>
      </w:pPr>
      <w:r>
        <w:rPr>
          <w:rFonts w:ascii="Arial" w:cs="Arial" w:eastAsia="Arial" w:hAnsi="Arial"/>
          <w:color w:val="333333"/>
          <w:sz w:val="21"/>
          <w:szCs w:val="21"/>
        </w:rPr>
        <w:t xml:space="preserve">Ask ARIE for introductions to </w:t>
      </w:r>
      <w:r>
        <w:rPr>
          <w:rFonts w:ascii="Arial" w:cs="Arial" w:eastAsia="Arial" w:hAnsi="Arial"/>
          <w:b/>
          <w:bCs/>
          <w:color w:val="333333"/>
          <w:sz w:val="21"/>
          <w:szCs w:val="21"/>
        </w:rPr>
        <w:t xml:space="preserve">3 specific companies</w:t>
      </w:r>
      <w:r>
        <w:rPr>
          <w:rFonts w:ascii="Arial" w:cs="Arial" w:eastAsia="Arial" w:hAnsi="Arial"/>
          <w:color w:val="333333"/>
          <w:sz w:val="21"/>
          <w:szCs w:val="21"/>
        </w:rPr>
        <w:t xml:space="preserve"> within the first 30 days of going live.</w:t>
      </w:r>
    </w:p>
    <w:p>
      <w:pPr>
        <w:spacing w:after="120" w:before="200"/>
      </w:pPr>
      <w:r>
        <w:rPr>
          <w:rFonts w:ascii="Arial" w:cs="Arial" w:eastAsia="Arial" w:hAnsi="Arial"/>
          <w:b/>
          <w:bCs/>
          <w:color w:val="1B3A5C"/>
          <w:sz w:val="22"/>
          <w:szCs w:val="22"/>
        </w:rPr>
        <w:t xml:space="preserve">Channel 3: Ecosystem Partners (15% of pipeline)</w:t>
      </w:r>
    </w:p>
    <w:p>
      <w:pPr>
        <w:spacing w:after="140" w:line="276"/>
        <w:jc w:val="left"/>
      </w:pPr>
      <w:r>
        <w:rPr>
          <w:rFonts w:ascii="Arial" w:cs="Arial" w:eastAsia="Arial" w:hAnsi="Arial"/>
          <w:color w:val="333333"/>
          <w:sz w:val="21"/>
          <w:szCs w:val="21"/>
        </w:rPr>
        <w:t xml:space="preserve">Compliance consultancies, law firms, and audit firms are natural introducers. They advise regulated entities on compliance infrastructure and get asked for tool recommendations constantly.</w:t>
      </w:r>
    </w:p>
    <w:p>
      <w:pPr>
        <w:pStyle w:val="ListParagraph"/>
        <w:numPr>
          <w:ilvl w:val="0"/>
          <w:numId w:val="2"/>
        </w:numPr>
        <w:spacing w:after="80" w:line="276"/>
      </w:pPr>
      <w:r>
        <w:rPr>
          <w:rFonts w:ascii="Arial" w:cs="Arial" w:eastAsia="Arial" w:hAnsi="Arial"/>
          <w:color w:val="333333"/>
          <w:sz w:val="21"/>
          <w:szCs w:val="21"/>
        </w:rPr>
        <w:t xml:space="preserve">Identify 5-8 compliance consultancies in Luxembourg and Ireland. Offer them a </w:t>
      </w:r>
      <w:r>
        <w:rPr>
          <w:rFonts w:ascii="Arial" w:cs="Arial" w:eastAsia="Arial" w:hAnsi="Arial"/>
          <w:b/>
          <w:bCs/>
          <w:color w:val="333333"/>
          <w:sz w:val="21"/>
          <w:szCs w:val="21"/>
        </w:rPr>
        <w:t xml:space="preserve">15% ongoing referral commission</w:t>
      </w:r>
      <w:r>
        <w:rPr>
          <w:rFonts w:ascii="Arial" w:cs="Arial" w:eastAsia="Arial" w:hAnsi="Arial"/>
          <w:color w:val="333333"/>
          <w:sz w:val="21"/>
          <w:szCs w:val="21"/>
        </w:rPr>
        <w:t xml:space="preserve"> and co-branded materials.</w:t>
      </w:r>
    </w:p>
    <w:p>
      <w:pPr>
        <w:pStyle w:val="ListParagraph"/>
        <w:numPr>
          <w:ilvl w:val="0"/>
          <w:numId w:val="2"/>
        </w:numPr>
        <w:spacing w:after="80" w:line="276"/>
      </w:pPr>
      <w:r>
        <w:rPr>
          <w:rFonts w:ascii="Arial" w:cs="Arial" w:eastAsia="Arial" w:hAnsi="Arial"/>
          <w:color w:val="333333"/>
          <w:sz w:val="21"/>
          <w:szCs w:val="21"/>
        </w:rPr>
        <w:t xml:space="preserve">Target firms like Deloitte (RegTech team), KPMG (compliance advisory), and boutique compliance consultancies that work with PSPs/CSPs.</w:t>
      </w:r>
    </w:p>
    <w:p>
      <w:pPr>
        <w:pStyle w:val="ListParagraph"/>
        <w:numPr>
          <w:ilvl w:val="0"/>
          <w:numId w:val="2"/>
        </w:numPr>
        <w:spacing w:after="80" w:line="276"/>
      </w:pPr>
      <w:r>
        <w:rPr>
          <w:rFonts w:ascii="Arial" w:cs="Arial" w:eastAsia="Arial" w:hAnsi="Arial"/>
          <w:color w:val="333333"/>
          <w:sz w:val="21"/>
          <w:szCs w:val="21"/>
        </w:rPr>
        <w:t xml:space="preserve">Do NOT do formal partnership agreements yet. Start with informal referral relationships and formalise only after the first 2-3 referrals close.</w:t>
      </w:r>
    </w:p>
    <w:p>
      <w:pPr>
        <w:pStyle w:val="Heading2"/>
        <w:spacing w:after="160" w:before="280"/>
      </w:pPr>
      <w:r>
        <w:rPr>
          <w:rFonts w:ascii="Arial" w:cs="Arial" w:eastAsia="Arial" w:hAnsi="Arial"/>
          <w:b/>
          <w:bCs/>
          <w:color w:val="2E75B6"/>
          <w:sz w:val="26"/>
          <w:szCs w:val="26"/>
        </w:rPr>
        <w:t xml:space="preserve">C.2 Sales Motion</w:t>
      </w:r>
    </w:p>
    <w:p>
      <w:pPr>
        <w:spacing w:after="140" w:line="276"/>
        <w:jc w:val="left"/>
      </w:pPr>
      <w:r>
        <w:rPr>
          <w:rFonts w:ascii="Arial" w:cs="Arial" w:eastAsia="Arial" w:hAnsi="Arial"/>
          <w:color w:val="333333"/>
          <w:sz w:val="21"/>
          <w:szCs w:val="21"/>
        </w:rPr>
        <w:t xml:space="preserve">The sales motion evolves in three phases: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Motion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Founder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1: Founder-Led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Months 1-6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 runs every demo, closes every deal, handles onboarding personally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selling + onboarding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Phase 2: Founder + SDR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Months 7-9</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Hire 1 SDR to handle prospecting and qualification. Founder still closes.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60% closing, 40% product/strategy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3: Repeatable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Months 10-15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Hire 1 AE. Founder steps back from most deals. Playbook documented.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closing (enterprise only), 80% CEO</w:t>
            </w:r>
          </w:p>
        </w:tc>
      </w:tr>
    </w:tbl>
    <w:p>
      <w:pPr>
        <w:spacing w:after="80"/>
      </w:pPr>
    </w:p>
    <w:p>
      <w:pPr>
        <w:spacing w:after="140" w:line="276"/>
        <w:jc w:val="left"/>
      </w:pPr>
      <w:r>
        <w:rPr>
          <w:rFonts w:ascii="Arial" w:cs="Arial" w:eastAsia="Arial" w:hAnsi="Arial"/>
          <w:color w:val="333333"/>
          <w:sz w:val="21"/>
          <w:szCs w:val="21"/>
        </w:rPr>
        <w:t xml:space="preserve"/>
      </w:r>
      <w:r>
        <w:rPr>
          <w:rFonts w:ascii="Arial" w:cs="Arial" w:eastAsia="Arial" w:hAnsi="Arial"/>
          <w:b/>
          <w:bCs/>
          <w:color w:val="333333"/>
          <w:sz w:val="21"/>
          <w:szCs w:val="21"/>
        </w:rPr>
        <w:t xml:space="preserve">Critical rule:</w:t>
      </w:r>
      <w:r>
        <w:rPr>
          <w:rFonts w:ascii="Arial" w:cs="Arial" w:eastAsia="Arial" w:hAnsi="Arial"/>
          <w:color w:val="333333"/>
          <w:sz w:val="21"/>
          <w:szCs w:val="21"/>
        </w:rPr>
        <w:t xml:space="preserve"> Do NOT hire salespeople before month 7. You need to personally close 5-8 deals to understand the objections, the buying process, and the true value proposition. Hiring sales too early is the #1 mistake RegTech founders make.</w:t>
      </w:r>
    </w:p>
    <w:p>
      <w:pPr>
        <w:pStyle w:val="Heading2"/>
        <w:spacing w:after="160" w:before="280"/>
      </w:pPr>
      <w:r>
        <w:rPr>
          <w:rFonts w:ascii="Arial" w:cs="Arial" w:eastAsia="Arial" w:hAnsi="Arial"/>
          <w:b/>
          <w:bCs/>
          <w:color w:val="2E75B6"/>
          <w:sz w:val="26"/>
          <w:szCs w:val="26"/>
        </w:rPr>
        <w:t xml:space="preserve">C.3 Outreach Strategy</w:t>
      </w:r>
    </w:p>
    <w:p>
      <w:pPr>
        <w:spacing w:after="120" w:before="200"/>
      </w:pPr>
      <w:r>
        <w:rPr>
          <w:rFonts w:ascii="Arial" w:cs="Arial" w:eastAsia="Arial" w:hAnsi="Arial"/>
          <w:b/>
          <w:bCs/>
          <w:color w:val="1B3A5C"/>
          <w:sz w:val="22"/>
          <w:szCs w:val="22"/>
        </w:rPr>
        <w:t xml:space="preserve">LinkedIn Message Template (First Touch)</w:t>
      </w:r>
    </w:p>
    <w:p>
      <w:pPr>
        <w:spacing w:after="140" w:line="276"/>
        <w:jc w:val="left"/>
      </w:pPr>
      <w:r>
        <w:rPr>
          <w:rFonts w:ascii="Arial" w:cs="Arial" w:eastAsia="Arial" w:hAnsi="Arial"/>
          <w:i/>
          <w:iCs/>
          <w:color w:val="333333"/>
          <w:sz w:val="21"/>
          <w:szCs w:val="21"/>
        </w:rPr>
        <w:t xml:space="preserve">"Hi [Name], I noticed [Company] recently [obtained PIS licence / expanded into payments / is scaling merchant onboarding]. We built Onboarda specifically for PSPs dealing with the pain of KYC/AML onboarding at scale. Our AI generates compliance memos, maps UBO structures, and cuts onboarding time by 70%. Would a 15-minute demo be useful? Happy to show you what we built for ARIE Finance."</w:t>
      </w:r>
    </w:p>
    <w:p>
      <w:pPr>
        <w:spacing w:after="120" w:before="200"/>
      </w:pPr>
      <w:r>
        <w:rPr>
          <w:rFonts w:ascii="Arial" w:cs="Arial" w:eastAsia="Arial" w:hAnsi="Arial"/>
          <w:b/>
          <w:bCs/>
          <w:color w:val="1B3A5C"/>
          <w:sz w:val="22"/>
          <w:szCs w:val="22"/>
        </w:rPr>
        <w:t xml:space="preserve">Email Sequence (Cold)</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Email 1:</w:t>
      </w:r>
      <w:r>
        <w:rPr>
          <w:rFonts w:ascii="Arial" w:cs="Arial" w:eastAsia="Arial" w:hAnsi="Arial"/>
          <w:color w:val="333333"/>
          <w:sz w:val="21"/>
          <w:szCs w:val="21"/>
        </w:rPr>
        <w:t xml:space="preserve"> Problem-focused. "You are probably spending 4-6 hours per client onboarding. Here is how ARIE cut that to 45 minutes."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Email 2:</w:t>
      </w:r>
      <w:r>
        <w:rPr>
          <w:rFonts w:ascii="Arial" w:cs="Arial" w:eastAsia="Arial" w:hAnsi="Arial"/>
          <w:color w:val="333333"/>
          <w:sz w:val="21"/>
          <w:szCs w:val="21"/>
        </w:rPr>
        <w:t xml:space="preserve"> Social proof. Share the ARIE case study with specific metrics.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Email 3:</w:t>
      </w:r>
      <w:r>
        <w:rPr>
          <w:rFonts w:ascii="Arial" w:cs="Arial" w:eastAsia="Arial" w:hAnsi="Arial"/>
          <w:color w:val="333333"/>
          <w:sz w:val="21"/>
          <w:szCs w:val="21"/>
        </w:rPr>
        <w:t xml:space="preserve"> Direct ask. "Can I show you a 15-minute demo this week?"</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Email 4 (break-up):</w:t>
      </w:r>
      <w:r>
        <w:rPr>
          <w:rFonts w:ascii="Arial" w:cs="Arial" w:eastAsia="Arial" w:hAnsi="Arial"/>
          <w:color w:val="333333"/>
          <w:sz w:val="21"/>
          <w:szCs w:val="21"/>
        </w:rPr>
        <w:t xml:space="preserve"> "Looks like timing is not right. I will check back in 3 months. Meanwhile, here is our compliance automation guide."</w:t>
      </w:r>
    </w:p>
    <w:p>
      <w:pPr>
        <w:pStyle w:val="Heading2"/>
        <w:spacing w:after="160" w:before="280"/>
      </w:pPr>
      <w:r>
        <w:rPr>
          <w:rFonts w:ascii="Arial" w:cs="Arial" w:eastAsia="Arial" w:hAnsi="Arial"/>
          <w:b/>
          <w:bCs/>
          <w:color w:val="2E75B6"/>
          <w:sz w:val="26"/>
          <w:szCs w:val="26"/>
        </w:rPr>
        <w:t xml:space="preserve">C.4 Conversion Funnel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Conversion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Awareness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Outbound, content, referrals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Discovery Call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15-min qualification call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40% of contacted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Founder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30-min personalised product demo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 of discovery calls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Trial/POC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14-day hands-on trial with real data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50% of demos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Founder + Support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Proposal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Commercial proposal + annual contract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 of trials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Close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Signed contract + onboarding kickoff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80% of proposals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Founder</w:t>
            </w:r>
          </w:p>
        </w:tc>
      </w:tr>
    </w:tbl>
    <w:p>
      <w:pPr>
        <w:spacing w:after="80"/>
      </w:pPr>
    </w:p>
    <w:p>
      <w:pPr>
        <w:spacing w:after="140" w:line="276"/>
        <w:jc w:val="left"/>
      </w:pPr>
      <w:r>
        <w:rPr>
          <w:rFonts w:ascii="Arial" w:cs="Arial" w:eastAsia="Arial" w:hAnsi="Arial"/>
          <w:color w:val="333333"/>
          <w:sz w:val="21"/>
          <w:szCs w:val="21"/>
        </w:rPr>
        <w:t xml:space="preserve"/>
      </w:r>
      <w:r>
        <w:rPr>
          <w:rFonts w:ascii="Arial" w:cs="Arial" w:eastAsia="Arial" w:hAnsi="Arial"/>
          <w:b/>
          <w:bCs/>
          <w:color w:val="333333"/>
          <w:sz w:val="21"/>
          <w:szCs w:val="21"/>
        </w:rPr>
        <w:t xml:space="preserve">Overall funnel math:</w:t>
      </w:r>
      <w:r>
        <w:rPr>
          <w:rFonts w:ascii="Arial" w:cs="Arial" w:eastAsia="Arial" w:hAnsi="Arial"/>
          <w:color w:val="333333"/>
          <w:sz w:val="21"/>
          <w:szCs w:val="21"/>
        </w:rPr>
        <w:t xml:space="preserve"> 100 prospects contacted → 40 discovery calls → 24 demos → 12 trials → 8-9 proposals → 6-7 closed deals. That gives you a ~7% contact-to-close rate, which is realistic for founder-led outbound in RegTech.</w:t>
      </w:r>
    </w:p>
    <w:p>
      <w:r>
        <w:br w:type="page"/>
      </w:r>
    </w:p>
    <w:p>
      <w:pPr>
        <w:pStyle w:val="Heading1"/>
        <w:spacing w:after="200" w:before="360"/>
      </w:pPr>
      <w:r>
        <w:rPr>
          <w:rFonts w:ascii="Arial" w:cs="Arial" w:eastAsia="Arial" w:hAnsi="Arial"/>
          <w:b/>
          <w:bCs/>
          <w:color w:val="1B3A5C"/>
          <w:sz w:val="32"/>
          <w:szCs w:val="32"/>
        </w:rPr>
        <w:t xml:space="preserve">D. Client Acquisition Plan</w:t>
      </w:r>
    </w:p>
    <w:p>
      <w:pPr>
        <w:pStyle w:val="Heading2"/>
        <w:spacing w:after="160" w:before="280"/>
      </w:pPr>
      <w:r>
        <w:rPr>
          <w:rFonts w:ascii="Arial" w:cs="Arial" w:eastAsia="Arial" w:hAnsi="Arial"/>
          <w:b/>
          <w:bCs/>
          <w:color w:val="2E75B6"/>
          <w:sz w:val="26"/>
          <w:szCs w:val="26"/>
        </w:rPr>
        <w:t xml:space="preserve">D.1 First 10 Clients (Months 1-6)</w:t>
      </w:r>
    </w:p>
    <w:p>
      <w:pPr>
        <w:spacing w:after="140" w:line="276"/>
        <w:jc w:val="left"/>
      </w:pPr>
      <w:r>
        <w:rPr>
          <w:rFonts w:ascii="Arial" w:cs="Arial" w:eastAsia="Arial" w:hAnsi="Arial"/>
          <w:color w:val="333333"/>
          <w:sz w:val="21"/>
          <w:szCs w:val="21"/>
        </w:rPr>
        <w:t xml:space="preserve">The first 10 clients are the hardest and the most important. They establish product-market fit, generate case studies, and prove revenue. Here is the exact plan:</w:t>
      </w:r>
    </w:p>
    <w:p>
      <w:pPr>
        <w:spacing w:after="80"/>
      </w:pPr>
    </w:p>
    <w:p>
      <w:pPr>
        <w:pStyle w:val="ListParagraph"/>
        <w:numPr>
          <w:ilvl w:val="0"/>
          <w:numId w:val="3"/>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Client 1: ARIE Finance.</w:t>
      </w:r>
      <w:r>
        <w:rPr>
          <w:rFonts w:ascii="Arial" w:cs="Arial" w:eastAsia="Arial" w:hAnsi="Arial"/>
          <w:color w:val="333333"/>
          <w:sz w:val="21"/>
          <w:szCs w:val="21"/>
        </w:rPr>
        <w:t xml:space="preserve"> Convert from design partner to paid contract within 30 days. Target: €3,000-5,000/mo. This is your anchor reference.</w:t>
      </w:r>
    </w:p>
    <w:p>
      <w:pPr>
        <w:pStyle w:val="ListParagraph"/>
        <w:numPr>
          <w:ilvl w:val="0"/>
          <w:numId w:val="3"/>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Clients 2-3: ARIE referrals.</w:t>
      </w:r>
      <w:r>
        <w:rPr>
          <w:rFonts w:ascii="Arial" w:cs="Arial" w:eastAsia="Arial" w:hAnsi="Arial"/>
          <w:color w:val="333333"/>
          <w:sz w:val="21"/>
          <w:szCs w:val="21"/>
        </w:rPr>
        <w:t xml:space="preserve"> Within 60 days of ARIE going live, get 2 warm introductions. ARIE knows other PSPs and CSPs. Offer ARIE the referral incentive to motivate action.</w:t>
      </w:r>
    </w:p>
    <w:p>
      <w:pPr>
        <w:pStyle w:val="ListParagraph"/>
        <w:numPr>
          <w:ilvl w:val="0"/>
          <w:numId w:val="3"/>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Clients 4-6: Direct outbound.</w:t>
      </w:r>
      <w:r>
        <w:rPr>
          <w:rFonts w:ascii="Arial" w:cs="Arial" w:eastAsia="Arial" w:hAnsi="Arial"/>
          <w:color w:val="333333"/>
          <w:sz w:val="21"/>
          <w:szCs w:val="21"/>
        </w:rPr>
        <w:t xml:space="preserve"> Target PSPs in Luxembourg and Ireland specifically. Use CSSF and Central Bank of Ireland registers to build a list of licensed PIS/AIS providers. Personalised LinkedIn outreach, 25 prospects per week.</w:t>
      </w:r>
    </w:p>
    <w:p>
      <w:pPr>
        <w:pStyle w:val="ListParagraph"/>
        <w:numPr>
          <w:ilvl w:val="0"/>
          <w:numId w:val="3"/>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Clients 7-8: Compliance consultant referrals.</w:t>
      </w:r>
      <w:r>
        <w:rPr>
          <w:rFonts w:ascii="Arial" w:cs="Arial" w:eastAsia="Arial" w:hAnsi="Arial"/>
          <w:color w:val="333333"/>
          <w:sz w:val="21"/>
          <w:szCs w:val="21"/>
        </w:rPr>
        <w:t xml:space="preserve"> By month 3, you should have 2-3 informal referral relationships with compliance advisory firms. Target 1-2 clients from this channel.</w:t>
      </w:r>
    </w:p>
    <w:p>
      <w:pPr>
        <w:pStyle w:val="ListParagraph"/>
        <w:numPr>
          <w:ilvl w:val="0"/>
          <w:numId w:val="3"/>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Clients 9-10: Conference/event pipeline.</w:t>
      </w:r>
      <w:r>
        <w:rPr>
          <w:rFonts w:ascii="Arial" w:cs="Arial" w:eastAsia="Arial" w:hAnsi="Arial"/>
          <w:color w:val="333333"/>
          <w:sz w:val="21"/>
          <w:szCs w:val="21"/>
        </w:rPr>
        <w:t xml:space="preserve"> Attend 2-3 RegTech/compliance events (Money 20/20, RegTech Summit, local ALCO/ABBL events in Luxembourg). Focus on meetings, not booth presence. Book 5 demos per event.</w:t>
      </w:r>
    </w:p>
    <w:p>
      <w:pPr>
        <w:spacing w:after="80"/>
      </w:pPr>
    </w:p>
    <w:p>
      <w:pPr>
        <w:pStyle w:val="Heading2"/>
        <w:spacing w:after="160" w:before="280"/>
      </w:pPr>
      <w:r>
        <w:rPr>
          <w:rFonts w:ascii="Arial" w:cs="Arial" w:eastAsia="Arial" w:hAnsi="Arial"/>
          <w:b/>
          <w:bCs/>
          <w:color w:val="2E75B6"/>
          <w:sz w:val="26"/>
          <w:szCs w:val="26"/>
        </w:rPr>
        <w:t xml:space="preserve">D.2 Scaling to 50 Clients (Months 6-12)</w:t>
      </w:r>
    </w:p>
    <w:p>
      <w:pPr>
        <w:spacing w:after="140" w:line="276"/>
        <w:jc w:val="left"/>
      </w:pPr>
      <w:r>
        <w:rPr>
          <w:rFonts w:ascii="Arial" w:cs="Arial" w:eastAsia="Arial" w:hAnsi="Arial"/>
          <w:color w:val="333333"/>
          <w:sz w:val="21"/>
          <w:szCs w:val="21"/>
        </w:rPr>
        <w:t xml:space="preserve">After 10 clients, the game changes. You have proof points, case studies, and a repeatable pitch. The scaling levers: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Hire an SDR (month 7)</w:t>
      </w:r>
      <w:r>
        <w:rPr>
          <w:rFonts w:ascii="Arial" w:cs="Arial" w:eastAsia="Arial" w:hAnsi="Arial"/>
          <w:color w:val="333333"/>
          <w:sz w:val="21"/>
          <w:szCs w:val="21"/>
        </w:rPr>
        <w:t xml:space="preserve"> to run outbound at 50+ personalised touches per week. The SDR books discovery calls; the founder closes.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Launch the partner program formally</w:t>
      </w:r>
      <w:r>
        <w:rPr>
          <w:rFonts w:ascii="Arial" w:cs="Arial" w:eastAsia="Arial" w:hAnsi="Arial"/>
          <w:color w:val="333333"/>
          <w:sz w:val="21"/>
          <w:szCs w:val="21"/>
        </w:rPr>
        <w:t xml:space="preserve"> with 5-8 compliance consultancies and 2-3 law firms. Structured referral commissions, co-marketing, quarterly pipeline reviews.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Expand geography</w:t>
      </w:r>
      <w:r>
        <w:rPr>
          <w:rFonts w:ascii="Arial" w:cs="Arial" w:eastAsia="Arial" w:hAnsi="Arial"/>
          <w:color w:val="333333"/>
          <w:sz w:val="21"/>
          <w:szCs w:val="21"/>
        </w:rPr>
        <w:t xml:space="preserve"> from Lux/Ireland to Netherlands, Belgium, Malta, Cyprus. Same ICP, same messaging, different registers to source prospects.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Publish 3-4 case studies</w:t>
      </w:r>
      <w:r>
        <w:rPr>
          <w:rFonts w:ascii="Arial" w:cs="Arial" w:eastAsia="Arial" w:hAnsi="Arial"/>
          <w:color w:val="333333"/>
          <w:sz w:val="21"/>
          <w:szCs w:val="21"/>
        </w:rPr>
        <w:t xml:space="preserve"> with quantified results. These become the backbone of all outbound and inbound content.</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Introduce white-label to 2-3 CSPs</w:t>
      </w:r>
      <w:r>
        <w:rPr>
          <w:rFonts w:ascii="Arial" w:cs="Arial" w:eastAsia="Arial" w:hAnsi="Arial"/>
          <w:color w:val="333333"/>
          <w:sz w:val="21"/>
          <w:szCs w:val="21"/>
        </w:rPr>
        <w:t xml:space="preserve"> who can each bring 10-30 sub-clients onto the platform. This is the fastest path to volume.</w:t>
      </w:r>
    </w:p>
    <w:p>
      <w:pPr>
        <w:pStyle w:val="Heading2"/>
        <w:spacing w:after="160" w:before="280"/>
      </w:pPr>
      <w:r>
        <w:rPr>
          <w:rFonts w:ascii="Arial" w:cs="Arial" w:eastAsia="Arial" w:hAnsi="Arial"/>
          <w:b/>
          <w:bCs/>
          <w:color w:val="2E75B6"/>
          <w:sz w:val="26"/>
          <w:szCs w:val="26"/>
        </w:rPr>
        <w:t xml:space="preserve">D.3 Scaling to 100+ Clients (Months 12-18)</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Hire an AE</w:t>
      </w:r>
      <w:r>
        <w:rPr>
          <w:rFonts w:ascii="Arial" w:cs="Arial" w:eastAsia="Arial" w:hAnsi="Arial"/>
          <w:color w:val="333333"/>
          <w:sz w:val="21"/>
          <w:szCs w:val="21"/>
        </w:rPr>
        <w:t xml:space="preserve"> to own the full sales cycle for Growth-tier deals. Founder focuses on Enterprise and strategic partnerships.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Build inbound engine:</w:t>
      </w:r>
      <w:r>
        <w:rPr>
          <w:rFonts w:ascii="Arial" w:cs="Arial" w:eastAsia="Arial" w:hAnsi="Arial"/>
          <w:color w:val="333333"/>
          <w:sz w:val="21"/>
          <w:szCs w:val="21"/>
        </w:rPr>
        <w:t xml:space="preserve"> SEO-optimised content targeting compliance pain points, webinars with regulatory experts, gated reports on regulatory changes.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API-first partnerships:</w:t>
      </w:r>
      <w:r>
        <w:rPr>
          <w:rFonts w:ascii="Arial" w:cs="Arial" w:eastAsia="Arial" w:hAnsi="Arial"/>
          <w:color w:val="333333"/>
          <w:sz w:val="21"/>
          <w:szCs w:val="21"/>
        </w:rPr>
        <w:t xml:space="preserve"> Integrate with banking-as-a-service platforms (e.g., Swan, Treezor, Modulr) to become the embedded compliance layer for their PSP clients.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White-label flywheel:</w:t>
      </w:r>
      <w:r>
        <w:rPr>
          <w:rFonts w:ascii="Arial" w:cs="Arial" w:eastAsia="Arial" w:hAnsi="Arial"/>
          <w:color w:val="333333"/>
          <w:sz w:val="21"/>
          <w:szCs w:val="21"/>
        </w:rPr>
        <w:t xml:space="preserve"> Each CSP white-label partner brings 15-40 sub-clients. 5 CSP partners = 75-200 additional entities on the platform.</w:t>
      </w:r>
    </w:p>
    <w:p>
      <w:pPr>
        <w:pStyle w:val="Heading2"/>
        <w:spacing w:after="160" w:before="280"/>
      </w:pPr>
      <w:r>
        <w:rPr>
          <w:rFonts w:ascii="Arial" w:cs="Arial" w:eastAsia="Arial" w:hAnsi="Arial"/>
          <w:b/>
          <w:bCs/>
          <w:color w:val="2E75B6"/>
          <w:sz w:val="26"/>
          <w:szCs w:val="26"/>
        </w:rPr>
        <w:t xml:space="preserve">D.4 Key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6)</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12)</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Benchmark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Paying Clients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25-35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ARR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€250K-350K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€850K-1.1M</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 (Blended)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€3,000-5,000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€4,000-6,000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12-month payback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Sales Cycle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45-60 days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30-45 days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&lt; 90 days for RegTech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Trial-to-Close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55-65%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60-70%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40% is strong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Gross Revenue Retention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92%+</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&gt; 85% for early-stage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 Revenue Retention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110%+</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100% signals expansion</w:t>
            </w:r>
          </w:p>
        </w:tc>
      </w:tr>
    </w:tbl>
    <w:p>
      <w:pPr>
        <w:spacing w:after="80"/>
      </w:pPr>
    </w:p>
    <w:p>
      <w:r>
        <w:br w:type="page"/>
      </w:r>
    </w:p>
    <w:p>
      <w:pPr>
        <w:pStyle w:val="Heading1"/>
        <w:spacing w:after="200" w:before="360"/>
      </w:pPr>
      <w:r>
        <w:rPr>
          <w:rFonts w:ascii="Arial" w:cs="Arial" w:eastAsia="Arial" w:hAnsi="Arial"/>
          <w:b/>
          <w:bCs/>
          <w:color w:val="1B3A5C"/>
          <w:sz w:val="32"/>
          <w:szCs w:val="32"/>
        </w:rPr>
        <w:t xml:space="preserve">E. White-Label Strategy</w:t>
      </w:r>
    </w:p>
    <w:p>
      <w:pPr>
        <w:pStyle w:val="Heading2"/>
        <w:spacing w:after="160" w:before="280"/>
      </w:pPr>
      <w:r>
        <w:rPr>
          <w:rFonts w:ascii="Arial" w:cs="Arial" w:eastAsia="Arial" w:hAnsi="Arial"/>
          <w:b/>
          <w:bCs/>
          <w:color w:val="2E75B6"/>
          <w:sz w:val="26"/>
          <w:szCs w:val="26"/>
        </w:rPr>
        <w:t xml:space="preserve">E.1 The Right Approach: White-Label Lite</w:t>
      </w:r>
    </w:p>
    <w:p>
      <w:pPr>
        <w:spacing w:after="140" w:line="276"/>
        <w:jc w:val="left"/>
      </w:pPr>
      <w:r>
        <w:rPr>
          <w:rFonts w:ascii="Arial" w:cs="Arial" w:eastAsia="Arial" w:hAnsi="Arial"/>
          <w:color w:val="333333"/>
          <w:sz w:val="21"/>
          <w:szCs w:val="21"/>
        </w:rPr>
        <w:t xml:space="preserve">Full white-labeling is a trap for early-stage companies. It leads to custom development requests, fragmented codebases, and an engineering team that spends 60% of its time on partner-specific features instead of core product. Instead, implement </w:t>
      </w:r>
      <w:r>
        <w:rPr>
          <w:rFonts w:ascii="Arial" w:cs="Arial" w:eastAsia="Arial" w:hAnsi="Arial"/>
          <w:b/>
          <w:bCs/>
          <w:color w:val="333333"/>
          <w:sz w:val="21"/>
          <w:szCs w:val="21"/>
        </w:rPr>
        <w:t xml:space="preserve">White-Label Lite</w:t>
      </w:r>
      <w:r>
        <w:rPr>
          <w:rFonts w:ascii="Arial" w:cs="Arial" w:eastAsia="Arial" w:hAnsi="Arial"/>
          <w:color w:val="333333"/>
          <w:sz w:val="21"/>
          <w:szCs w:val="21"/>
        </w:rPr>
        <w:t xml:space="preser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r>
              <w:rPr>
                <w:rFonts w:ascii="Arial" w:cs="Arial" w:eastAsia="Arial" w:hAnsi="Arial"/>
                <w:b/>
                <w:bCs/>
                <w:color w:val="1B3A5C"/>
                <w:sz w:val="21"/>
                <w:szCs w:val="21"/>
              </w:rPr>
              <w:t xml:space="preserve">White-Label Lite = configurable branding + partner dashboard + sub-entity management. The core product, workflows, and AI engine remain identical across all instances.</w:t>
            </w:r>
          </w:p>
        </w:tc>
      </w:tr>
    </w:tbl>
    <w:p>
      <w:pPr>
        <w:spacing w:after="80"/>
      </w:pPr>
    </w:p>
    <w:p>
      <w:pPr>
        <w:pStyle w:val="Heading2"/>
        <w:spacing w:after="160" w:before="280"/>
      </w:pPr>
      <w:r>
        <w:rPr>
          <w:rFonts w:ascii="Arial" w:cs="Arial" w:eastAsia="Arial" w:hAnsi="Arial"/>
          <w:b/>
          <w:bCs/>
          <w:color w:val="2E75B6"/>
          <w:sz w:val="26"/>
          <w:szCs w:val="26"/>
        </w:rPr>
        <w:t xml:space="preserve">E.2 What Should Be Configurable vs Fixed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Configurable (Partner Controls)</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Fixed (Onboarda Controls)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Logo, colour scheme, favicon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workflows and approval logic</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Email templates and sender domain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AI risk scoring model and thresholds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Client-facing portal branding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Screening data sources and integrations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Custom fields on onboarding forms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Audit trail and explainability engine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Partner dashboard with sub-entity 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Compliance memo generation logic</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Role-based access for partner staff</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Security, encryption, and data handling</w:t>
            </w:r>
          </w:p>
        </w:tc>
      </w:tr>
    </w:tbl>
    <w:p>
      <w:pPr>
        <w:spacing w:after="80"/>
      </w:pPr>
    </w:p>
    <w:p>
      <w:pPr>
        <w:pStyle w:val="Heading2"/>
        <w:spacing w:after="160" w:before="280"/>
      </w:pPr>
      <w:r>
        <w:rPr>
          <w:rFonts w:ascii="Arial" w:cs="Arial" w:eastAsia="Arial" w:hAnsi="Arial"/>
          <w:b/>
          <w:bCs/>
          <w:color w:val="2E75B6"/>
          <w:sz w:val="26"/>
          <w:szCs w:val="26"/>
        </w:rPr>
        <w:t xml:space="preserve">E.3 Avoiding the Custom Dev Shop Trap</w:t>
      </w:r>
    </w:p>
    <w:p>
      <w:pPr>
        <w:spacing w:after="140" w:line="276"/>
        <w:jc w:val="left"/>
      </w:pPr>
      <w:r>
        <w:rPr>
          <w:rFonts w:ascii="Arial" w:cs="Arial" w:eastAsia="Arial" w:hAnsi="Arial"/>
          <w:color w:val="333333"/>
          <w:sz w:val="21"/>
          <w:szCs w:val="21"/>
        </w:rPr>
        <w:t xml:space="preserve">Three non-negotiable rules:</w:t>
      </w:r>
    </w:p>
    <w:p>
      <w:pPr>
        <w:pStyle w:val="ListParagraph"/>
        <w:numPr>
          <w:ilvl w:val="0"/>
          <w:numId w:val="4"/>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No custom features for individual partners.</w:t>
      </w:r>
      <w:r>
        <w:rPr>
          <w:rFonts w:ascii="Arial" w:cs="Arial" w:eastAsia="Arial" w:hAnsi="Arial"/>
          <w:color w:val="333333"/>
          <w:sz w:val="21"/>
          <w:szCs w:val="21"/>
        </w:rPr>
        <w:t xml:space="preserve"> If a partner requests a feature, it either goes into the core product for everyone or it does not get built. No exceptions. The moment you build a feature for one partner, every partner will ask for their own.</w:t>
      </w:r>
    </w:p>
    <w:p>
      <w:pPr>
        <w:pStyle w:val="ListParagraph"/>
        <w:numPr>
          <w:ilvl w:val="0"/>
          <w:numId w:val="4"/>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Configuration, not customisation.</w:t>
      </w:r>
      <w:r>
        <w:rPr>
          <w:rFonts w:ascii="Arial" w:cs="Arial" w:eastAsia="Arial" w:hAnsi="Arial"/>
          <w:color w:val="333333"/>
          <w:sz w:val="21"/>
          <w:szCs w:val="21"/>
        </w:rPr>
        <w:t xml:space="preserve"> Everything a partner can change must be driven by a config layer (UI-based, not code). If it requires a code change, it is not a white-label feature; it is a product feature request.</w:t>
      </w:r>
    </w:p>
    <w:p>
      <w:pPr>
        <w:pStyle w:val="ListParagraph"/>
        <w:numPr>
          <w:ilvl w:val="0"/>
          <w:numId w:val="4"/>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Quarterly release cadence for partners.</w:t>
      </w:r>
      <w:r>
        <w:rPr>
          <w:rFonts w:ascii="Arial" w:cs="Arial" w:eastAsia="Arial" w:hAnsi="Arial"/>
          <w:color w:val="333333"/>
          <w:sz w:val="21"/>
          <w:szCs w:val="21"/>
        </w:rPr>
        <w:t xml:space="preserve"> Partners get the same product updates as direct clients. No separate branches, no partner-specific deployments.</w:t>
      </w:r>
    </w:p>
    <w:p>
      <w:pPr>
        <w:pStyle w:val="Heading2"/>
        <w:spacing w:after="160" w:before="280"/>
      </w:pPr>
      <w:r>
        <w:rPr>
          <w:rFonts w:ascii="Arial" w:cs="Arial" w:eastAsia="Arial" w:hAnsi="Arial"/>
          <w:b/>
          <w:bCs/>
          <w:color w:val="2E75B6"/>
          <w:sz w:val="26"/>
          <w:szCs w:val="26"/>
        </w:rPr>
        <w:t xml:space="preserve">E.4 White-Label Pricing</w:t>
      </w:r>
    </w:p>
    <w:p>
      <w:pPr>
        <w:spacing w:after="140" w:line="276"/>
        <w:jc w:val="left"/>
      </w:pPr>
      <w:r>
        <w:rPr>
          <w:rFonts w:ascii="Arial" w:cs="Arial" w:eastAsia="Arial" w:hAnsi="Arial"/>
          <w:color w:val="333333"/>
          <w:sz w:val="21"/>
          <w:szCs w:val="21"/>
        </w:rPr>
        <w:t xml:space="preserve">White-label pricing should reflect the additional value (brand presence, sub-entity management) without being so expensive that it discourages adoption:</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Base:</w:t>
      </w:r>
      <w:r>
        <w:rPr>
          <w:rFonts w:ascii="Arial" w:cs="Arial" w:eastAsia="Arial" w:hAnsi="Arial"/>
          <w:color w:val="333333"/>
          <w:sz w:val="21"/>
          <w:szCs w:val="21"/>
        </w:rPr>
        <w:t xml:space="preserve"> Growth or Enterprise tier pricing as the floor.</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White-label premium:</w:t>
      </w:r>
      <w:r>
        <w:rPr>
          <w:rFonts w:ascii="Arial" w:cs="Arial" w:eastAsia="Arial" w:hAnsi="Arial"/>
          <w:color w:val="333333"/>
          <w:sz w:val="21"/>
          <w:szCs w:val="21"/>
        </w:rPr>
        <w:t xml:space="preserve"> +30-40% on top of the base tier.</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Per sub-entity fee:</w:t>
      </w:r>
      <w:r>
        <w:rPr>
          <w:rFonts w:ascii="Arial" w:cs="Arial" w:eastAsia="Arial" w:hAnsi="Arial"/>
          <w:color w:val="333333"/>
          <w:sz w:val="21"/>
          <w:szCs w:val="21"/>
        </w:rPr>
        <w:t xml:space="preserve"> €100-200/month per active sub-entity beyond the included allocation. This creates natural expansion revenue.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Setup fee:</w:t>
      </w:r>
      <w:r>
        <w:rPr>
          <w:rFonts w:ascii="Arial" w:cs="Arial" w:eastAsia="Arial" w:hAnsi="Arial"/>
          <w:color w:val="333333"/>
          <w:sz w:val="21"/>
          <w:szCs w:val="21"/>
        </w:rPr>
        <w:t xml:space="preserve"> €5,000-10,000 one-time for branding configuration, partner training, and data migration.</w:t>
      </w:r>
    </w:p>
    <w:p>
      <w:pPr>
        <w:spacing w:after="140" w:line="276"/>
        <w:jc w:val="left"/>
      </w:pPr>
      <w:r>
        <w:rPr>
          <w:rFonts w:ascii="Arial" w:cs="Arial" w:eastAsia="Arial" w:hAnsi="Arial"/>
          <w:color w:val="333333"/>
          <w:sz w:val="21"/>
          <w:szCs w:val="21"/>
        </w:rPr>
        <w:t xml:space="preserve"/>
      </w:r>
      <w:r>
        <w:rPr>
          <w:rFonts w:ascii="Arial" w:cs="Arial" w:eastAsia="Arial" w:hAnsi="Arial"/>
          <w:b/>
          <w:bCs/>
          <w:color w:val="333333"/>
          <w:sz w:val="21"/>
          <w:szCs w:val="21"/>
        </w:rPr>
        <w:t xml:space="preserve">Example: A CSP on the Growth tier (€3,000/mo) with white-label (+40%) and 30 sub-entities at €150 each = €4,200 + €4,500 = €8,700/mo (€104K ACV).</w:t>
      </w:r>
      <w:r>
        <w:rPr>
          <w:rFonts w:ascii="Arial" w:cs="Arial" w:eastAsia="Arial" w:hAnsi="Arial"/>
          <w:color w:val="333333"/>
          <w:sz w:val="21"/>
          <w:szCs w:val="21"/>
        </w:rPr>
        <w:t xml:space="preserve"> This is an extremely attractive deal for the CSP relative to building or buying alternatives.</w:t>
      </w:r>
    </w:p>
    <w:p>
      <w:pPr>
        <w:pStyle w:val="Heading2"/>
        <w:spacing w:after="160" w:before="280"/>
      </w:pPr>
      <w:r>
        <w:rPr>
          <w:rFonts w:ascii="Arial" w:cs="Arial" w:eastAsia="Arial" w:hAnsi="Arial"/>
          <w:b/>
          <w:bCs/>
          <w:color w:val="2E75B6"/>
          <w:sz w:val="26"/>
          <w:szCs w:val="26"/>
        </w:rPr>
        <w:t xml:space="preserve">E.5 Rollout Strategy</w:t>
      </w:r>
    </w:p>
    <w:p>
      <w:pPr>
        <w:pStyle w:val="ListParagraph"/>
        <w:numPr>
          <w:ilvl w:val="0"/>
          <w:numId w:val="5"/>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Phase 1 (Month 1-3): ARIE as beta white-label partner.</w:t>
      </w:r>
      <w:r>
        <w:rPr>
          <w:rFonts w:ascii="Arial" w:cs="Arial" w:eastAsia="Arial" w:hAnsi="Arial"/>
          <w:color w:val="333333"/>
          <w:sz w:val="21"/>
          <w:szCs w:val="21"/>
        </w:rPr>
        <w:t xml:space="preserve"> Implement the White-Label Lite feature set. ARIE gets the branding customisation and partner dashboard at no extra charge during beta, in exchange for detailed feedback and a case study.</w:t>
      </w:r>
    </w:p>
    <w:p>
      <w:pPr>
        <w:pStyle w:val="ListParagraph"/>
        <w:numPr>
          <w:ilvl w:val="0"/>
          <w:numId w:val="5"/>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Phase 2 (Month 4-6): Productise and price.</w:t>
      </w:r>
      <w:r>
        <w:rPr>
          <w:rFonts w:ascii="Arial" w:cs="Arial" w:eastAsia="Arial" w:hAnsi="Arial"/>
          <w:color w:val="333333"/>
          <w:sz w:val="21"/>
          <w:szCs w:val="21"/>
        </w:rPr>
        <w:t xml:space="preserve"> Based on ARIE feedback, finalise the white-label configuration UI. Set pricing. Target 2 additional CSPs for white-label.</w:t>
      </w:r>
    </w:p>
    <w:p>
      <w:pPr>
        <w:pStyle w:val="ListParagraph"/>
        <w:numPr>
          <w:ilvl w:val="0"/>
          <w:numId w:val="5"/>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Phase 3 (Month 7-12): Scale.</w:t>
      </w:r>
      <w:r>
        <w:rPr>
          <w:rFonts w:ascii="Arial" w:cs="Arial" w:eastAsia="Arial" w:hAnsi="Arial"/>
          <w:color w:val="333333"/>
          <w:sz w:val="21"/>
          <w:szCs w:val="21"/>
        </w:rPr>
        <w:t xml:space="preserve"> With 3 white-label partners live, you have a proven model. Target 5 additional CSPs. Each CSP bringing 15-30 sub-entities creates a flywheel that accelerates client count.</w:t>
      </w:r>
    </w:p>
    <w:p>
      <w:r>
        <w:br w:type="page"/>
      </w:r>
    </w:p>
    <w:p>
      <w:pPr>
        <w:pStyle w:val="Heading1"/>
        <w:spacing w:after="200" w:before="360"/>
      </w:pPr>
      <w:r>
        <w:rPr>
          <w:rFonts w:ascii="Arial" w:cs="Arial" w:eastAsia="Arial" w:hAnsi="Arial"/>
          <w:b/>
          <w:bCs/>
          <w:color w:val="1B3A5C"/>
          <w:sz w:val="32"/>
          <w:szCs w:val="32"/>
        </w:rPr>
        <w:t xml:space="preserve">F. Product Strategy</w:t>
      </w:r>
    </w:p>
    <w:p>
      <w:pPr>
        <w:pStyle w:val="Heading2"/>
        <w:spacing w:after="160" w:before="280"/>
      </w:pPr>
      <w:r>
        <w:rPr>
          <w:rFonts w:ascii="Arial" w:cs="Arial" w:eastAsia="Arial" w:hAnsi="Arial"/>
          <w:b/>
          <w:bCs/>
          <w:color w:val="2E75B6"/>
          <w:sz w:val="26"/>
          <w:szCs w:val="26"/>
        </w:rPr>
        <w:t xml:space="preserve">F.1 Prioritised Product Roadmap</w:t>
      </w:r>
    </w:p>
    <w:p>
      <w:pPr>
        <w:spacing w:after="140" w:line="276"/>
        <w:jc w:val="left"/>
      </w:pPr>
      <w:r>
        <w:rPr>
          <w:rFonts w:ascii="Arial" w:cs="Arial" w:eastAsia="Arial" w:hAnsi="Arial"/>
          <w:color w:val="333333"/>
          <w:sz w:val="21"/>
          <w:szCs w:val="21"/>
        </w:rPr>
        <w:t xml:space="preserve">Every feature must pass one test: does it directly contribute to closing the next 10 deals or reducing churn in the current 10 clients? If the answer is no, it goes to the backlog.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400"/>
        <w:gridCol w:w="21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White-Label Lite (branding, partner dashboard)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Unlocks CSP segment, highest ACV deals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ARIE production deployment + migration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First paying client; generates reference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 1-2</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Ongoing monitoring &amp; periodic review engine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 request from prospects; reduces churn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3-5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Regulatory reporting templates (CSSF, CBI)</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Reduces time-to-value; strong differentiator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 4-6</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layer for third-party integrations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Enables BaaS partnerships, stickiness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5-7</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Multi-jurisdiction rule engine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Expand from Lux/Ireland to NL, BE, MT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 6-8</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self-service portal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Reduces onboarding friction for end-clients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8-10</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Advanced analytics &amp; compliance dashboard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Drives enterprise upsells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 9-12</w:t>
            </w:r>
          </w:p>
        </w:tc>
      </w:tr>
    </w:tbl>
    <w:p>
      <w:pPr>
        <w:spacing w:after="80"/>
      </w:pPr>
    </w:p>
    <w:p>
      <w:pPr>
        <w:pStyle w:val="Heading2"/>
        <w:spacing w:after="160" w:before="280"/>
      </w:pPr>
      <w:r>
        <w:rPr>
          <w:rFonts w:ascii="Arial" w:cs="Arial" w:eastAsia="Arial" w:hAnsi="Arial"/>
          <w:b/>
          <w:bCs/>
          <w:color w:val="2E75B6"/>
          <w:sz w:val="26"/>
          <w:szCs w:val="26"/>
        </w:rPr>
        <w:t xml:space="preserve">F.2 AI Features That Drive Valuation</w:t>
      </w:r>
    </w:p>
    <w:p>
      <w:pPr>
        <w:spacing w:after="140" w:line="276"/>
        <w:jc w:val="left"/>
      </w:pPr>
      <w:r>
        <w:rPr>
          <w:rFonts w:ascii="Arial" w:cs="Arial" w:eastAsia="Arial" w:hAnsi="Arial"/>
          <w:color w:val="333333"/>
          <w:sz w:val="21"/>
          <w:szCs w:val="21"/>
        </w:rPr>
        <w:t xml:space="preserve">Investors in 2026 price AI capabilities at a significant premium, but only if they are demonstrable, measurable, and defensible. The AI features that will have the highest impact on valuation:</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AI Compliance Memo Generation:</w:t>
      </w:r>
      <w:r>
        <w:rPr>
          <w:rFonts w:ascii="Arial" w:cs="Arial" w:eastAsia="Arial" w:hAnsi="Arial"/>
          <w:color w:val="333333"/>
          <w:sz w:val="21"/>
          <w:szCs w:val="21"/>
        </w:rPr>
        <w:t xml:space="preserve"> This is your signature feature. A compliance officer uploads documents, and Onboarda generates a complete, audit-ready compliance memo with citations, risk flags, and recommendations. This is the feature that makes prospects say "I need this." Invest heavily in quality here.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Explainable Risk Scoring:</w:t>
      </w:r>
      <w:r>
        <w:rPr>
          <w:rFonts w:ascii="Arial" w:cs="Arial" w:eastAsia="Arial" w:hAnsi="Arial"/>
          <w:color w:val="333333"/>
          <w:sz w:val="21"/>
          <w:szCs w:val="21"/>
        </w:rPr>
        <w:t xml:space="preserve"> The AI does not just output a score; it explains why. "This entity scored High Risk because: UBO chain includes 3 layers of Cypriot holding companies, beneficial owner has adverse media hits in 2 jurisdictions, and the stated business activity has elevated ML/TF typology matches." This is what regulators want to see.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Intelligent Document Extraction:</w:t>
      </w:r>
      <w:r>
        <w:rPr>
          <w:rFonts w:ascii="Arial" w:cs="Arial" w:eastAsia="Arial" w:hAnsi="Arial"/>
          <w:color w:val="333333"/>
          <w:sz w:val="21"/>
          <w:szCs w:val="21"/>
        </w:rPr>
        <w:t xml:space="preserve"> AI agents that can parse corporate documents (certificates of incorporation, registers of directors, financial statements) and auto-populate KYC fields. This saves hours per onboarding case.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Anomaly Detection in Ongoing Monitoring:</w:t>
      </w:r>
      <w:r>
        <w:rPr>
          <w:rFonts w:ascii="Arial" w:cs="Arial" w:eastAsia="Arial" w:hAnsi="Arial"/>
          <w:color w:val="333333"/>
          <w:sz w:val="21"/>
          <w:szCs w:val="21"/>
        </w:rPr>
        <w:t xml:space="preserve"> AI that flags unusual changes in client risk profiles between periodic reviews. This turns Onboarda from an onboarding tool into a continuous compliance monitor.</w:t>
      </w:r>
    </w:p>
    <w:p>
      <w:pPr>
        <w:pStyle w:val="Heading2"/>
        <w:spacing w:after="160" w:before="280"/>
      </w:pPr>
      <w:r>
        <w:rPr>
          <w:rFonts w:ascii="Arial" w:cs="Arial" w:eastAsia="Arial" w:hAnsi="Arial"/>
          <w:b/>
          <w:bCs/>
          <w:color w:val="2E75B6"/>
          <w:sz w:val="26"/>
          <w:szCs w:val="26"/>
        </w:rPr>
        <w:t xml:space="preserve">F.3 What NOT to Build</w:t>
      </w:r>
    </w:p>
    <w:p>
      <w:pPr>
        <w:spacing w:after="140" w:line="276"/>
        <w:jc w:val="left"/>
      </w:pPr>
      <w:r>
        <w:rPr>
          <w:rFonts w:ascii="Arial" w:cs="Arial" w:eastAsia="Arial" w:hAnsi="Arial"/>
          <w:color w:val="333333"/>
          <w:sz w:val="21"/>
          <w:szCs w:val="21"/>
        </w:rPr>
        <w:t xml:space="preserve">Equally important as what to build is what to deliberately avoid:</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Transaction monitoring.</w:t>
      </w:r>
      <w:r>
        <w:rPr>
          <w:rFonts w:ascii="Arial" w:cs="Arial" w:eastAsia="Arial" w:hAnsi="Arial"/>
          <w:color w:val="333333"/>
          <w:sz w:val="21"/>
          <w:szCs w:val="21"/>
        </w:rPr>
        <w:t xml:space="preserve"> This is a different product category with different buyers, different competitors (Featurespace, Feedzai), and different technical requirements. Do not get pulled into it by a single prospect request.</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Custom reporting/BI tools.</w:t>
      </w:r>
      <w:r>
        <w:rPr>
          <w:rFonts w:ascii="Arial" w:cs="Arial" w:eastAsia="Arial" w:hAnsi="Arial"/>
          <w:color w:val="333333"/>
          <w:sz w:val="21"/>
          <w:szCs w:val="21"/>
        </w:rPr>
        <w:t xml:space="preserve"> Integrate with existing BI tools via API. Building a reporting engine is a 6-month distraction that adds minimal revenue.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Mobile app.</w:t>
      </w:r>
      <w:r>
        <w:rPr>
          <w:rFonts w:ascii="Arial" w:cs="Arial" w:eastAsia="Arial" w:hAnsi="Arial"/>
          <w:color w:val="333333"/>
          <w:sz w:val="21"/>
          <w:szCs w:val="21"/>
        </w:rPr>
        <w:t xml:space="preserve"> Compliance work happens on desktop. A mobile app adds zero value and costs 3-4 months of engineering.</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Crypto/DeFi-specific compliance.</w:t>
      </w:r>
      <w:r>
        <w:rPr>
          <w:rFonts w:ascii="Arial" w:cs="Arial" w:eastAsia="Arial" w:hAnsi="Arial"/>
          <w:color w:val="333333"/>
          <w:sz w:val="21"/>
          <w:szCs w:val="21"/>
        </w:rPr>
        <w:t xml:space="preserve"> The crypto compliance market is volatile and has different regulatory dynamics. Stay focused on traditional financial services.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AI auto-approval.</w:t>
      </w:r>
      <w:r>
        <w:rPr>
          <w:rFonts w:ascii="Arial" w:cs="Arial" w:eastAsia="Arial" w:hAnsi="Arial"/>
          <w:color w:val="333333"/>
          <w:sz w:val="21"/>
          <w:szCs w:val="21"/>
        </w:rPr>
        <w:t xml:space="preserve"> Do not remove the human-in-the-loop. Regulators explicitly require human oversight. Auto-approval would be a regulatory risk and a sales objection.</w:t>
      </w:r>
    </w:p>
    <w:p>
      <w:pPr>
        <w:pStyle w:val="Heading2"/>
        <w:spacing w:after="160" w:before="280"/>
      </w:pPr>
      <w:r>
        <w:rPr>
          <w:rFonts w:ascii="Arial" w:cs="Arial" w:eastAsia="Arial" w:hAnsi="Arial"/>
          <w:b/>
          <w:bCs/>
          <w:color w:val="2E75B6"/>
          <w:sz w:val="26"/>
          <w:szCs w:val="26"/>
        </w:rPr>
        <w:t xml:space="preserve">F.4 Product Discipline</w:t>
      </w:r>
    </w:p>
    <w:p>
      <w:pPr>
        <w:spacing w:after="140" w:line="276"/>
        <w:jc w:val="left"/>
      </w:pPr>
      <w:r>
        <w:rPr>
          <w:rFonts w:ascii="Arial" w:cs="Arial" w:eastAsia="Arial" w:hAnsi="Arial"/>
          <w:color w:val="333333"/>
          <w:sz w:val="21"/>
          <w:szCs w:val="21"/>
        </w:rPr>
        <w:t xml:space="preserve">Implement a strict feature request process: every request gets logged, scored on (1) revenue impact, (2) number of clients requesting, (3) engineering effort, and (4) strategic alignment. Review the backlog monthly. Kill ideas that have been in the backlog for 3+ months without gaining traction. The founder must personally approve anything that takes more than 2 weeks of engineering time.</w:t>
      </w:r>
    </w:p>
    <w:p>
      <w:r>
        <w:br w:type="page"/>
      </w:r>
    </w:p>
    <w:p>
      <w:pPr>
        <w:pStyle w:val="Heading1"/>
        <w:spacing w:after="200" w:before="360"/>
      </w:pPr>
      <w:r>
        <w:rPr>
          <w:rFonts w:ascii="Arial" w:cs="Arial" w:eastAsia="Arial" w:hAnsi="Arial"/>
          <w:b/>
          <w:bCs/>
          <w:color w:val="1B3A5C"/>
          <w:sz w:val="32"/>
          <w:szCs w:val="32"/>
        </w:rPr>
        <w:t xml:space="preserve">G. Competitive Strategy</w:t>
      </w:r>
    </w:p>
    <w:p>
      <w:pPr>
        <w:pStyle w:val="Heading2"/>
        <w:spacing w:after="160" w:before="280"/>
      </w:pPr>
      <w:r>
        <w:rPr>
          <w:rFonts w:ascii="Arial" w:cs="Arial" w:eastAsia="Arial" w:hAnsi="Arial"/>
          <w:b/>
          <w:bCs/>
          <w:color w:val="2E75B6"/>
          <w:sz w:val="26"/>
          <w:szCs w:val="26"/>
        </w:rPr>
        <w:t xml:space="preserve">G.1 Competitive Landscape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Weaknesses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ComplyAdvantage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Screening/Data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 screening data, well-funded, API-first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workflow, no onboarding, no compliance memos. Point solution.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KYC Portal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Onboarding Platform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Established in Lux/BE, known by CSPs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Legacy UI, limited AI, no explainability. Slow to innovate.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Encompass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Workflow Automation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Good workflow engine, corporate registry integrations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AI risk scoring, limited screening. Requires heavy config.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Sumsub / Onfido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Identity Verification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Strong IDV, good developer experience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Consumer-focused. Not built for corporate KYC or complex UBO.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Moody's / Bureau van Dijk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 Screening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Deep corporate data (Orbis), regulatory relationships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Expensive, no workflow, no AI. Data provider, not a platform.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In-house / Spreadsheets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DIY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Cheap, fully customised to existing process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Does not scale, audit risk, no AI, key-person dependency.</w:t>
            </w:r>
          </w:p>
        </w:tc>
      </w:tr>
    </w:tbl>
    <w:p>
      <w:pPr>
        <w:spacing w:after="80"/>
      </w:pPr>
    </w:p>
    <w:p>
      <w:pPr>
        <w:pStyle w:val="Heading2"/>
        <w:spacing w:after="160" w:before="280"/>
      </w:pPr>
      <w:r>
        <w:rPr>
          <w:rFonts w:ascii="Arial" w:cs="Arial" w:eastAsia="Arial" w:hAnsi="Arial"/>
          <w:b/>
          <w:bCs/>
          <w:color w:val="2E75B6"/>
          <w:sz w:val="26"/>
          <w:szCs w:val="26"/>
        </w:rPr>
        <w:t xml:space="preserve">G.2 How Onboarda Differentiates</w:t>
      </w:r>
    </w:p>
    <w:p>
      <w:pPr>
        <w:spacing w:after="140" w:line="276"/>
        <w:jc w:val="left"/>
      </w:pPr>
      <w:r>
        <w:rPr>
          <w:rFonts w:ascii="Arial" w:cs="Arial" w:eastAsia="Arial" w:hAnsi="Arial"/>
          <w:color w:val="333333"/>
          <w:sz w:val="21"/>
          <w:szCs w:val="21"/>
        </w:rPr>
        <w:t xml:space="preserve">Onboarda wins on three dimensions that no single competitor covers:</w:t>
      </w:r>
    </w:p>
    <w:p>
      <w:pPr>
        <w:pStyle w:val="ListParagraph"/>
        <w:numPr>
          <w:ilvl w:val="0"/>
          <w:numId w:val="6"/>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AI-native architecture.</w:t>
      </w:r>
      <w:r>
        <w:rPr>
          <w:rFonts w:ascii="Arial" w:cs="Arial" w:eastAsia="Arial" w:hAnsi="Arial"/>
          <w:color w:val="333333"/>
          <w:sz w:val="21"/>
          <w:szCs w:val="21"/>
        </w:rPr>
        <w:t xml:space="preserve"> Competitors retrofitted AI onto legacy systems. Onboarda was built from day one with AI agents, explainability, and human-in-the-loop decisioning. This is not a feature difference; it is an architectural advantage that compounds over time.</w:t>
      </w:r>
    </w:p>
    <w:p>
      <w:pPr>
        <w:pStyle w:val="ListParagraph"/>
        <w:numPr>
          <w:ilvl w:val="0"/>
          <w:numId w:val="6"/>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Full-stack compliance.</w:t>
      </w:r>
      <w:r>
        <w:rPr>
          <w:rFonts w:ascii="Arial" w:cs="Arial" w:eastAsia="Arial" w:hAnsi="Arial"/>
          <w:color w:val="333333"/>
          <w:sz w:val="21"/>
          <w:szCs w:val="21"/>
        </w:rPr>
        <w:t xml:space="preserve"> Screening, onboarding, risk scoring, compliance memos, workflow approvals, audit trail, all in one system. Competitors cover 1-2 of these; Onboarda covers all of them. This eliminates integration costs and data silos.</w:t>
      </w:r>
    </w:p>
    <w:p>
      <w:pPr>
        <w:pStyle w:val="ListParagraph"/>
        <w:numPr>
          <w:ilvl w:val="0"/>
          <w:numId w:val="6"/>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Purpose-built for PSPs/CSPs.</w:t>
      </w:r>
      <w:r>
        <w:rPr>
          <w:rFonts w:ascii="Arial" w:cs="Arial" w:eastAsia="Arial" w:hAnsi="Arial"/>
          <w:color w:val="333333"/>
          <w:sz w:val="21"/>
          <w:szCs w:val="21"/>
        </w:rPr>
        <w:t xml:space="preserve"> Sumsub and Onfido built for consumer onboarding. ComplyAdvantage built for banks. KYC Portal is ageing. Onboarda is built specifically for the mid-market regulated entity that needs corporate KYC at scale.</w:t>
      </w:r>
    </w:p>
    <w:p>
      <w:pPr>
        <w:pStyle w:val="Heading2"/>
        <w:spacing w:after="160" w:before="280"/>
      </w:pPr>
      <w:r>
        <w:rPr>
          <w:rFonts w:ascii="Arial" w:cs="Arial" w:eastAsia="Arial" w:hAnsi="Arial"/>
          <w:b/>
          <w:bCs/>
          <w:color w:val="2E75B6"/>
          <w:sz w:val="26"/>
          <w:szCs w:val="26"/>
        </w:rPr>
        <w:t xml:space="preserve">G.3 Why Customers Switch</w:t>
      </w:r>
    </w:p>
    <w:p>
      <w:pPr>
        <w:spacing w:after="140" w:line="276"/>
        <w:jc w:val="left"/>
      </w:pPr>
      <w:r>
        <w:rPr>
          <w:rFonts w:ascii="Arial" w:cs="Arial" w:eastAsia="Arial" w:hAnsi="Arial"/>
          <w:color w:val="333333"/>
          <w:sz w:val="21"/>
          <w:szCs w:val="21"/>
        </w:rPr>
        <w:t xml:space="preserve">Understanding switch triggers is critical for targeting and messaging. The top reasons prospects will leave current solutions: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Regulatory pressure:</w:t>
      </w:r>
      <w:r>
        <w:rPr>
          <w:rFonts w:ascii="Arial" w:cs="Arial" w:eastAsia="Arial" w:hAnsi="Arial"/>
          <w:color w:val="333333"/>
          <w:sz w:val="21"/>
          <w:szCs w:val="21"/>
        </w:rPr>
        <w:t xml:space="preserve"> A regulator found gaps in their current process. They need better audit trails and explainability. This is the #1 trigger.</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Scaling pain:</w:t>
      </w:r>
      <w:r>
        <w:rPr>
          <w:rFonts w:ascii="Arial" w:cs="Arial" w:eastAsia="Arial" w:hAnsi="Arial"/>
          <w:color w:val="333333"/>
          <w:sz w:val="21"/>
          <w:szCs w:val="21"/>
        </w:rPr>
        <w:t xml:space="preserve"> They are onboarding 5+ new clients per month and their manual process is breaking. Compliance staff are overwhelmed.</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Cost of cobbling tools:</w:t>
      </w:r>
      <w:r>
        <w:rPr>
          <w:rFonts w:ascii="Arial" w:cs="Arial" w:eastAsia="Arial" w:hAnsi="Arial"/>
          <w:color w:val="333333"/>
          <w:sz w:val="21"/>
          <w:szCs w:val="21"/>
        </w:rPr>
        <w:t xml:space="preserve"> They are paying for 3-4 separate tools (screening, case management, document storage, workflow) and the total cost exceeds what Onboarda charges for everything.</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Compliance hire mandate:</w:t>
      </w:r>
      <w:r>
        <w:rPr>
          <w:rFonts w:ascii="Arial" w:cs="Arial" w:eastAsia="Arial" w:hAnsi="Arial"/>
          <w:color w:val="333333"/>
          <w:sz w:val="21"/>
          <w:szCs w:val="21"/>
        </w:rPr>
        <w:t xml:space="preserve"> A new MLRO or compliance officer joins and wants to modernise the stack. New hires are the best prospects.</w:t>
      </w:r>
    </w:p>
    <w:p>
      <w:pPr>
        <w:pStyle w:val="Heading2"/>
        <w:spacing w:after="160" w:before="280"/>
      </w:pPr>
      <w:r>
        <w:rPr>
          <w:rFonts w:ascii="Arial" w:cs="Arial" w:eastAsia="Arial" w:hAnsi="Arial"/>
          <w:b/>
          <w:bCs/>
          <w:color w:val="2E75B6"/>
          <w:sz w:val="26"/>
          <w:szCs w:val="26"/>
        </w:rPr>
        <w:t xml:space="preserve">G.4 Defensibility Strategy</w:t>
      </w:r>
    </w:p>
    <w:p>
      <w:pPr>
        <w:spacing w:after="140" w:line="276"/>
        <w:jc w:val="left"/>
      </w:pPr>
      <w:r>
        <w:rPr>
          <w:rFonts w:ascii="Arial" w:cs="Arial" w:eastAsia="Arial" w:hAnsi="Arial"/>
          <w:color w:val="333333"/>
          <w:sz w:val="21"/>
          <w:szCs w:val="21"/>
        </w:rPr>
        <w:t xml:space="preserve">Long-term defensibility comes from four moats, built in sequence: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Data moat (Month 1-12):</w:t>
      </w:r>
      <w:r>
        <w:rPr>
          <w:rFonts w:ascii="Arial" w:cs="Arial" w:eastAsia="Arial" w:hAnsi="Arial"/>
          <w:color w:val="333333"/>
          <w:sz w:val="21"/>
          <w:szCs w:val="21"/>
        </w:rPr>
        <w:t xml:space="preserve"> Every client onboarding processed through Onboarda improves the AI models. Risk scoring becomes more accurate. Compliance memos become more relevant. Competitors starting later will always have less training data for the PSP/CSP use case.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Switching cost moat (Month 6-18):</w:t>
      </w:r>
      <w:r>
        <w:rPr>
          <w:rFonts w:ascii="Arial" w:cs="Arial" w:eastAsia="Arial" w:hAnsi="Arial"/>
          <w:color w:val="333333"/>
          <w:sz w:val="21"/>
          <w:szCs w:val="21"/>
        </w:rPr>
        <w:t xml:space="preserve"> Once a client has migrated their entire client book into Onboarda, switching costs are enormous. The audit trail, the compliance history, the configured workflows: all locked into the platform.</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Network moat (Month 12-24):</w:t>
      </w:r>
      <w:r>
        <w:rPr>
          <w:rFonts w:ascii="Arial" w:cs="Arial" w:eastAsia="Arial" w:hAnsi="Arial"/>
          <w:color w:val="333333"/>
          <w:sz w:val="21"/>
          <w:szCs w:val="21"/>
        </w:rPr>
        <w:t xml:space="preserve"> White-label CSPs bring their clients onto Onboarda. Those clients interact with other entities on the platform. Information sharing (e.g., reliance agreements) creates network effects.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Regulatory moat (Month 18+):</w:t>
      </w:r>
      <w:r>
        <w:rPr>
          <w:rFonts w:ascii="Arial" w:cs="Arial" w:eastAsia="Arial" w:hAnsi="Arial"/>
          <w:color w:val="333333"/>
          <w:sz w:val="21"/>
          <w:szCs w:val="21"/>
        </w:rPr>
        <w:t xml:space="preserve"> Become the tool that regulators reference in guidance. Participate in regulatory sandboxes. Build relationships with CSSF, CBI, and DNB. When regulators recommend your approach, competitors cannot easily follow.</w:t>
      </w:r>
    </w:p>
    <w:p>
      <w:r>
        <w:br w:type="page"/>
      </w:r>
    </w:p>
    <w:p>
      <w:pPr>
        <w:pStyle w:val="Heading1"/>
        <w:spacing w:after="200" w:before="360"/>
      </w:pPr>
      <w:r>
        <w:rPr>
          <w:rFonts w:ascii="Arial" w:cs="Arial" w:eastAsia="Arial" w:hAnsi="Arial"/>
          <w:b/>
          <w:bCs/>
          <w:color w:val="1B3A5C"/>
          <w:sz w:val="32"/>
          <w:szCs w:val="32"/>
        </w:rPr>
        <w:t xml:space="preserve">H. Milestones &amp; 12-Month Roadmap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400"/>
        <w:gridCol w:w="2800"/>
        <w:gridCol w:w="25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Target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 Target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 Milestone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GTM Milestone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€5K MRR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(ARIE)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ARIE production deployment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ARIE case study draft</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 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€8K MRR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Migration engine live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First 50 outbound messages sent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€15K MRR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White-Label Lite beta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ARIE referrals in pipeline</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 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€22K MRR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Ongoing monitoring MVP</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 consultant referral partners signed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€30K MRR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Regulatory reporting templates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conference attended, 5 demos booked</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 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€38K MRR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White-Label Lite GA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ARIE case study published with metrics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€48K MRR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layer v1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SDR hired; outbound at 50+/week</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 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€56K MRR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16-18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Multi-jurisdiction rules (NL, BE)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2nd white-label CSP onboarded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€65K MRR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 self-service portal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Partner program formalised with 5+ partners</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 10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€72K MRR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24-26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Advanced analytics dashboard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AE hired; founder steps back from Growth deals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€80K MRR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anomaly detection v1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3rd white-label CSP live</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 12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€88K MRR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32-35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Platform stability &amp; scale hardening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Pipeline for $1.5M+ ARR in motion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r>
              <w:rPr>
                <w:rFonts w:ascii="Arial" w:cs="Arial" w:eastAsia="Arial" w:hAnsi="Arial"/>
                <w:b/>
                <w:bCs/>
                <w:color w:val="1B3A5C"/>
                <w:sz w:val="21"/>
                <w:szCs w:val="21"/>
              </w:rPr>
              <w:t xml:space="preserve">Cumulative ARR at Month 12: ~$1.05M (at €88K MRR). This assumes 92% gross retention and progressive deal sizes increasing as the product matures and the enterprise tier gains adoption.</w:t>
            </w:r>
          </w:p>
        </w:tc>
      </w:tr>
    </w:tbl>
    <w:p>
      <w:r>
        <w:br w:type="page"/>
      </w:r>
    </w:p>
    <w:p>
      <w:pPr>
        <w:pStyle w:val="Heading1"/>
        <w:spacing w:after="200" w:before="360"/>
      </w:pPr>
      <w:r>
        <w:rPr>
          <w:rFonts w:ascii="Arial" w:cs="Arial" w:eastAsia="Arial" w:hAnsi="Arial"/>
          <w:b/>
          <w:bCs/>
          <w:color w:val="1B3A5C"/>
          <w:sz w:val="32"/>
          <w:szCs w:val="32"/>
        </w:rPr>
        <w:t xml:space="preserve">I. Financial Plan</w:t>
      </w:r>
    </w:p>
    <w:p>
      <w:pPr>
        <w:pStyle w:val="Heading2"/>
        <w:spacing w:after="160" w:before="280"/>
      </w:pPr>
      <w:r>
        <w:rPr>
          <w:rFonts w:ascii="Arial" w:cs="Arial" w:eastAsia="Arial" w:hAnsi="Arial"/>
          <w:b/>
          <w:bCs/>
          <w:color w:val="2E75B6"/>
          <w:sz w:val="26"/>
          <w:szCs w:val="26"/>
        </w:rPr>
        <w:t xml:space="preserve">I.1 Revenue Projections (12 Months)</w:t>
      </w:r>
    </w:p>
    <w:p>
      <w:pPr>
        <w:spacing w:after="140" w:line="276"/>
        <w:jc w:val="left"/>
      </w:pPr>
      <w:r>
        <w:rPr>
          <w:rFonts w:ascii="Arial" w:cs="Arial" w:eastAsia="Arial" w:hAnsi="Arial"/>
          <w:color w:val="333333"/>
          <w:sz w:val="21"/>
          <w:szCs w:val="21"/>
        </w:rPr>
        <w:t xml:space="preserve">These projections assume the pricing tiers outlined in Section B, with a blended ACV of approximately €42,000 in the first 6 months (skewing toward Starter/Growth) rising to €48,000 in months 7-12 (as Enterprise and white-label deals close).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700"/>
        <w:gridCol w:w="1700"/>
        <w:gridCol w:w="14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New Clients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Clients</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MRR (End)</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ARR (End)</w:t>
            </w:r>
          </w:p>
        </w:tc>
        <w:tc>
          <w:tcPr>
            <w:tcW w:type="dxa" w:w="1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Quarterly Revenue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Q1 (M1-3)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€180K</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€28K</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Q2 (M4-6)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€38K</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€456K</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€90K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Q3 (M7-9)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€780K</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€169K</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Q4 (M10-12)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10-13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€88K</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€1.06M</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€240K</w:t>
            </w:r>
          </w:p>
        </w:tc>
      </w:tr>
    </w:tbl>
    <w:p>
      <w:pPr>
        <w:spacing w:after="80"/>
      </w:pPr>
    </w:p>
    <w:p>
      <w:pPr>
        <w:spacing w:after="140" w:line="276"/>
        <w:jc w:val="left"/>
      </w:pPr>
      <w:r>
        <w:rPr>
          <w:rFonts w:ascii="Arial" w:cs="Arial" w:eastAsia="Arial" w:hAnsi="Arial"/>
          <w:color w:val="333333"/>
          <w:sz w:val="21"/>
          <w:szCs w:val="21"/>
        </w:rPr>
        <w:t xml:space="preserve"/>
      </w:r>
      <w:r>
        <w:rPr>
          <w:rFonts w:ascii="Arial" w:cs="Arial" w:eastAsia="Arial" w:hAnsi="Arial"/>
          <w:b/>
          <w:bCs/>
          <w:color w:val="333333"/>
          <w:sz w:val="21"/>
          <w:szCs w:val="21"/>
        </w:rPr>
        <w:t xml:space="preserve">Total Year 1 Revenue: ~€527K</w:t>
      </w:r>
      <w:r>
        <w:rPr>
          <w:rFonts w:ascii="Arial" w:cs="Arial" w:eastAsia="Arial" w:hAnsi="Arial"/>
          <w:color w:val="333333"/>
          <w:sz w:val="21"/>
          <w:szCs w:val="21"/>
        </w:rPr>
        <w:t xml:space="preserve"> (recognised revenue, not ARR). ARR is the more important metric; it reaches €1.06M by month 12 on a run-rate basis.</w:t>
      </w:r>
    </w:p>
    <w:p>
      <w:pPr>
        <w:pStyle w:val="Heading2"/>
        <w:spacing w:after="160" w:before="280"/>
      </w:pPr>
      <w:r>
        <w:rPr>
          <w:rFonts w:ascii="Arial" w:cs="Arial" w:eastAsia="Arial" w:hAnsi="Arial"/>
          <w:b/>
          <w:bCs/>
          <w:color w:val="2E75B6"/>
          <w:sz w:val="26"/>
          <w:szCs w:val="26"/>
        </w:rPr>
        <w:t xml:space="preserve">I.2 Pricing Assumptions</w:t>
      </w:r>
    </w:p>
    <w:p>
      <w:pPr>
        <w:pStyle w:val="ListParagraph"/>
        <w:numPr>
          <w:ilvl w:val="0"/>
          <w:numId w:val="2"/>
        </w:numPr>
        <w:spacing w:after="80" w:line="276"/>
      </w:pPr>
      <w:r>
        <w:rPr>
          <w:rFonts w:ascii="Arial" w:cs="Arial" w:eastAsia="Arial" w:hAnsi="Arial"/>
          <w:color w:val="333333"/>
          <w:sz w:val="21"/>
          <w:szCs w:val="21"/>
        </w:rPr>
        <w:t xml:space="preserve">Average Starter deal: €1,500/mo (€18K ACV)</w:t>
      </w:r>
    </w:p>
    <w:p>
      <w:pPr>
        <w:pStyle w:val="ListParagraph"/>
        <w:numPr>
          <w:ilvl w:val="0"/>
          <w:numId w:val="2"/>
        </w:numPr>
        <w:spacing w:after="80" w:line="276"/>
      </w:pPr>
      <w:r>
        <w:rPr>
          <w:rFonts w:ascii="Arial" w:cs="Arial" w:eastAsia="Arial" w:hAnsi="Arial"/>
          <w:color w:val="333333"/>
          <w:sz w:val="21"/>
          <w:szCs w:val="21"/>
        </w:rPr>
        <w:t xml:space="preserve">Average Growth deal: €3,000/mo (€36K ACV)</w:t>
      </w:r>
    </w:p>
    <w:p>
      <w:pPr>
        <w:pStyle w:val="ListParagraph"/>
        <w:numPr>
          <w:ilvl w:val="0"/>
          <w:numId w:val="2"/>
        </w:numPr>
        <w:spacing w:after="80" w:line="276"/>
      </w:pPr>
      <w:r>
        <w:rPr>
          <w:rFonts w:ascii="Arial" w:cs="Arial" w:eastAsia="Arial" w:hAnsi="Arial"/>
          <w:color w:val="333333"/>
          <w:sz w:val="21"/>
          <w:szCs w:val="21"/>
        </w:rPr>
        <w:t xml:space="preserve">Average Enterprise deal: €6,000/mo (€72K ACV)</w:t>
      </w:r>
    </w:p>
    <w:p>
      <w:pPr>
        <w:pStyle w:val="ListParagraph"/>
        <w:numPr>
          <w:ilvl w:val="0"/>
          <w:numId w:val="2"/>
        </w:numPr>
        <w:spacing w:after="80" w:line="276"/>
      </w:pPr>
      <w:r>
        <w:rPr>
          <w:rFonts w:ascii="Arial" w:cs="Arial" w:eastAsia="Arial" w:hAnsi="Arial"/>
          <w:color w:val="333333"/>
          <w:sz w:val="21"/>
          <w:szCs w:val="21"/>
        </w:rPr>
        <w:t xml:space="preserve">Average White-Label deal: €8,500/mo (€102K ACV)</w:t>
      </w:r>
    </w:p>
    <w:p>
      <w:pPr>
        <w:pStyle w:val="ListParagraph"/>
        <w:numPr>
          <w:ilvl w:val="0"/>
          <w:numId w:val="2"/>
        </w:numPr>
        <w:spacing w:after="80" w:line="276"/>
      </w:pPr>
      <w:r>
        <w:rPr>
          <w:rFonts w:ascii="Arial" w:cs="Arial" w:eastAsia="Arial" w:hAnsi="Arial"/>
          <w:color w:val="333333"/>
          <w:sz w:val="21"/>
          <w:szCs w:val="21"/>
        </w:rPr>
        <w:t xml:space="preserve">Blended ACV Year 1: €42K-48K</w:t>
      </w:r>
    </w:p>
    <w:p>
      <w:pPr>
        <w:pStyle w:val="ListParagraph"/>
        <w:numPr>
          <w:ilvl w:val="0"/>
          <w:numId w:val="2"/>
        </w:numPr>
        <w:spacing w:after="80" w:line="276"/>
      </w:pPr>
      <w:r>
        <w:rPr>
          <w:rFonts w:ascii="Arial" w:cs="Arial" w:eastAsia="Arial" w:hAnsi="Arial"/>
          <w:color w:val="333333"/>
          <w:sz w:val="21"/>
          <w:szCs w:val="21"/>
        </w:rPr>
        <w:t xml:space="preserve">Onboarding/migration fees: €3,000 average (adds ~€105K in Year 1)</w:t>
      </w:r>
    </w:p>
    <w:p>
      <w:pPr>
        <w:pStyle w:val="Heading2"/>
        <w:spacing w:after="160" w:before="280"/>
      </w:pPr>
      <w:r>
        <w:rPr>
          <w:rFonts w:ascii="Arial" w:cs="Arial" w:eastAsia="Arial" w:hAnsi="Arial"/>
          <w:b/>
          <w:bCs/>
          <w:color w:val="2E75B6"/>
          <w:sz w:val="26"/>
          <w:szCs w:val="26"/>
        </w:rPr>
        <w:t xml:space="preserve">I.3 Cost Structure &amp; Break-Even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Category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(M1-6)</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(M7-12)</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 salary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Below market; increase after Series 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Engineering (contractors/hires)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€12,000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1-2 senior devs, increasing to 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 (AWS/AI APIs)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Scales with client volume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Screening data providers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€3,000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Per-query costs for sanctions/PEP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SDR hire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Starts month 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AE hire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€5,000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Starts month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Marketing/events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Events, content, tooling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Legal/compliance/admin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Entity costs, legal, accounting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Monthly Burn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€37,500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80"/>
      </w:pPr>
    </w:p>
    <w:p>
      <w:pPr>
        <w:spacing w:after="140" w:line="276"/>
        <w:jc w:val="left"/>
      </w:pPr>
      <w:r>
        <w:rPr>
          <w:rFonts w:ascii="Arial" w:cs="Arial" w:eastAsia="Arial" w:hAnsi="Arial"/>
          <w:color w:val="333333"/>
          <w:sz w:val="21"/>
          <w:szCs w:val="21"/>
        </w:rPr>
        <w:t xml:space="preserve"/>
      </w:r>
      <w:r>
        <w:rPr>
          <w:rFonts w:ascii="Arial" w:cs="Arial" w:eastAsia="Arial" w:hAnsi="Arial"/>
          <w:b/>
          <w:bCs/>
          <w:color w:val="333333"/>
          <w:sz w:val="21"/>
          <w:szCs w:val="21"/>
        </w:rPr>
        <w:t xml:space="preserve">Break-even point:</w:t>
      </w:r>
      <w:r>
        <w:rPr>
          <w:rFonts w:ascii="Arial" w:cs="Arial" w:eastAsia="Arial" w:hAnsi="Arial"/>
          <w:color w:val="333333"/>
          <w:sz w:val="21"/>
          <w:szCs w:val="21"/>
        </w:rPr>
        <w:t xml:space="preserve"> At €37,500/month burn (H2 costs), break-even occurs at approximately €40K MRR, which the model projects hitting around month 5-6. After that, the business becomes cash-flow positive on a monthly basis, though cumulative cash invested will take until month 10-12 to recover (depending on annual vs. monthly billing mix).</w:t>
      </w:r>
    </w:p>
    <w:p>
      <w:pPr>
        <w:spacing w:after="140" w:line="276"/>
        <w:jc w:val="left"/>
      </w:pPr>
      <w:r>
        <w:rPr>
          <w:rFonts w:ascii="Arial" w:cs="Arial" w:eastAsia="Arial" w:hAnsi="Arial"/>
          <w:color w:val="333333"/>
          <w:sz w:val="21"/>
          <w:szCs w:val="21"/>
        </w:rPr>
        <w:t xml:space="preserve"/>
      </w:r>
      <w:r>
        <w:rPr>
          <w:rFonts w:ascii="Arial" w:cs="Arial" w:eastAsia="Arial" w:hAnsi="Arial"/>
          <w:b/>
          <w:bCs/>
          <w:color w:val="333333"/>
          <w:sz w:val="21"/>
          <w:szCs w:val="21"/>
        </w:rPr>
        <w:t xml:space="preserve">Critical assumption:</w:t>
      </w:r>
      <w:r>
        <w:rPr>
          <w:rFonts w:ascii="Arial" w:cs="Arial" w:eastAsia="Arial" w:hAnsi="Arial"/>
          <w:color w:val="333333"/>
          <w:sz w:val="21"/>
          <w:szCs w:val="21"/>
        </w:rPr>
        <w:t xml:space="preserve"> 60%+ of clients on annual contracts (paid upfront or quarterly). This dramatically improves cash flow and reduces the funding gap.</w:t>
      </w:r>
    </w:p>
    <w:p>
      <w:r>
        <w:br w:type="page"/>
      </w:r>
    </w:p>
    <w:p>
      <w:pPr>
        <w:pStyle w:val="Heading1"/>
        <w:spacing w:after="200" w:before="360"/>
      </w:pPr>
      <w:r>
        <w:rPr>
          <w:rFonts w:ascii="Arial" w:cs="Arial" w:eastAsia="Arial" w:hAnsi="Arial"/>
          <w:b/>
          <w:bCs/>
          <w:color w:val="1B3A5C"/>
          <w:sz w:val="32"/>
          <w:szCs w:val="32"/>
        </w:rPr>
        <w:t xml:space="preserve">J. Valuation Strategy</w:t>
      </w:r>
    </w:p>
    <w:p>
      <w:pPr>
        <w:pStyle w:val="Heading2"/>
        <w:spacing w:after="160" w:before="280"/>
      </w:pPr>
      <w:r>
        <w:rPr>
          <w:rFonts w:ascii="Arial" w:cs="Arial" w:eastAsia="Arial" w:hAnsi="Arial"/>
          <w:b/>
          <w:bCs/>
          <w:color w:val="2E75B6"/>
          <w:sz w:val="26"/>
          <w:szCs w:val="26"/>
        </w:rPr>
        <w:t xml:space="preserve">J.1 Justifying a $5M+ Valuation</w:t>
      </w:r>
    </w:p>
    <w:p>
      <w:pPr>
        <w:spacing w:after="140" w:line="276"/>
        <w:jc w:val="left"/>
      </w:pPr>
      <w:r>
        <w:rPr>
          <w:rFonts w:ascii="Arial" w:cs="Arial" w:eastAsia="Arial" w:hAnsi="Arial"/>
          <w:color w:val="333333"/>
          <w:sz w:val="21"/>
          <w:szCs w:val="21"/>
        </w:rPr>
        <w:t xml:space="preserve">At the pre-seed / seed stage in RegTech SaaS (2026 market), valuations are driven by a combination of ARR multiples, growth rate, market size, and qualitative factors. Here is how to build the case: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Valuation Driver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Metric</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How Onboarda Gets There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€250K+ at raise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paying clients at €2,500 avg. MRR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ARR Growth Rate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3x+ YoY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Show Q-over-Q acceleration in pipeline and closed deals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Gross Margin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SaaS model with AI automation; low marginal cost per client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Net Revenue Retention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Tier upgrades + sub-entity expansion in white-label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Gross Revenue Retention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churn; compliance tools are sticky once embedded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Market Size (TAM)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€2B+ in EU RegTech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8,000+ PSPs, CSPs, and management cos in EU/EEA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Differentiation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Demonstrable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demos of compliance memo generation, explainable risk scoring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Regulatory Moat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Evidence of</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Regulator conversations, audit trail requirements met</w:t>
            </w:r>
          </w:p>
        </w:tc>
      </w:tr>
    </w:tbl>
    <w:p>
      <w:pPr>
        <w:spacing w:after="80"/>
      </w:pPr>
    </w:p>
    <w:p>
      <w:pPr>
        <w:spacing w:after="140" w:line="276"/>
        <w:jc w:val="left"/>
      </w:pPr>
      <w:r>
        <w:rPr>
          <w:rFonts w:ascii="Arial" w:cs="Arial" w:eastAsia="Arial" w:hAnsi="Arial"/>
          <w:color w:val="333333"/>
          <w:sz w:val="21"/>
          <w:szCs w:val="21"/>
        </w:rPr>
        <w:t xml:space="preserve"/>
      </w:r>
      <w:r>
        <w:rPr>
          <w:rFonts w:ascii="Arial" w:cs="Arial" w:eastAsia="Arial" w:hAnsi="Arial"/>
          <w:b/>
          <w:bCs/>
          <w:color w:val="333333"/>
          <w:sz w:val="21"/>
          <w:szCs w:val="21"/>
        </w:rPr>
        <w:t xml:space="preserve">Target valuation at seed raise:</w:t>
      </w:r>
      <w:r>
        <w:rPr>
          <w:rFonts w:ascii="Arial" w:cs="Arial" w:eastAsia="Arial" w:hAnsi="Arial"/>
          <w:color w:val="333333"/>
          <w:sz w:val="21"/>
          <w:szCs w:val="21"/>
        </w:rPr>
        <w:t xml:space="preserve"> €5-8M pre-money, based on 20-30x ARR multiple (standard for high-growth RegTech SaaS with AI differentiation) on €250K+ ARR.</w:t>
      </w:r>
    </w:p>
    <w:p>
      <w:pPr>
        <w:pStyle w:val="Heading2"/>
        <w:spacing w:after="160" w:before="280"/>
      </w:pPr>
      <w:r>
        <w:rPr>
          <w:rFonts w:ascii="Arial" w:cs="Arial" w:eastAsia="Arial" w:hAnsi="Arial"/>
          <w:b/>
          <w:bCs/>
          <w:color w:val="2E75B6"/>
          <w:sz w:val="26"/>
          <w:szCs w:val="26"/>
        </w:rPr>
        <w:t xml:space="preserve">J.2 What Investors Need to See</w:t>
      </w:r>
    </w:p>
    <w:p>
      <w:pPr>
        <w:pStyle w:val="ListParagraph"/>
        <w:numPr>
          <w:ilvl w:val="0"/>
          <w:numId w:val="7"/>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Revenue with low churn.</w:t>
      </w:r>
      <w:r>
        <w:rPr>
          <w:rFonts w:ascii="Arial" w:cs="Arial" w:eastAsia="Arial" w:hAnsi="Arial"/>
          <w:color w:val="333333"/>
          <w:sz w:val="21"/>
          <w:szCs w:val="21"/>
        </w:rPr>
        <w:t xml:space="preserve"> Even €200K ARR with 0% churn and 100%+ NRR is more compelling than €500K ARR with 20% monthly churn. Quality of revenue matters more than quantity.</w:t>
      </w:r>
    </w:p>
    <w:p>
      <w:pPr>
        <w:pStyle w:val="ListParagraph"/>
        <w:numPr>
          <w:ilvl w:val="0"/>
          <w:numId w:val="7"/>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Referenceable clients.</w:t>
      </w:r>
      <w:r>
        <w:rPr>
          <w:rFonts w:ascii="Arial" w:cs="Arial" w:eastAsia="Arial" w:hAnsi="Arial"/>
          <w:color w:val="333333"/>
          <w:sz w:val="21"/>
          <w:szCs w:val="21"/>
        </w:rPr>
        <w:t xml:space="preserve"> 3-5 clients who will take a call with an investor and say "this product transformed our compliance process." ARIE must be one of them.</w:t>
      </w:r>
    </w:p>
    <w:p>
      <w:pPr>
        <w:pStyle w:val="ListParagraph"/>
        <w:numPr>
          <w:ilvl w:val="0"/>
          <w:numId w:val="7"/>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Clear ICP and repeatable sales motion.</w:t>
      </w:r>
      <w:r>
        <w:rPr>
          <w:rFonts w:ascii="Arial" w:cs="Arial" w:eastAsia="Arial" w:hAnsi="Arial"/>
          <w:color w:val="333333"/>
          <w:sz w:val="21"/>
          <w:szCs w:val="21"/>
        </w:rPr>
        <w:t xml:space="preserve"> Show that you know exactly who buys, why they buy, how long it takes, and what the unit economics look like. Investors want to see a machine, not a miracle.</w:t>
      </w:r>
    </w:p>
    <w:p>
      <w:pPr>
        <w:pStyle w:val="ListParagraph"/>
        <w:numPr>
          <w:ilvl w:val="0"/>
          <w:numId w:val="7"/>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Product demo that creates a "wow" moment.</w:t>
      </w:r>
      <w:r>
        <w:rPr>
          <w:rFonts w:ascii="Arial" w:cs="Arial" w:eastAsia="Arial" w:hAnsi="Arial"/>
          <w:color w:val="333333"/>
          <w:sz w:val="21"/>
          <w:szCs w:val="21"/>
        </w:rPr>
        <w:t xml:space="preserve"> The AI compliance memo generation and explainable risk scoring should make an investor say "I have never seen anything do that." Invest time in making the demo flawless.</w:t>
      </w:r>
    </w:p>
    <w:p>
      <w:pPr>
        <w:pStyle w:val="ListParagraph"/>
        <w:numPr>
          <w:ilvl w:val="0"/>
          <w:numId w:val="7"/>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Founder-market fit.</w:t>
      </w:r>
      <w:r>
        <w:rPr>
          <w:rFonts w:ascii="Arial" w:cs="Arial" w:eastAsia="Arial" w:hAnsi="Arial"/>
          <w:color w:val="333333"/>
          <w:sz w:val="21"/>
          <w:szCs w:val="21"/>
        </w:rPr>
        <w:t xml:space="preserve"> You understand compliance, you understand PSPs/CSPs, and you have already sold to them. This is not a tourist building a RegTech product.</w:t>
      </w:r>
    </w:p>
    <w:p>
      <w:pPr>
        <w:pStyle w:val="Heading2"/>
        <w:spacing w:after="160" w:before="280"/>
      </w:pPr>
      <w:r>
        <w:rPr>
          <w:rFonts w:ascii="Arial" w:cs="Arial" w:eastAsia="Arial" w:hAnsi="Arial"/>
          <w:b/>
          <w:bCs/>
          <w:color w:val="2E75B6"/>
          <w:sz w:val="26"/>
          <w:szCs w:val="26"/>
        </w:rPr>
        <w:t xml:space="preserve">J.3 Milestones That Unlock Higher Valuation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Valuation Impact</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€100K ARR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Unlocks €3-5M valuation conversations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4-5</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€250K ARR + 90% retention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Unlocks €5-8M seed round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 7-8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white-label partners live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+20-30% premium (platform dynamics)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8-10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€500K ARR + 110% NRR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Unlocks €8-12M valuation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 10-12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Regulatory endorsement/sandbox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+15-25% premium (moat evidence)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12-18</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€1M ARR + clear path to €3M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Unlocks Series A at €15-25M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Month 14-18</w:t>
            </w:r>
          </w:p>
        </w:tc>
      </w:tr>
    </w:tbl>
    <w:p>
      <w:pPr>
        <w:spacing w:after="80"/>
      </w:pPr>
    </w:p>
    <w:p>
      <w:r>
        <w:br w:type="page"/>
      </w:r>
    </w:p>
    <w:p>
      <w:pPr>
        <w:pStyle w:val="Heading1"/>
        <w:spacing w:after="200" w:before="360"/>
      </w:pPr>
      <w:r>
        <w:rPr>
          <w:rFonts w:ascii="Arial" w:cs="Arial" w:eastAsia="Arial" w:hAnsi="Arial"/>
          <w:b/>
          <w:bCs/>
          <w:color w:val="1B3A5C"/>
          <w:sz w:val="32"/>
          <w:szCs w:val="32"/>
        </w:rPr>
        <w:t xml:space="preserve">K. Risks &amp; Mitigation</w:t>
      </w:r>
    </w:p>
    <w:p>
      <w:pPr>
        <w:spacing w:after="80"/>
      </w:pPr>
    </w:p>
    <w:p>
      <w:pPr>
        <w:pStyle w:val="Heading2"/>
        <w:spacing w:after="160" w:before="280"/>
      </w:pPr>
      <w:r>
        <w:rPr>
          <w:rFonts w:ascii="Arial" w:cs="Arial" w:eastAsia="Arial" w:hAnsi="Arial"/>
          <w:b/>
          <w:bCs/>
          <w:color w:val="2E75B6"/>
          <w:sz w:val="26"/>
          <w:szCs w:val="26"/>
        </w:rPr>
        <w:t xml:space="preserve">K.1 Product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hallucination in compliance memos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Human-in-the-loop is mandatory. Add confidence scores to every AI output. Maintain citation links to source data. Never auto-approve.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Screening data quality/coverage gaps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Use 2+ screening data providers. Build provider-agnostic integration layer. Clients choose their preferred 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reliability at scale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Invest in infrastructure monitoring early. Set SLA targets (99.5% uptime). Build redundancy into critical paths.</w:t>
            </w:r>
          </w:p>
        </w:tc>
      </w:tr>
    </w:tbl>
    <w:p>
      <w:pPr>
        <w:spacing w:after="80"/>
      </w:pPr>
    </w:p>
    <w:p>
      <w:pPr>
        <w:pStyle w:val="Heading2"/>
        <w:spacing w:after="160" w:before="280"/>
      </w:pPr>
      <w:r>
        <w:rPr>
          <w:rFonts w:ascii="Arial" w:cs="Arial" w:eastAsia="Arial" w:hAnsi="Arial"/>
          <w:b/>
          <w:bCs/>
          <w:color w:val="2E75B6"/>
          <w:sz w:val="26"/>
          <w:szCs w:val="26"/>
        </w:rPr>
        <w:t xml:space="preserve">K.2 Market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Regulatory change invalidates features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rule engine that adapts to jurisdictional changes. Maintain regulatory advisory relationships. Monthly regulatory monitoring.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Large incumbent enters AI compliance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Speed advantage: ship faster, iterate closer to customer. Incumbents are slow. Focus on mid-market where incumbents under-serve.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downturn reduces RegTech budgets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Compliance is non-discretionary. Position as cost-saving vs. status quo (fewer compliance hires needed).</w:t>
            </w:r>
          </w:p>
        </w:tc>
      </w:tr>
    </w:tbl>
    <w:p>
      <w:pPr>
        <w:spacing w:after="80"/>
      </w:pPr>
    </w:p>
    <w:p>
      <w:pPr>
        <w:pStyle w:val="Heading2"/>
        <w:spacing w:after="160" w:before="280"/>
      </w:pPr>
      <w:r>
        <w:rPr>
          <w:rFonts w:ascii="Arial" w:cs="Arial" w:eastAsia="Arial" w:hAnsi="Arial"/>
          <w:b/>
          <w:bCs/>
          <w:color w:val="2E75B6"/>
          <w:sz w:val="26"/>
          <w:szCs w:val="26"/>
        </w:rPr>
        <w:t xml:space="preserve">K.3 Execution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 burnout (doing everything)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Hire SDR by month 7. Outsource non-core tasks. Set hard boundaries on weekly hours. Protect deep-work 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Slow sales cycle (&gt; 90 days)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Offer 14-day free trial with real data. Reduce procurement friction with month-to-month option. Target MLRO/COO, not 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Engineering bandwidth constraints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Prioritise ruthlessly (Section F). Use contractors for non-core features. Do not build anything not on the P0/P1 roadmap.</w:t>
            </w:r>
          </w:p>
        </w:tc>
      </w:tr>
    </w:tbl>
    <w:p>
      <w:pPr>
        <w:spacing w:after="80"/>
      </w:pPr>
    </w:p>
    <w:p>
      <w:pPr>
        <w:pStyle w:val="Heading2"/>
        <w:spacing w:after="160" w:before="280"/>
      </w:pPr>
      <w:r>
        <w:rPr>
          <w:rFonts w:ascii="Arial" w:cs="Arial" w:eastAsia="Arial" w:hAnsi="Arial"/>
          <w:b/>
          <w:bCs/>
          <w:color w:val="2E75B6"/>
          <w:sz w:val="26"/>
          <w:szCs w:val="26"/>
        </w:rPr>
        <w:t xml:space="preserve">K.4 Over-Customisation Risk</w:t>
      </w:r>
    </w:p>
    <w:p>
      <w:pPr>
        <w:spacing w:after="140" w:line="276"/>
        <w:jc w:val="left"/>
      </w:pPr>
      <w:r>
        <w:rPr>
          <w:rFonts w:ascii="Arial" w:cs="Arial" w:eastAsia="Arial" w:hAnsi="Arial"/>
          <w:color w:val="333333"/>
          <w:sz w:val="21"/>
          <w:szCs w:val="21"/>
        </w:rPr>
        <w:t xml:space="preserve">This is the single most dangerous risk for Onboarda at this stage. The temptation to customise the product for each client or white-label partner will be enormous. Every customisation request feels like it will "close the deal." But the cumulative effect of 10 custom features is a product that is unmaintainable, an engineering team that cannot ship core features, and a codebase that fractures.</w:t>
      </w:r>
    </w:p>
    <w:p>
      <w:pPr>
        <w:spacing w:after="140" w:line="276"/>
        <w:jc w:val="left"/>
      </w:pPr>
      <w:r>
        <w:rPr>
          <w:rFonts w:ascii="Arial" w:cs="Arial" w:eastAsia="Arial" w:hAnsi="Arial"/>
          <w:color w:val="333333"/>
          <w:sz w:val="21"/>
          <w:szCs w:val="21"/>
        </w:rPr>
        <w:t xml:space="preserve"/>
      </w:r>
      <w:r>
        <w:rPr>
          <w:rFonts w:ascii="Arial" w:cs="Arial" w:eastAsia="Arial" w:hAnsi="Arial"/>
          <w:b/>
          <w:bCs/>
          <w:color w:val="333333"/>
          <w:sz w:val="21"/>
          <w:szCs w:val="21"/>
        </w:rPr>
        <w:t xml:space="preserve">Mitigation:</w:t>
      </w:r>
      <w:r>
        <w:rPr>
          <w:rFonts w:ascii="Arial" w:cs="Arial" w:eastAsia="Arial" w:hAnsi="Arial"/>
          <w:color w:val="333333"/>
          <w:sz w:val="21"/>
          <w:szCs w:val="21"/>
        </w:rPr>
        <w:t xml:space="preserve"> Hard rule: no feature is built for fewer than 3 clients requesting it, unless it is on the core roadmap. Every custom request gets logged, and the founder reviews the log weekly. The word "no" is the most valuable tool in the product toolkit.</w:t>
      </w:r>
    </w:p>
    <w:p>
      <w:pPr>
        <w:pStyle w:val="Heading2"/>
        <w:spacing w:after="160" w:before="280"/>
      </w:pPr>
      <w:r>
        <w:rPr>
          <w:rFonts w:ascii="Arial" w:cs="Arial" w:eastAsia="Arial" w:hAnsi="Arial"/>
          <w:b/>
          <w:bCs/>
          <w:color w:val="2E75B6"/>
          <w:sz w:val="26"/>
          <w:szCs w:val="26"/>
        </w:rPr>
        <w:t xml:space="preserve">K.5 ARIE Dependency Risk</w:t>
      </w:r>
    </w:p>
    <w:p>
      <w:pPr>
        <w:spacing w:after="140" w:line="276"/>
        <w:jc w:val="left"/>
      </w:pPr>
      <w:r>
        <w:rPr>
          <w:rFonts w:ascii="Arial" w:cs="Arial" w:eastAsia="Arial" w:hAnsi="Arial"/>
          <w:color w:val="333333"/>
          <w:sz w:val="21"/>
          <w:szCs w:val="21"/>
        </w:rPr>
        <w:t xml:space="preserve">ARIE Finance currently represents 100% of Onboarda's client base and reference pipeline. This is a critical concentration risk. If ARIE churns, delays, or deprioritises Onboarda, the entire go-to-market plan stalls.</w:t>
      </w:r>
    </w:p>
    <w:p>
      <w:pPr>
        <w:spacing w:after="140" w:line="276"/>
        <w:jc w:val="left"/>
      </w:pPr>
      <w:r>
        <w:rPr>
          <w:rFonts w:ascii="Arial" w:cs="Arial" w:eastAsia="Arial" w:hAnsi="Arial"/>
          <w:color w:val="333333"/>
          <w:sz w:val="21"/>
          <w:szCs w:val="21"/>
        </w:rPr>
        <w:t xml:space="preserve"/>
      </w:r>
      <w:r>
        <w:rPr>
          <w:rFonts w:ascii="Arial" w:cs="Arial" w:eastAsia="Arial" w:hAnsi="Arial"/>
          <w:b/>
          <w:bCs/>
          <w:color w:val="333333"/>
          <w:sz w:val="21"/>
          <w:szCs w:val="21"/>
        </w:rPr>
        <w:t xml:space="preserve">Mitigation:</w:t>
      </w:r>
      <w:r>
        <w:rPr>
          <w:rFonts w:ascii="Arial" w:cs="Arial" w:eastAsia="Arial" w:hAnsi="Arial"/>
          <w:color w:val="333333"/>
          <w:sz w:val="21"/>
          <w:szCs w:val="21"/>
        </w:rPr>
        <w:t xml:space="preserve"/>
      </w:r>
    </w:p>
    <w:p>
      <w:pPr>
        <w:pStyle w:val="ListParagraph"/>
        <w:numPr>
          <w:ilvl w:val="0"/>
          <w:numId w:val="2"/>
        </w:numPr>
        <w:spacing w:after="80" w:line="276"/>
      </w:pPr>
      <w:r>
        <w:rPr>
          <w:rFonts w:ascii="Arial" w:cs="Arial" w:eastAsia="Arial" w:hAnsi="Arial"/>
          <w:color w:val="333333"/>
          <w:sz w:val="21"/>
          <w:szCs w:val="21"/>
        </w:rPr>
        <w:t xml:space="preserve">Close 2 non-ARIE clients within the first 90 days. This is the single most important risk mitigation action.</w:t>
      </w:r>
    </w:p>
    <w:p>
      <w:pPr>
        <w:pStyle w:val="ListParagraph"/>
        <w:numPr>
          <w:ilvl w:val="0"/>
          <w:numId w:val="2"/>
        </w:numPr>
        <w:spacing w:after="80" w:line="276"/>
      </w:pPr>
      <w:r>
        <w:rPr>
          <w:rFonts w:ascii="Arial" w:cs="Arial" w:eastAsia="Arial" w:hAnsi="Arial"/>
          <w:color w:val="333333"/>
          <w:sz w:val="21"/>
          <w:szCs w:val="21"/>
        </w:rPr>
        <w:t xml:space="preserve">Diversify the reference pipeline: by month 4, you need at least 2 clients who are not ARIE referrals.</w:t>
      </w:r>
    </w:p>
    <w:p>
      <w:pPr>
        <w:pStyle w:val="ListParagraph"/>
        <w:numPr>
          <w:ilvl w:val="0"/>
          <w:numId w:val="2"/>
        </w:numPr>
        <w:spacing w:after="80" w:line="276"/>
      </w:pPr>
      <w:r>
        <w:rPr>
          <w:rFonts w:ascii="Arial" w:cs="Arial" w:eastAsia="Arial" w:hAnsi="Arial"/>
          <w:color w:val="333333"/>
          <w:sz w:val="21"/>
          <w:szCs w:val="21"/>
        </w:rPr>
        <w:t xml:space="preserve">Deepen the ARIE relationship: make ARIE a formal design partner with quarterly business reviews, a roadmap voice, and referral incentives. The deeper the relationship, the stickier it becomes.</w:t>
      </w:r>
    </w:p>
    <w:p>
      <w:pPr>
        <w:pStyle w:val="ListParagraph"/>
        <w:numPr>
          <w:ilvl w:val="0"/>
          <w:numId w:val="2"/>
        </w:numPr>
        <w:spacing w:after="80" w:line="276"/>
      </w:pPr>
      <w:r>
        <w:rPr>
          <w:rFonts w:ascii="Arial" w:cs="Arial" w:eastAsia="Arial" w:hAnsi="Arial"/>
          <w:color w:val="333333"/>
          <w:sz w:val="21"/>
          <w:szCs w:val="21"/>
        </w:rPr>
        <w:t xml:space="preserve">Never give ARIE pricing or contractual terms that you cannot offer to other clients. Avoid creating a dependency where ARIE has leverage over your pricing.</w:t>
      </w:r>
    </w:p>
    <w:p>
      <w:r>
        <w:br w:type="page"/>
      </w:r>
    </w:p>
    <w:p>
      <w:pPr>
        <w:pStyle w:val="Heading1"/>
        <w:spacing w:after="200" w:before="360"/>
      </w:pPr>
      <w:r>
        <w:rPr>
          <w:rFonts w:ascii="Arial" w:cs="Arial" w:eastAsia="Arial" w:hAnsi="Arial"/>
          <w:b/>
          <w:bCs/>
          <w:color w:val="1B3A5C"/>
          <w:sz w:val="32"/>
          <w:szCs w:val="32"/>
        </w:rPr>
        <w:t xml:space="preserve">L. Founder Execution Plan</w:t>
      </w:r>
    </w:p>
    <w:p>
      <w:pPr>
        <w:pStyle w:val="Heading2"/>
        <w:spacing w:after="160" w:before="280"/>
      </w:pPr>
      <w:r>
        <w:rPr>
          <w:rFonts w:ascii="Arial" w:cs="Arial" w:eastAsia="Arial" w:hAnsi="Arial"/>
          <w:b/>
          <w:bCs/>
          <w:color w:val="2E75B6"/>
          <w:sz w:val="26"/>
          <w:szCs w:val="26"/>
        </w:rPr>
        <w:t xml:space="preserve">L.1 Weekly Focus Areas</w:t>
      </w:r>
    </w:p>
    <w:p>
      <w:pPr>
        <w:spacing w:after="140" w:line="276"/>
        <w:jc w:val="left"/>
      </w:pPr>
      <w:r>
        <w:rPr>
          <w:rFonts w:ascii="Arial" w:cs="Arial" w:eastAsia="Arial" w:hAnsi="Arial"/>
          <w:color w:val="333333"/>
          <w:sz w:val="21"/>
          <w:szCs w:val="21"/>
        </w:rPr>
        <w:t xml:space="preserve">As founder-CEO in the first 6 months, your time allocation should look like this: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Hours/Week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 of Time</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Outbound sales (prospecting + demos)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35-40%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 is oxygen. Nothing matters more than closing deals.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Client success (ARIE + new clients)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Retention drives valuation. Happy clients become references.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direction (roadmap, feature decisions)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Founder must own product decisions. Delegate execution, not strategy.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Engineering coordination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Unblock engineers. Review PRs on critical features. Set priorities.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Fundraising prep / investor relationships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relationships 3-6 months before you need to raise.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Admin / ops / everything else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Minimise. Automate or delegate everything possible.</w:t>
            </w:r>
          </w:p>
        </w:tc>
      </w:tr>
    </w:tbl>
    <w:p>
      <w:pPr>
        <w:spacing w:after="80"/>
      </w:pPr>
    </w:p>
    <w:p>
      <w:pPr>
        <w:pStyle w:val="Heading2"/>
        <w:spacing w:after="160" w:before="280"/>
      </w:pPr>
      <w:r>
        <w:rPr>
          <w:rFonts w:ascii="Arial" w:cs="Arial" w:eastAsia="Arial" w:hAnsi="Arial"/>
          <w:b/>
          <w:bCs/>
          <w:color w:val="2E75B6"/>
          <w:sz w:val="26"/>
          <w:szCs w:val="26"/>
        </w:rPr>
        <w:t xml:space="preserve">L.2 Top 5 Founder Priorities (Next 90 Days)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r>
              <w:rPr>
                <w:rFonts w:ascii="Arial" w:cs="Arial" w:eastAsia="Arial" w:hAnsi="Arial"/>
                <w:b/>
                <w:bCs/>
                <w:color w:val="1B3A5C"/>
                <w:sz w:val="21"/>
                <w:szCs w:val="21"/>
              </w:rPr>
              <w:t xml:space="preserve">Priority 1: Convert ARIE to a paid contract. This is not optional. A signed contract with monthly revenue validates the business. Target: €3,000-5,000/mo within 30 days.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r>
              <w:rPr>
                <w:rFonts w:ascii="Arial" w:cs="Arial" w:eastAsia="Arial" w:hAnsi="Arial"/>
                <w:b/>
                <w:bCs/>
                <w:color w:val="1B3A5C"/>
                <w:sz w:val="21"/>
                <w:szCs w:val="21"/>
              </w:rPr>
              <w:t xml:space="preserve">Priority 2: Close 2 non-ARIE paying clients. Diversify the client base immediately. Use outbound and ARIE referrals. Target: 2 signed contracts by day 75.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r>
              <w:rPr>
                <w:rFonts w:ascii="Arial" w:cs="Arial" w:eastAsia="Arial" w:hAnsi="Arial"/>
                <w:b/>
                <w:bCs/>
                <w:color w:val="1B3A5C"/>
                <w:sz w:val="21"/>
                <w:szCs w:val="21"/>
              </w:rPr>
              <w:t xml:space="preserve">Priority 3: Ship White-Label Lite. This unlocks the CSP segment, which has the highest ACV and the strongest platform dynamics. Target: beta-ready by day 60.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r>
              <w:rPr>
                <w:rFonts w:ascii="Arial" w:cs="Arial" w:eastAsia="Arial" w:hAnsi="Arial"/>
                <w:b/>
                <w:bCs/>
                <w:color w:val="1B3A5C"/>
                <w:sz w:val="21"/>
                <w:szCs w:val="21"/>
              </w:rPr>
              <w:t xml:space="preserve">Priority 4: Build and publish the ARIE case study. Quantified results (time saved, error reduction, audit outcomes). This becomes the backbone of every sales conversation. Target: published by day 45.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r>
              <w:rPr>
                <w:rFonts w:ascii="Arial" w:cs="Arial" w:eastAsia="Arial" w:hAnsi="Arial"/>
                <w:b/>
                <w:bCs/>
                <w:color w:val="1B3A5C"/>
                <w:sz w:val="21"/>
                <w:szCs w:val="21"/>
              </w:rPr>
              <w:t xml:space="preserve">Priority 5: Establish 3 referral partner relationships. Compliance consultancies in Luxembourg and Ireland. Informal agreements, 15% commission. Target: 3 partners identified and engaged by day 60.</w:t>
            </w:r>
          </w:p>
        </w:tc>
      </w:tr>
    </w:tbl>
    <w:p>
      <w:pPr>
        <w:spacing w:after="80"/>
      </w:pPr>
    </w:p>
    <w:p>
      <w:pPr>
        <w:pStyle w:val="Heading2"/>
        <w:spacing w:after="160" w:before="280"/>
      </w:pPr>
      <w:r>
        <w:rPr>
          <w:rFonts w:ascii="Arial" w:cs="Arial" w:eastAsia="Arial" w:hAnsi="Arial"/>
          <w:b/>
          <w:bCs/>
          <w:color w:val="2E75B6"/>
          <w:sz w:val="26"/>
          <w:szCs w:val="26"/>
        </w:rPr>
        <w:t xml:space="preserve">L.3 What to Ignore</w:t>
      </w:r>
    </w:p>
    <w:p>
      <w:pPr>
        <w:spacing w:after="140" w:line="276"/>
        <w:jc w:val="left"/>
      </w:pPr>
      <w:r>
        <w:rPr>
          <w:rFonts w:ascii="Arial" w:cs="Arial" w:eastAsia="Arial" w:hAnsi="Arial"/>
          <w:color w:val="333333"/>
          <w:sz w:val="21"/>
          <w:szCs w:val="21"/>
        </w:rPr>
        <w:t xml:space="preserve">Equally important is what NOT to spend time on in the next 90-180 days: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Brand marketing, PR, thought leadership.</w:t>
      </w:r>
      <w:r>
        <w:rPr>
          <w:rFonts w:ascii="Arial" w:cs="Arial" w:eastAsia="Arial" w:hAnsi="Arial"/>
          <w:color w:val="333333"/>
          <w:sz w:val="21"/>
          <w:szCs w:val="21"/>
        </w:rPr>
        <w:t xml:space="preserve"> Zero ROI at this stage. You need direct revenue, not awareness. Revisit after 15+ clients.</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Conference sponsorships.</w:t>
      </w:r>
      <w:r>
        <w:rPr>
          <w:rFonts w:ascii="Arial" w:cs="Arial" w:eastAsia="Arial" w:hAnsi="Arial"/>
          <w:color w:val="333333"/>
          <w:sz w:val="21"/>
          <w:szCs w:val="21"/>
        </w:rPr>
        <w:t xml:space="preserve"> Attend conferences to book meetings. Do not sponsor booths. The ROI on booth sponsorship at your stage is negative.</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Building a "complete" product.</w:t>
      </w:r>
      <w:r>
        <w:rPr>
          <w:rFonts w:ascii="Arial" w:cs="Arial" w:eastAsia="Arial" w:hAnsi="Arial"/>
          <w:color w:val="333333"/>
          <w:sz w:val="21"/>
          <w:szCs w:val="21"/>
        </w:rPr>
        <w:t xml:space="preserve"> Ship the 80% that closes deals. The remaining 20% of features can wait until clients ask for them repeatedly.</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Hiring a CMO, VP Sales, or CTO.</w:t>
      </w:r>
      <w:r>
        <w:rPr>
          <w:rFonts w:ascii="Arial" w:cs="Arial" w:eastAsia="Arial" w:hAnsi="Arial"/>
          <w:color w:val="333333"/>
          <w:sz w:val="21"/>
          <w:szCs w:val="21"/>
        </w:rPr>
        <w:t xml:space="preserve"> You do not need senior hires. You need an SDR in month 7 and an AE in month 10. Senior leadership comes after Series A.</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International expansion beyond EU.</w:t>
      </w:r>
      <w:r>
        <w:rPr>
          <w:rFonts w:ascii="Arial" w:cs="Arial" w:eastAsia="Arial" w:hAnsi="Arial"/>
          <w:color w:val="333333"/>
          <w:sz w:val="21"/>
          <w:szCs w:val="21"/>
        </w:rPr>
        <w:t xml:space="preserve"> US, UK, and APAC markets have different regulations, different competitors, and different buyer expectations. Stay focused on EU/EEA until you hit €2M+ ARR.</w:t>
      </w:r>
    </w:p>
    <w:p>
      <w:pPr>
        <w:pStyle w:val="ListParagraph"/>
        <w:numPr>
          <w:ilvl w:val="0"/>
          <w:numId w:val="2"/>
        </w:numPr>
        <w:spacing w:after="80" w:line="276"/>
      </w:pPr>
      <w:r>
        <w:rPr>
          <w:rFonts w:ascii="Arial" w:cs="Arial" w:eastAsia="Arial" w:hAnsi="Arial"/>
          <w:color w:val="333333"/>
          <w:sz w:val="21"/>
          <w:szCs w:val="21"/>
        </w:rPr>
        <w:t xml:space="preserve"/>
      </w:r>
      <w:r>
        <w:rPr>
          <w:rFonts w:ascii="Arial" w:cs="Arial" w:eastAsia="Arial" w:hAnsi="Arial"/>
          <w:b/>
          <w:bCs/>
          <w:color w:val="333333"/>
          <w:sz w:val="21"/>
          <w:szCs w:val="21"/>
        </w:rPr>
        <w:t xml:space="preserve">Partnerships with large banks or enterprises.</w:t>
      </w:r>
      <w:r>
        <w:rPr>
          <w:rFonts w:ascii="Arial" w:cs="Arial" w:eastAsia="Arial" w:hAnsi="Arial"/>
          <w:color w:val="333333"/>
          <w:sz w:val="21"/>
          <w:szCs w:val="21"/>
        </w:rPr>
        <w:t xml:space="preserve"> Long sales cycles (12-18 months), heavy compliance requirements, and they will try to negotiate your price to zero. Focus on mid-market where you can close in 30-60 days.</w:t>
      </w:r>
    </w:p>
    <w:p>
      <w:r>
        <w:br w:type="page"/>
      </w:r>
    </w:p>
    <w:p>
      <w:pPr>
        <w:pStyle w:val="Heading1"/>
        <w:spacing w:after="200" w:before="360"/>
      </w:pPr>
      <w:r>
        <w:rPr>
          <w:rFonts w:ascii="Arial" w:cs="Arial" w:eastAsia="Arial" w:hAnsi="Arial"/>
          <w:b/>
          <w:bCs/>
          <w:color w:val="1B3A5C"/>
          <w:sz w:val="32"/>
          <w:szCs w:val="32"/>
        </w:rPr>
        <w:t xml:space="preserve">The 5 Actions That Will Most Quickly Increase Onboarda's Valuation in the Next 90 Days</w:t>
      </w:r>
    </w:p>
    <w:p>
      <w:pPr>
        <w:spacing w:after="80"/>
      </w:pPr>
    </w:p>
    <w:p>
      <w:pPr>
        <w:spacing w:after="140" w:line="276"/>
        <w:jc w:val="left"/>
      </w:pPr>
      <w:r>
        <w:rPr>
          <w:rFonts w:ascii="Arial" w:cs="Arial" w:eastAsia="Arial" w:hAnsi="Arial"/>
          <w:color w:val="333333"/>
          <w:sz w:val="21"/>
          <w:szCs w:val="21"/>
        </w:rPr>
        <w:t xml:space="preserve">These are not aspirational goals. These are the specific, measurable actions that will have the highest impact on Onboarda's valuation in the next 90 days. Each one directly addresses what investors look for: revenue traction, referenceable clients, product differentiation, and market validation.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sz="0"/>
              <w:left w:val="none" w:sz="0"/>
              <w:bottom w:val="none" w:sz="0"/>
              <w:right w:val="none" w:sz="0"/>
            </w:tcBorders>
            <w:shd w:fill="1B3A5C"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1</w:t>
            </w:r>
          </w:p>
        </w:tc>
        <w:tc>
          <w:tcPr>
            <w:tcW w:type="dxa" w:w="8760"/>
            <w:tcBorders>
              <w:top w:val="none" w:sz="0"/>
              <w:left w:val="none" w:sz="0"/>
              <w:bottom w:val="none" w:sz="0"/>
              <w:right w:val="none" w:sz="0"/>
            </w:tcBorders>
            <w:shd w:fill="E8F0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Convert ARIE to a paying contract at €3,000-5,000/mo</w:t>
            </w:r>
          </w:p>
          <w:p>
            <w:r>
              <w:rPr>
                <w:rFonts w:ascii="Arial" w:cs="Arial" w:eastAsia="Arial" w:hAnsi="Arial"/>
                <w:color w:val="444444"/>
                <w:sz w:val="20"/>
                <w:szCs w:val="20"/>
              </w:rPr>
              <w:t xml:space="preserve">Revenue is the most powerful valuation signal. A single paying client at €3K+ MRR proves willingness-to-pay, validates pricing, and gives you a number to put in front of investors. Do this within 30 days. Non-negotiable.</w:t>
            </w:r>
          </w:p>
        </w:tc>
      </w:tr>
      <w:tr>
        <w:tc>
          <w:tcPr>
            <w:tcW w:type="dxa" w:w="600"/>
            <w:tcBorders>
              <w:top w:val="none" w:sz="0"/>
              <w:left w:val="none" w:sz="0"/>
              <w:bottom w:val="none" w:sz="0"/>
              <w:right w:val="none" w:sz="0"/>
            </w:tcBorders>
            <w:tcMar>
              <w:top w:type="dxa" w:w="10"/>
              <w:left w:type="dxa" w:w="10"/>
              <w:bottom w:type="dxa" w:w="10"/>
              <w:right w:type="dxa" w:w="10"/>
            </w:tcMar>
          </w:tcPr>
          <w:p/>
        </w:tc>
        <w:tc>
          <w:tcPr>
            <w:tcW w:type="dxa" w:w="8760"/>
            <w:tcBorders>
              <w:top w:val="none" w:sz="0"/>
              <w:left w:val="none" w:sz="0"/>
              <w:bottom w:val="none" w:sz="0"/>
              <w:right w:val="none" w:sz="0"/>
            </w:tcBorders>
            <w:tcMar>
              <w:top w:type="dxa" w:w="10"/>
              <w:left w:type="dxa" w:w="10"/>
              <w:bottom w:type="dxa" w:w="10"/>
              <w:right w:type="dxa" w:w="10"/>
            </w:tcMar>
          </w:tcPr>
          <w:p/>
        </w:tc>
      </w:tr>
      <w:tr>
        <w:tc>
          <w:tcPr>
            <w:tcW w:type="dxa" w:w="600"/>
            <w:tcBorders>
              <w:top w:val="none" w:sz="0"/>
              <w:left w:val="none" w:sz="0"/>
              <w:bottom w:val="none" w:sz="0"/>
              <w:right w:val="none" w:sz="0"/>
            </w:tcBorders>
            <w:shd w:fill="1B3A5C"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2</w:t>
            </w:r>
          </w:p>
        </w:tc>
        <w:tc>
          <w:tcPr>
            <w:tcW w:type="dxa" w:w="8760"/>
            <w:tcBorders>
              <w:top w:val="none" w:sz="0"/>
              <w:left w:val="none" w:sz="0"/>
              <w:bottom w:val="none" w:sz="0"/>
              <w:right w:val="none" w:sz="0"/>
            </w:tcBorders>
            <w:shd w:fill="E8F0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Close 2 additional paying clients outside the ARIE network</w:t>
            </w:r>
          </w:p>
          <w:p>
            <w:r>
              <w:rPr>
                <w:rFonts w:ascii="Arial" w:cs="Arial" w:eastAsia="Arial" w:hAnsi="Arial"/>
                <w:color w:val="444444"/>
                <w:sz w:val="20"/>
                <w:szCs w:val="20"/>
              </w:rPr>
              <w:t xml:space="preserve">3 paying clients with no concentration risk is exponentially more valuable than 1 client. Use founder-led outbound to PSPs in Luxembourg and Ireland. Target MLROs and compliance heads. Get 2 signed contracts within 75 days.</w:t>
            </w:r>
          </w:p>
        </w:tc>
      </w:tr>
      <w:tr>
        <w:tc>
          <w:tcPr>
            <w:tcW w:type="dxa" w:w="600"/>
            <w:tcBorders>
              <w:top w:val="none" w:sz="0"/>
              <w:left w:val="none" w:sz="0"/>
              <w:bottom w:val="none" w:sz="0"/>
              <w:right w:val="none" w:sz="0"/>
            </w:tcBorders>
            <w:tcMar>
              <w:top w:type="dxa" w:w="10"/>
              <w:left w:type="dxa" w:w="10"/>
              <w:bottom w:type="dxa" w:w="10"/>
              <w:right w:type="dxa" w:w="10"/>
            </w:tcMar>
          </w:tcPr>
          <w:p/>
        </w:tc>
        <w:tc>
          <w:tcPr>
            <w:tcW w:type="dxa" w:w="8760"/>
            <w:tcBorders>
              <w:top w:val="none" w:sz="0"/>
              <w:left w:val="none" w:sz="0"/>
              <w:bottom w:val="none" w:sz="0"/>
              <w:right w:val="none" w:sz="0"/>
            </w:tcBorders>
            <w:tcMar>
              <w:top w:type="dxa" w:w="10"/>
              <w:left w:type="dxa" w:w="10"/>
              <w:bottom w:type="dxa" w:w="10"/>
              <w:right w:type="dxa" w:w="10"/>
            </w:tcMar>
          </w:tcPr>
          <w:p/>
        </w:tc>
      </w:tr>
      <w:tr>
        <w:tc>
          <w:tcPr>
            <w:tcW w:type="dxa" w:w="600"/>
            <w:tcBorders>
              <w:top w:val="none" w:sz="0"/>
              <w:left w:val="none" w:sz="0"/>
              <w:bottom w:val="none" w:sz="0"/>
              <w:right w:val="none" w:sz="0"/>
            </w:tcBorders>
            <w:shd w:fill="1B3A5C"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3</w:t>
            </w:r>
          </w:p>
        </w:tc>
        <w:tc>
          <w:tcPr>
            <w:tcW w:type="dxa" w:w="8760"/>
            <w:tcBorders>
              <w:top w:val="none" w:sz="0"/>
              <w:left w:val="none" w:sz="0"/>
              <w:bottom w:val="none" w:sz="0"/>
              <w:right w:val="none" w:sz="0"/>
            </w:tcBorders>
            <w:shd w:fill="E8F0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Publish a quantified ARIE case study with hard metrics</w:t>
            </w:r>
          </w:p>
          <w:p>
            <w:r>
              <w:rPr>
                <w:rFonts w:ascii="Arial" w:cs="Arial" w:eastAsia="Arial" w:hAnsi="Arial"/>
                <w:color w:val="444444"/>
                <w:sz w:val="20"/>
                <w:szCs w:val="20"/>
              </w:rPr>
              <w:t xml:space="preserve">"ARIE reduced onboarding time from 6 hours to 45 minutes per client. Compliance memo generation went from 3 days to 20 minutes. Zero regulatory findings in their latest audit." This single document will close more deals than any feature you could build. Target: published within 45 days.</w:t>
            </w:r>
          </w:p>
        </w:tc>
      </w:tr>
      <w:tr>
        <w:tc>
          <w:tcPr>
            <w:tcW w:type="dxa" w:w="600"/>
            <w:tcBorders>
              <w:top w:val="none" w:sz="0"/>
              <w:left w:val="none" w:sz="0"/>
              <w:bottom w:val="none" w:sz="0"/>
              <w:right w:val="none" w:sz="0"/>
            </w:tcBorders>
            <w:tcMar>
              <w:top w:type="dxa" w:w="10"/>
              <w:left w:type="dxa" w:w="10"/>
              <w:bottom w:type="dxa" w:w="10"/>
              <w:right w:type="dxa" w:w="10"/>
            </w:tcMar>
          </w:tcPr>
          <w:p/>
        </w:tc>
        <w:tc>
          <w:tcPr>
            <w:tcW w:type="dxa" w:w="8760"/>
            <w:tcBorders>
              <w:top w:val="none" w:sz="0"/>
              <w:left w:val="none" w:sz="0"/>
              <w:bottom w:val="none" w:sz="0"/>
              <w:right w:val="none" w:sz="0"/>
            </w:tcBorders>
            <w:tcMar>
              <w:top w:type="dxa" w:w="10"/>
              <w:left w:type="dxa" w:w="10"/>
              <w:bottom w:type="dxa" w:w="10"/>
              <w:right w:type="dxa" w:w="10"/>
            </w:tcMar>
          </w:tcPr>
          <w:p/>
        </w:tc>
      </w:tr>
      <w:tr>
        <w:tc>
          <w:tcPr>
            <w:tcW w:type="dxa" w:w="600"/>
            <w:tcBorders>
              <w:top w:val="none" w:sz="0"/>
              <w:left w:val="none" w:sz="0"/>
              <w:bottom w:val="none" w:sz="0"/>
              <w:right w:val="none" w:sz="0"/>
            </w:tcBorders>
            <w:shd w:fill="1B3A5C"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4</w:t>
            </w:r>
          </w:p>
        </w:tc>
        <w:tc>
          <w:tcPr>
            <w:tcW w:type="dxa" w:w="8760"/>
            <w:tcBorders>
              <w:top w:val="none" w:sz="0"/>
              <w:left w:val="none" w:sz="0"/>
              <w:bottom w:val="none" w:sz="0"/>
              <w:right w:val="none" w:sz="0"/>
            </w:tcBorders>
            <w:shd w:fill="E8F0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Perfect the AI compliance memo demo into a "wow moment"</w:t>
            </w:r>
          </w:p>
          <w:p>
            <w:r>
              <w:rPr>
                <w:rFonts w:ascii="Arial" w:cs="Arial" w:eastAsia="Arial" w:hAnsi="Arial"/>
                <w:color w:val="444444"/>
                <w:sz w:val="20"/>
                <w:szCs w:val="20"/>
              </w:rPr>
              <w:t xml:space="preserve">Spend 2 weeks making the AI compliance memo generation demo flawless. Upload a real corporate structure, watch Onboarda map the UBOs, generate a risk score with full explainability, and produce an audit-ready memo. When an investor or prospect sees this live, it should be undeniable. This single demo drives both sales and valuation.</w:t>
            </w:r>
          </w:p>
        </w:tc>
      </w:tr>
      <w:tr>
        <w:tc>
          <w:tcPr>
            <w:tcW w:type="dxa" w:w="600"/>
            <w:tcBorders>
              <w:top w:val="none" w:sz="0"/>
              <w:left w:val="none" w:sz="0"/>
              <w:bottom w:val="none" w:sz="0"/>
              <w:right w:val="none" w:sz="0"/>
            </w:tcBorders>
            <w:tcMar>
              <w:top w:type="dxa" w:w="10"/>
              <w:left w:type="dxa" w:w="10"/>
              <w:bottom w:type="dxa" w:w="10"/>
              <w:right w:type="dxa" w:w="10"/>
            </w:tcMar>
          </w:tcPr>
          <w:p/>
        </w:tc>
        <w:tc>
          <w:tcPr>
            <w:tcW w:type="dxa" w:w="8760"/>
            <w:tcBorders>
              <w:top w:val="none" w:sz="0"/>
              <w:left w:val="none" w:sz="0"/>
              <w:bottom w:val="none" w:sz="0"/>
              <w:right w:val="none" w:sz="0"/>
            </w:tcBorders>
            <w:tcMar>
              <w:top w:type="dxa" w:w="10"/>
              <w:left w:type="dxa" w:w="10"/>
              <w:bottom w:type="dxa" w:w="10"/>
              <w:right w:type="dxa" w:w="10"/>
            </w:tcMar>
          </w:tcPr>
          <w:p/>
        </w:tc>
      </w:tr>
      <w:tr>
        <w:tc>
          <w:tcPr>
            <w:tcW w:type="dxa" w:w="600"/>
            <w:tcBorders>
              <w:top w:val="none" w:sz="0"/>
              <w:left w:val="none" w:sz="0"/>
              <w:bottom w:val="none" w:sz="0"/>
              <w:right w:val="none" w:sz="0"/>
            </w:tcBorders>
            <w:shd w:fill="1B3A5C" w:val="clear"/>
            <w:tcMar>
              <w:top w:type="dxa" w:w="120"/>
              <w:left w:type="dxa" w:w="120"/>
              <w:bottom w:type="dxa" w:w="120"/>
              <w:right w:type="dxa" w:w="120"/>
            </w:tcMar>
          </w:tcPr>
          <w:p>
            <w:pPr>
              <w:jc w:val="center"/>
            </w:pPr>
            <w:r>
              <w:rPr>
                <w:rFonts w:ascii="Arial" w:cs="Arial" w:eastAsia="Arial" w:hAnsi="Arial"/>
                <w:b/>
                <w:bCs/>
                <w:color w:val="FFFFFF"/>
                <w:sz w:val="28"/>
                <w:szCs w:val="28"/>
              </w:rPr>
              <w:t xml:space="preserve">5</w:t>
            </w:r>
          </w:p>
        </w:tc>
        <w:tc>
          <w:tcPr>
            <w:tcW w:type="dxa" w:w="8760"/>
            <w:tcBorders>
              <w:top w:val="none" w:sz="0"/>
              <w:left w:val="none" w:sz="0"/>
              <w:bottom w:val="none" w:sz="0"/>
              <w:right w:val="none" w:sz="0"/>
            </w:tcBorders>
            <w:shd w:fill="E8F0F8" w:val="clear"/>
            <w:tcMar>
              <w:top w:type="dxa" w:w="120"/>
              <w:left w:type="dxa" w:w="200"/>
              <w:bottom w:type="dxa" w:w="120"/>
              <w:right w:type="dxa" w:w="200"/>
            </w:tcMar>
          </w:tcPr>
          <w:p>
            <w:pPr>
              <w:spacing w:after="60"/>
            </w:pPr>
            <w:r>
              <w:rPr>
                <w:rFonts w:ascii="Arial" w:cs="Arial" w:eastAsia="Arial" w:hAnsi="Arial"/>
                <w:b/>
                <w:bCs/>
                <w:color w:val="1B3A5C"/>
                <w:sz w:val="22"/>
                <w:szCs w:val="22"/>
              </w:rPr>
              <w:t xml:space="preserve">Secure 3 referral partners (compliance consultancies) with pipeline committed</w:t>
            </w:r>
          </w:p>
          <w:p>
            <w:r>
              <w:rPr>
                <w:rFonts w:ascii="Arial" w:cs="Arial" w:eastAsia="Arial" w:hAnsi="Arial"/>
                <w:color w:val="444444"/>
                <w:sz w:val="20"/>
                <w:szCs w:val="20"/>
              </w:rPr>
              <w:t xml:space="preserve">Identify 5 compliance advisory firms in Luxembourg and Ireland. Meet with them. Offer 15% commission on referred revenue. Get 3 of them to commit to introducing you to 2-3 prospects each within 60 days. This creates a pipeline of 6-9 warm leads that are pre-qualified by trusted advisors. These deals close 2x faster and at 30% higher ACV than cold outbound.</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r>
              <w:rPr>
                <w:rFonts w:ascii="Arial" w:cs="Arial" w:eastAsia="Arial" w:hAnsi="Arial"/>
                <w:b/>
                <w:bCs/>
                <w:color w:val="1B3A5C"/>
                <w:sz w:val="21"/>
                <w:szCs w:val="21"/>
              </w:rPr>
              <w:t xml:space="preserve">Combined impact of these 5 actions: 3+ paying clients (€100K+ ARR run-rate), a published case study, a killer demo, and a partner pipeline. This positions Onboarda for a €5-8M seed valuation within 6 months.</w:t>
            </w:r>
          </w:p>
        </w:tc>
      </w:tr>
    </w:tbl>
    <w:p>
      <w:pPr>
        <w:spacing w:after="80"/>
      </w:pPr>
    </w:p>
    <w:p>
      <w:pPr>
        <w:spacing w:after="80"/>
      </w:pPr>
    </w:p>
    <w:p>
      <w:pPr>
        <w:spacing w:after="200" w:before="400"/>
        <w:jc w:val="center"/>
      </w:pPr>
      <w:r>
        <w:rPr>
          <w:rFonts w:ascii="Arial" w:cs="Arial" w:eastAsia="Arial" w:hAnsi="Arial"/>
          <w:b/>
          <w:bCs/>
          <w:color w:val="1B3A5C"/>
          <w:sz w:val="24"/>
          <w:szCs w:val="24"/>
        </w:rPr>
        <w:t xml:space="preserve">END OF STRATEGIC PLAN</w:t>
      </w:r>
    </w:p>
    <w:p>
      <w:pPr>
        <w:jc w:val="center"/>
      </w:pPr>
      <w:r>
        <w:rPr>
          <w:rFonts w:ascii="Arial" w:cs="Arial" w:eastAsia="Arial" w:hAnsi="Arial"/>
          <w:color w:val="999999"/>
          <w:sz w:val="20"/>
          <w:szCs w:val="20"/>
        </w:rPr>
        <w:t xml:space="preserve">Onboarda • Confidential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999999"/>
        <w:sz w:val="16"/>
        <w:szCs w:val="16"/>
      </w:rPr>
      <w:t xml:space="preserve">ONBOARDA  |  CSO Strategic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2026-03-21T15:13:12.859Z</dcterms:created>
  <dcterms:modified xsi:type="dcterms:W3CDTF">2026-03-21T15:13:12.860Z</dcterms:modified>
</cp:coreProperties>
</file>

<file path=docProps/custom.xml><?xml version="1.0" encoding="utf-8"?>
<Properties xmlns="http://schemas.openxmlformats.org/officeDocument/2006/custom-properties" xmlns:vt="http://schemas.openxmlformats.org/officeDocument/2006/docPropsVTypes"/>
</file>