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1B4F72"/>
          <w:sz w:val="52"/>
          <w:szCs w:val="52"/>
        </w:rPr>
        <w:t xml:space="preserve">ONBOARDA</w:t>
      </w:r>
    </w:p>
    <w:p>
      <w:pPr>
        <w:spacing w:after="200"/>
        <w:jc w:val="center"/>
      </w:pPr>
      <w:r>
        <w:rPr>
          <w:rFonts w:ascii="Arial" w:cs="Arial" w:eastAsia="Arial" w:hAnsi="Arial"/>
          <w:color w:val="2E75B6"/>
          <w:sz w:val="36"/>
          <w:szCs w:val="36"/>
        </w:rPr>
        <w:t xml:space="preserve">Regulatory Compliance Remediation</w:t>
      </w:r>
    </w:p>
    <w:p>
      <w:pPr>
        <w:spacing w:after="40"/>
        <w:jc w:val="center"/>
      </w:pPr>
      <w:r>
        <w:rPr>
          <w:rFonts w:ascii="Arial" w:cs="Arial" w:eastAsia="Arial" w:hAnsi="Arial"/>
          <w:color w:val="2E75B6"/>
          <w:sz w:val="36"/>
          <w:szCs w:val="36"/>
        </w:rPr>
        <w:t xml:space="preserve">Implementation Blueprint</w:t>
      </w:r>
    </w:p>
    <w:p>
      <w:pPr>
        <w:spacing w:after="80"/>
      </w:pPr>
    </w:p>
    <w:p>
      <w:pPr>
        <w:pBdr>
          <w:bottom w:val="single" w:color="1B4F72" w:sz="6" w:space="1"/>
        </w:pBdr>
        <w:spacing w:after="200"/>
        <w:jc w:val="center"/>
      </w:pPr>
    </w:p>
    <w:p>
      <w:pPr>
        <w:spacing w:after="80"/>
      </w:pPr>
    </w:p>
    <w:p>
      <w:pPr>
        <w:jc w:val="center"/>
      </w:pPr>
      <w:r>
        <w:rPr>
          <w:rFonts w:ascii="Arial" w:cs="Arial" w:eastAsia="Arial" w:hAnsi="Arial"/>
          <w:color w:val="555555"/>
          <w:sz w:val="22"/>
          <w:szCs w:val="22"/>
        </w:rPr>
        <w:t xml:space="preserve">FSC AI Guidance (2025) | Data Protection Act 2017 | Cybersecurity Act 2021</w:t>
      </w:r>
    </w:p>
    <w:p>
      <w:pPr>
        <w:spacing w:after="80"/>
      </w:pPr>
    </w:p>
    <w:p>
      <w:pPr>
        <w:jc w:val="center"/>
      </w:pPr>
      <w:r>
        <w:rPr>
          <w:rFonts w:ascii="Arial" w:cs="Arial" w:eastAsia="Arial" w:hAnsi="Arial"/>
          <w:b/>
          <w:bCs/>
          <w:color w:val="C0392B"/>
          <w:sz w:val="20"/>
          <w:szCs w:val="20"/>
        </w:rPr>
        <w:t xml:space="preserve">Classification: CONFIDENTIAL</w:t>
      </w:r>
    </w:p>
    <w:p>
      <w:pPr>
        <w:jc w:val="center"/>
      </w:pPr>
      <w:r>
        <w:rPr>
          <w:rFonts w:ascii="Arial" w:cs="Arial" w:eastAsia="Arial" w:hAnsi="Arial"/>
          <w:color w:val="777777"/>
          <w:sz w:val="20"/>
          <w:szCs w:val="20"/>
        </w:rPr>
        <w:t xml:space="preserve">Version 1.0 | March 2026</w:t>
      </w:r>
    </w:p>
    <w:p>
      <w:pPr>
        <w:jc w:val="center"/>
      </w:pPr>
      <w:r>
        <w:rPr>
          <w:rFonts w:ascii="Arial" w:cs="Arial" w:eastAsia="Arial" w:hAnsi="Arial"/>
          <w:color w:val="777777"/>
          <w:sz w:val="18"/>
          <w:szCs w:val="18"/>
        </w:rPr>
        <w:t xml:space="preserve">Prepared for: Onboarda Ltd | Prepared by: RegTech Architecture Team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D4A017"/>
          <w:sz w:val="24"/>
          <w:szCs w:val="24"/>
        </w:rPr>
        <w:t xml:space="preserve">ASSESSMENT VERDICT: READY WITH MINOR FIXES</w:t>
      </w:r>
    </w:p>
    <w:p>
      <w:pPr>
        <w:jc w:val="center"/>
      </w:pPr>
      <w:r>
        <w:rPr>
          <w:rFonts w:ascii="Arial" w:cs="Arial" w:eastAsia="Arial" w:hAnsi="Arial"/>
          <w:color w:val="777777"/>
          <w:sz w:val="18"/>
          <w:szCs w:val="18"/>
        </w:rPr>
        <w:t xml:space="preserve">This document provides a complete remediation plan to achieve full regulatory compliance.</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rPr>
        <w:t xml:space="preserve">A. Critical Go-Live Requirements (Blockers)</w:t>
      </w:r>
    </w:p>
    <w:p>
      <w:pPr>
        <w:spacing w:after="120"/>
      </w:pPr>
      <w:r>
        <w:rPr>
          <w:rFonts w:ascii="Arial" w:cs="Arial" w:eastAsia="Arial" w:hAnsi="Arial"/>
          <w:b w:val="false"/>
          <w:bCs w:val="false"/>
          <w:i w:val="false"/>
          <w:iCs w:val="false"/>
          <w:color w:val="333333"/>
          <w:sz w:val="22"/>
          <w:szCs w:val="22"/>
        </w:rPr>
        <w:t xml:space="preserve">The following items are non-negotiable regulatory blockers that MUST be completed before any production deployment of Onboarda within a licensed financial institution in Mauritius. Failure to address any of these items exposes the institution to enforcement action, regulatory sanction, and reputational damage.</w:t>
      </w:r>
    </w:p>
    <w:p>
      <w:pPr>
        <w:pStyle w:val="Heading2"/>
        <w:spacing w:after="120" w:before="240"/>
      </w:pPr>
      <w:r>
        <w:rPr>
          <w:rFonts w:ascii="Arial" w:cs="Arial" w:eastAsia="Arial" w:hAnsi="Arial"/>
        </w:rPr>
        <w:t xml:space="preserve">A.1 Data Protection Impact Assessment (DPIA)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0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Requirement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and document a full DPIA for the Onboarda AI-powered onboarding pipeline under Section 29 of the Data Protection Act 2017.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Why Mandatory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Section 29 DPA 2017 requires a DPIA where processing is likely to result in high risk to data subjects. Onboarda processes PII through AI models (Claude), performs automated risk profiling, screens against sanctions/PEP databases, and makes decisions affecting individuals' access to financial services. This is textbook high-risk processing.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Risk if Missing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18"/>
                <w:szCs w:val="18"/>
              </w:rPr>
              <w:t xml:space="preserve">Regulatory enforcement by the Data Protection Office (DPO-MU), potential fine up to MUR 200,000 under Section 44, mandatory cessation of processing until DPIA is completed, reputational harm, and inability to demonstrate accountability to FSC during licensing review.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Implementation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 a structured DPIA document covering: (1) systematic description of processing operations and purposes, (2) assessment of necessity and proportionality, (3) assessment of risks to data subjects, (4) measures to address risks including safeguards and security measures, (5) approval by DPO. Integrate DPIA review into the CI/CD pipeline as a governance gate.</w:t>
            </w:r>
          </w:p>
        </w:tc>
      </w:tr>
    </w:tbl>
    <w:p>
      <w:pPr>
        <w:spacing w:after="80"/>
      </w:pPr>
    </w:p>
    <w:p>
      <w:pPr>
        <w:spacing w:after="120"/>
      </w:pPr>
      <w:r>
        <w:rPr>
          <w:rFonts w:ascii="Arial" w:cs="Arial" w:eastAsia="Arial" w:hAnsi="Arial"/>
          <w:b/>
          <w:bCs/>
          <w:i w:val="false"/>
          <w:iCs w:val="false"/>
          <w:color w:val="333333"/>
          <w:sz w:val="22"/>
          <w:szCs w:val="22"/>
        </w:rPr>
        <w:t xml:space="preserve">DPIA Must Cover:</w:t>
      </w:r>
    </w:p>
    <w:p>
      <w:pPr>
        <w:pStyle w:val="ListParagraph"/>
        <w:numPr>
          <w:ilvl w:val="0"/>
          <w:numId w:val="2"/>
        </w:numPr>
        <w:spacing w:after="60"/>
      </w:pPr>
      <w:r>
        <w:rPr>
          <w:rFonts w:ascii="Arial" w:cs="Arial" w:eastAsia="Arial" w:hAnsi="Arial"/>
          <w:sz w:val="22"/>
          <w:szCs w:val="22"/>
        </w:rPr>
        <w:t xml:space="preserve">Data flows: client PII collected at onboarding (name, DOB, nationality, address, BRN, passport/ID, source of funds, bank statements, directorships, UBO details)</w:t>
      </w:r>
    </w:p>
    <w:p>
      <w:pPr>
        <w:pStyle w:val="ListParagraph"/>
        <w:numPr>
          <w:ilvl w:val="0"/>
          <w:numId w:val="2"/>
        </w:numPr>
        <w:spacing w:after="60"/>
      </w:pPr>
      <w:r>
        <w:rPr>
          <w:rFonts w:ascii="Arial" w:cs="Arial" w:eastAsia="Arial" w:hAnsi="Arial"/>
          <w:sz w:val="22"/>
          <w:szCs w:val="22"/>
        </w:rPr>
        <w:t xml:space="preserve">AI processing: what data is sent to Claude API, what is retained, what is returned</w:t>
      </w:r>
    </w:p>
    <w:p>
      <w:pPr>
        <w:pStyle w:val="ListParagraph"/>
        <w:numPr>
          <w:ilvl w:val="0"/>
          <w:numId w:val="2"/>
        </w:numPr>
        <w:spacing w:after="60"/>
      </w:pPr>
      <w:r>
        <w:rPr>
          <w:rFonts w:ascii="Arial" w:cs="Arial" w:eastAsia="Arial" w:hAnsi="Arial"/>
          <w:sz w:val="22"/>
          <w:szCs w:val="22"/>
        </w:rPr>
        <w:t xml:space="preserve">Third-party transfers: cross-border data transfer to Anthropic (US), OpenSanctions, any screening providers</w:t>
      </w:r>
    </w:p>
    <w:p>
      <w:pPr>
        <w:pStyle w:val="ListParagraph"/>
        <w:numPr>
          <w:ilvl w:val="0"/>
          <w:numId w:val="2"/>
        </w:numPr>
        <w:spacing w:after="60"/>
      </w:pPr>
      <w:r>
        <w:rPr>
          <w:rFonts w:ascii="Arial" w:cs="Arial" w:eastAsia="Arial" w:hAnsi="Arial"/>
          <w:sz w:val="22"/>
          <w:szCs w:val="22"/>
        </w:rPr>
        <w:t xml:space="preserve">Automated decision-making: risk scoring, compliance recommendation, potential denial of service</w:t>
      </w:r>
    </w:p>
    <w:p>
      <w:pPr>
        <w:pStyle w:val="ListParagraph"/>
        <w:numPr>
          <w:ilvl w:val="0"/>
          <w:numId w:val="2"/>
        </w:numPr>
        <w:spacing w:after="60"/>
      </w:pPr>
      <w:r>
        <w:rPr>
          <w:rFonts w:ascii="Arial" w:cs="Arial" w:eastAsia="Arial" w:hAnsi="Arial"/>
          <w:sz w:val="22"/>
          <w:szCs w:val="22"/>
        </w:rPr>
        <w:t xml:space="preserve">Retention periods: how long PII is retained, when it is purged, archival policies</w:t>
      </w:r>
    </w:p>
    <w:p>
      <w:pPr>
        <w:pStyle w:val="ListParagraph"/>
        <w:numPr>
          <w:ilvl w:val="0"/>
          <w:numId w:val="2"/>
        </w:numPr>
        <w:spacing w:after="60"/>
      </w:pPr>
      <w:r>
        <w:rPr>
          <w:rFonts w:ascii="Arial" w:cs="Arial" w:eastAsia="Arial" w:hAnsi="Arial"/>
          <w:sz w:val="22"/>
          <w:szCs w:val="22"/>
        </w:rPr>
        <w:t xml:space="preserve">Data subject rights: how erasure, portability, and objection requests are handled</w:t>
      </w:r>
    </w:p>
    <w:p>
      <w:pPr>
        <w:pStyle w:val="ListParagraph"/>
        <w:numPr>
          <w:ilvl w:val="0"/>
          <w:numId w:val="2"/>
        </w:numPr>
        <w:spacing w:after="60"/>
      </w:pPr>
      <w:r>
        <w:rPr>
          <w:rFonts w:ascii="Arial" w:cs="Arial" w:eastAsia="Arial" w:hAnsi="Arial"/>
          <w:sz w:val="22"/>
          <w:szCs w:val="22"/>
        </w:rPr>
        <w:t xml:space="preserve">Security measures: encryption (Fernet PII encryption, TLS), access controls (JWT RBAC), audit logging</w:t>
      </w:r>
    </w:p>
    <w:p>
      <w:pPr>
        <w:spacing w:after="80"/>
      </w:pPr>
    </w:p>
    <w:p>
      <w:pPr>
        <w:pStyle w:val="Heading2"/>
        <w:spacing w:after="120" w:before="240"/>
      </w:pPr>
      <w:r>
        <w:rPr>
          <w:rFonts w:ascii="Arial" w:cs="Arial" w:eastAsia="Arial" w:hAnsi="Arial"/>
        </w:rPr>
        <w:t xml:space="preserve">A.2 AI Governance Policy &amp;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0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Requirement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 a formal AI Governance Policy aligned with FSC AI Guidance (2025) Principles 1-7, covering accountability, transparency, fairness, reliability, data governance, third-party risk, and human oversight.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Why Mandatory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FSC AI Guidance requires licensed entities using AI in regulated activities to maintain governance frameworks. Onboarda uses AI (Claude Opus) for compliance memo generation, risk assessment, and decision support. Without a governance framework, the FSC cannot assess whether the AI system meets supervisory expectations.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Risk if Missing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18"/>
                <w:szCs w:val="18"/>
              </w:rPr>
              <w:t xml:space="preserve">FSC may refuse or condition licensing, require cessation of AI-assisted compliance processes, or issue supervisory directions under the Financial Services Act 2007. Additionally, absence of governance framework means no accountability trail if AI produces incorrect compliance decisions.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Implementation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Draft a board-approved AI Governance Policy (template provided in Section F). Appoint an AI Risk Owner. Establish AI model inventory. Define model validation, testing, and monitoring cadence. Integrate governance into the existing 4-layer architecture (Rule Engine &gt; Memo Generation &gt; Validation &gt; Supervisor).</w:t>
            </w:r>
          </w:p>
        </w:tc>
      </w:tr>
    </w:tbl>
    <w:p>
      <w:pPr>
        <w:spacing w:after="80"/>
      </w:pPr>
    </w:p>
    <w:p>
      <w:pPr>
        <w:pStyle w:val="Heading2"/>
        <w:spacing w:after="120" w:before="240"/>
      </w:pPr>
      <w:r>
        <w:rPr>
          <w:rFonts w:ascii="Arial" w:cs="Arial" w:eastAsia="Arial" w:hAnsi="Arial"/>
        </w:rPr>
        <w:t xml:space="preserve">A.3 Data Subject Rights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0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Requirement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Implement technical capabilities for data subject rights under Part IV of the DPA 2017: right of access (S.25), right to rectification (S.26), right to erasure (S.27), right to data portability (S.28), right to object to automated decision-making (S.30).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Why Mandatory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DPA 2017 grants data subjects legally enforceable rights. Onboarda processes personal data of applicants (directors, UBOs, shareholders) who are data subjects. Without technical implementation, the platform cannot fulfil data subject requests within the statutory 30-day timeframe.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Risk if Missing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18"/>
                <w:szCs w:val="18"/>
              </w:rPr>
              <w:t xml:space="preserve">Complaints to DPO-MU, enforcement notices requiring compliance within specified period, potential compensation claims by data subjects, operational disruption from manual data subject request handling.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Implementation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Build a Data Subject Rights module with: (1) API endpoints for each right, (2) request tracking table (data_subject_requests), (3) consent management (consent_records), (4) automated data export in machine-readable format (JSON/CSV), (5) soft-delete with retention period enforcement, (6) audit logging of all DSR actions. See Section B.2 for detailed API design.</w:t>
            </w:r>
          </w:p>
        </w:tc>
      </w:tr>
    </w:tbl>
    <w:p>
      <w:pPr>
        <w:spacing w:after="80"/>
      </w:pPr>
    </w:p>
    <w:p>
      <w:pPr>
        <w:pStyle w:val="Heading2"/>
        <w:spacing w:after="120" w:before="240"/>
      </w:pPr>
      <w:r>
        <w:rPr>
          <w:rFonts w:ascii="Arial" w:cs="Arial" w:eastAsia="Arial" w:hAnsi="Arial"/>
        </w:rPr>
        <w:t xml:space="preserve">A.4 Incident Response Plan (IRP)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0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Requirement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Develop and implement an Incident Response Plan compliant with the Cybersecurity and Cybercrime Act 2021, including detection, classification, escalation, containment, eradication, recovery, and reporting procedures.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Why Mandatory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Section 18 of the Cybersecurity Act requires critical information infrastructure operators and financial institutions to report cybersecurity incidents to CERT-MU within 72 hours. Section 29 DPA 2017 requires notification of data breaches to the DPO-MU. Without a formalised IRP, the organisation cannot meet these statutory obligations.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Risk if Missing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18"/>
                <w:szCs w:val="18"/>
              </w:rPr>
              <w:t xml:space="preserve">Criminal liability under Cybersecurity Act for failure to report incidents, regulatory sanction for breach of DPA notification requirements, uncontrolled incident escalation, extended downtime, data loss, and reputational destruction.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Implementation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 IRP document (template in Section F). Implement incident logging table (incident_logs). Build incident reporting workflow in backoffice. Establish CERT-MU reporting integration. Define severity classification matrix (P1-P4). Test with tabletop exercises quarterly.</w:t>
            </w:r>
          </w:p>
        </w:tc>
      </w:tr>
    </w:tbl>
    <w:p>
      <w:pPr>
        <w:spacing w:after="80"/>
      </w:pPr>
    </w:p>
    <w:p>
      <w:pPr>
        <w:pStyle w:val="Heading2"/>
        <w:spacing w:after="120" w:before="240"/>
      </w:pPr>
      <w:r>
        <w:rPr>
          <w:rFonts w:ascii="Arial" w:cs="Arial" w:eastAsia="Arial" w:hAnsi="Arial"/>
        </w:rPr>
        <w:t xml:space="preserve">A.5 Vendor Risk Management (Claude/Anthropic)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0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Requirement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a formal vendor risk assessment for Anthropic (Claude API provider), establish a Data Processing Agreement (DPA), implement cross-border data transfer controls, and design a fallback strategy for API unavailability.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Why Mandatory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FSC AI Guidance Principle 6 requires governance of third-party AI providers. DPA 2017 Section 36 requires written agreements for data processors. Claude processes client PII (even if encrypted at rest, the prompt contains risk-relevant data). Cross-border transfer to US requires adequate safeguards under Section 37 DPA 2017.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Risk if Missing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18"/>
                <w:szCs w:val="18"/>
              </w:rPr>
              <w:t xml:space="preserve">Unlawful cross-border data transfer, non-compliance with DPA processor requirements, single point of failure if Claude API is unavailable, inability to demonstrate vendor oversight to FSC, potential data breach through third-party channel.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Implementation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Execute Anthropic DPA covering data processing, retention, deletion, sub-processors, breach notification. (2) Implement data minimisation for prompts sent to Claude (pseudonymise PII where possible). (3) Build API fallback: local rule-engine-only mode that generates deterministic memos without AI enhancement when Claude is unavailable. (4) Create vendor_risk_records table. (5) Annual vendor risk reassessment.</w:t>
            </w:r>
          </w:p>
        </w:tc>
      </w:tr>
    </w:tbl>
    <w:p>
      <w:r>
        <w:br w:type="page"/>
      </w:r>
    </w:p>
    <w:p>
      <w:pPr>
        <w:pStyle w:val="Heading1"/>
        <w:spacing w:after="120" w:before="360"/>
      </w:pPr>
      <w:r>
        <w:rPr>
          <w:rFonts w:ascii="Arial" w:cs="Arial" w:eastAsia="Arial" w:hAnsi="Arial"/>
        </w:rPr>
        <w:t xml:space="preserve">B. Detailed Implementation Plan</w:t>
      </w:r>
    </w:p>
    <w:p>
      <w:pPr>
        <w:pStyle w:val="Heading2"/>
        <w:spacing w:after="120" w:before="240"/>
      </w:pPr>
      <w:r>
        <w:rPr>
          <w:rFonts w:ascii="Arial" w:cs="Arial" w:eastAsia="Arial" w:hAnsi="Arial"/>
        </w:rPr>
        <w:t xml:space="preserve">B.1 FSC AI Compliance</w:t>
      </w:r>
    </w:p>
    <w:p>
      <w:pPr>
        <w:spacing w:after="120"/>
      </w:pPr>
      <w:r>
        <w:rPr>
          <w:rFonts w:ascii="Arial" w:cs="Arial" w:eastAsia="Arial" w:hAnsi="Arial"/>
          <w:b w:val="false"/>
          <w:bCs w:val="false"/>
          <w:i w:val="false"/>
          <w:iCs w:val="false"/>
          <w:color w:val="333333"/>
          <w:sz w:val="22"/>
          <w:szCs w:val="22"/>
        </w:rPr>
        <w:t xml:space="preserve">The FSC AI Guidance (2025) establishes 7 principles. Below is the gap analysis and implementation plan for each:</w:t>
      </w:r>
    </w:p>
    <w:p>
      <w:pPr>
        <w:spacing w:after="80"/>
      </w:pPr>
    </w:p>
    <w:p>
      <w:pPr>
        <w:pStyle w:val="Heading3"/>
        <w:spacing w:after="120" w:before="240"/>
      </w:pPr>
      <w:r>
        <w:rPr>
          <w:rFonts w:ascii="Arial" w:cs="Arial" w:eastAsia="Arial" w:hAnsi="Arial"/>
        </w:rPr>
        <w:t xml:space="preserve">B.1.1 Principle 1: Accountability &amp; Governance</w:t>
      </w:r>
    </w:p>
    <w:p>
      <w:pPr>
        <w:spacing w:after="120"/>
      </w:pPr>
      <w:r>
        <w:rPr>
          <w:rFonts w:ascii="Arial" w:cs="Arial" w:eastAsia="Arial" w:hAnsi="Arial"/>
          <w:b w:val="false"/>
          <w:bCs w:val="false"/>
          <w:i w:val="false"/>
          <w:iCs w:val="false"/>
          <w:color w:val="333333"/>
          <w:sz w:val="22"/>
          <w:szCs w:val="22"/>
        </w:rPr>
        <w:t xml:space="preserve">Current State: Onboarda has a 4-layer architecture (Rule Engine, Memo Generation, Validation, Supervisor) with full audit logging. However, there is no formal AI Governance Policy document or designated AI Risk Owner.</w:t>
      </w:r>
    </w:p>
    <w:p>
      <w:pPr>
        <w:spacing w:after="120"/>
      </w:pPr>
      <w:r>
        <w:rPr>
          <w:rFonts w:ascii="Arial" w:cs="Arial" w:eastAsia="Arial" w:hAnsi="Arial"/>
          <w:b/>
          <w:bCs/>
          <w:i w:val="false"/>
          <w:iCs w:val="false"/>
          <w:color w:val="333333"/>
          <w:sz w:val="22"/>
          <w:szCs w:val="22"/>
        </w:rPr>
        <w:t xml:space="preserve">Required Changes:</w:t>
      </w:r>
    </w:p>
    <w:p>
      <w:pPr>
        <w:pStyle w:val="ListParagraph"/>
        <w:numPr>
          <w:ilvl w:val="0"/>
          <w:numId w:val="2"/>
        </w:numPr>
        <w:spacing w:after="60"/>
      </w:pPr>
      <w:r>
        <w:rPr>
          <w:rFonts w:ascii="Arial" w:cs="Arial" w:eastAsia="Arial" w:hAnsi="Arial"/>
          <w:sz w:val="22"/>
          <w:szCs w:val="22"/>
        </w:rPr>
        <w:t xml:space="preserve">Backend: Add GET /api/ai/governance endpoint returning current governance configuration, model inventory, and audit trail summary</w:t>
      </w:r>
    </w:p>
    <w:p>
      <w:pPr>
        <w:pStyle w:val="ListParagraph"/>
        <w:numPr>
          <w:ilvl w:val="0"/>
          <w:numId w:val="2"/>
        </w:numPr>
        <w:spacing w:after="60"/>
      </w:pPr>
      <w:r>
        <w:rPr>
          <w:rFonts w:ascii="Arial" w:cs="Arial" w:eastAsia="Arial" w:hAnsi="Arial"/>
          <w:sz w:val="22"/>
          <w:szCs w:val="22"/>
        </w:rPr>
        <w:t xml:space="preserve">Backend: Add ai_governance_config table storing model versions, validation schedules, risk owner assignments</w:t>
      </w:r>
    </w:p>
    <w:p>
      <w:pPr>
        <w:pStyle w:val="ListParagraph"/>
        <w:numPr>
          <w:ilvl w:val="0"/>
          <w:numId w:val="2"/>
        </w:numPr>
        <w:spacing w:after="60"/>
      </w:pPr>
      <w:r>
        <w:rPr>
          <w:rFonts w:ascii="Arial" w:cs="Arial" w:eastAsia="Arial" w:hAnsi="Arial"/>
          <w:sz w:val="22"/>
          <w:szCs w:val="22"/>
        </w:rPr>
        <w:t xml:space="preserve">Documentation: Draft AI Governance Policy (board-approved) covering model inventory, validation cadence, escalation procedures, human override protocols</w:t>
      </w:r>
    </w:p>
    <w:p>
      <w:pPr>
        <w:pStyle w:val="ListParagraph"/>
        <w:numPr>
          <w:ilvl w:val="0"/>
          <w:numId w:val="2"/>
        </w:numPr>
        <w:spacing w:after="60"/>
      </w:pPr>
      <w:r>
        <w:rPr>
          <w:rFonts w:ascii="Arial" w:cs="Arial" w:eastAsia="Arial" w:hAnsi="Arial"/>
          <w:sz w:val="22"/>
          <w:szCs w:val="22"/>
        </w:rPr>
        <w:t xml:space="preserve">UI: Add AI Governance dashboard panel in backoffice showing model version, last validation date, governance status</w:t>
      </w:r>
    </w:p>
    <w:p>
      <w:pPr>
        <w:spacing w:after="80"/>
      </w:pPr>
    </w:p>
    <w:p>
      <w:pPr>
        <w:pStyle w:val="Heading3"/>
        <w:spacing w:after="120" w:before="240"/>
      </w:pPr>
      <w:r>
        <w:rPr>
          <w:rFonts w:ascii="Arial" w:cs="Arial" w:eastAsia="Arial" w:hAnsi="Arial"/>
        </w:rPr>
        <w:t xml:space="preserve">B.1.2 Principle 2: Transparency &amp; Explainability</w:t>
      </w:r>
    </w:p>
    <w:p>
      <w:pPr>
        <w:spacing w:after="120"/>
      </w:pPr>
      <w:r>
        <w:rPr>
          <w:rFonts w:ascii="Arial" w:cs="Arial" w:eastAsia="Arial" w:hAnsi="Arial"/>
          <w:b w:val="false"/>
          <w:bCs w:val="false"/>
          <w:i w:val="false"/>
          <w:iCs w:val="false"/>
          <w:color w:val="333333"/>
          <w:sz w:val="22"/>
          <w:szCs w:val="22"/>
        </w:rPr>
        <w:t xml:space="preserve">Current State: STRONG. The AI Explainability Layer in compliance memos provides structured risk-increasing/risk-decreasing factors with weights, model confidence scores, and decision pathways. The 4-layer architecture provides full traceability.</w:t>
      </w:r>
    </w:p>
    <w:p>
      <w:pPr>
        <w:spacing w:after="120"/>
      </w:pPr>
      <w:r>
        <w:rPr>
          <w:rFonts w:ascii="Arial" w:cs="Arial" w:eastAsia="Arial" w:hAnsi="Arial"/>
          <w:b/>
          <w:bCs/>
          <w:i w:val="false"/>
          <w:iCs w:val="false"/>
          <w:color w:val="333333"/>
          <w:sz w:val="22"/>
          <w:szCs w:val="22"/>
        </w:rPr>
        <w:t xml:space="preserve">Required Changes:</w:t>
      </w:r>
    </w:p>
    <w:p>
      <w:pPr>
        <w:pStyle w:val="ListParagraph"/>
        <w:numPr>
          <w:ilvl w:val="0"/>
          <w:numId w:val="2"/>
        </w:numPr>
        <w:spacing w:after="60"/>
      </w:pPr>
      <w:r>
        <w:rPr>
          <w:rFonts w:ascii="Arial" w:cs="Arial" w:eastAsia="Arial" w:hAnsi="Arial"/>
          <w:sz w:val="22"/>
          <w:szCs w:val="22"/>
        </w:rPr>
        <w:t xml:space="preserve">Add client-facing explainability summary: a simplified version of the AI Explainability Layer that can be shared with applicants explaining why their application was approved, conditionally approved, or escalated</w:t>
      </w:r>
    </w:p>
    <w:p>
      <w:pPr>
        <w:pStyle w:val="ListParagraph"/>
        <w:numPr>
          <w:ilvl w:val="0"/>
          <w:numId w:val="2"/>
        </w:numPr>
        <w:spacing w:after="60"/>
      </w:pPr>
      <w:r>
        <w:rPr>
          <w:rFonts w:ascii="Arial" w:cs="Arial" w:eastAsia="Arial" w:hAnsi="Arial"/>
          <w:sz w:val="22"/>
          <w:szCs w:val="22"/>
        </w:rPr>
        <w:t xml:space="preserve">Add model card documentation for the Claude integration describing capabilities, limitations, known failure modes, and confidence calibration</w:t>
      </w:r>
    </w:p>
    <w:p>
      <w:pPr>
        <w:spacing w:after="80"/>
      </w:pPr>
    </w:p>
    <w:p>
      <w:pPr>
        <w:pStyle w:val="Heading3"/>
        <w:spacing w:after="120" w:before="240"/>
      </w:pPr>
      <w:r>
        <w:rPr>
          <w:rFonts w:ascii="Arial" w:cs="Arial" w:eastAsia="Arial" w:hAnsi="Arial"/>
        </w:rPr>
        <w:t xml:space="preserve">B.1.3 Principle 3: Fairness &amp; Non-Discrimination</w:t>
      </w:r>
    </w:p>
    <w:p>
      <w:pPr>
        <w:spacing w:after="120"/>
      </w:pPr>
      <w:r>
        <w:rPr>
          <w:rFonts w:ascii="Arial" w:cs="Arial" w:eastAsia="Arial" w:hAnsi="Arial"/>
          <w:b w:val="false"/>
          <w:bCs w:val="false"/>
          <w:i w:val="false"/>
          <w:iCs w:val="false"/>
          <w:color w:val="333333"/>
          <w:sz w:val="22"/>
          <w:szCs w:val="22"/>
        </w:rPr>
        <w:t xml:space="preserve">Current State: GAP. No bias monitoring exists. The platform does not track approval/rejection rates by jurisdiction, nationality, sector, or entity type. No fairness metrics are computed or reported.</w:t>
      </w:r>
    </w:p>
    <w:p>
      <w:pPr>
        <w:spacing w:after="120"/>
      </w:pPr>
      <w:r>
        <w:rPr>
          <w:rFonts w:ascii="Arial" w:cs="Arial" w:eastAsia="Arial" w:hAnsi="Arial"/>
          <w:b/>
          <w:bCs/>
          <w:i w:val="false"/>
          <w:iCs w:val="false"/>
          <w:color w:val="333333"/>
          <w:sz w:val="22"/>
          <w:szCs w:val="22"/>
        </w:rPr>
        <w:t xml:space="preserve">Required Changes:</w:t>
      </w:r>
    </w:p>
    <w:p>
      <w:pPr>
        <w:pStyle w:val="ListParagraph"/>
        <w:numPr>
          <w:ilvl w:val="0"/>
          <w:numId w:val="2"/>
        </w:numPr>
        <w:spacing w:after="60"/>
      </w:pPr>
      <w:r>
        <w:rPr>
          <w:rFonts w:ascii="Arial" w:cs="Arial" w:eastAsia="Arial" w:hAnsi="Arial"/>
          <w:sz w:val="22"/>
          <w:szCs w:val="22"/>
        </w:rPr>
        <w:t xml:space="preserve">Backend: Create bias_metrics table tracking approval_rate, average_risk_score, average_confidence by jurisdiction, sector, entity_type, nationality (aggregated, never individual)</w:t>
      </w:r>
    </w:p>
    <w:p>
      <w:pPr>
        <w:pStyle w:val="ListParagraph"/>
        <w:numPr>
          <w:ilvl w:val="0"/>
          <w:numId w:val="2"/>
        </w:numPr>
        <w:spacing w:after="60"/>
      </w:pPr>
      <w:r>
        <w:rPr>
          <w:rFonts w:ascii="Arial" w:cs="Arial" w:eastAsia="Arial" w:hAnsi="Arial"/>
          <w:sz w:val="22"/>
          <w:szCs w:val="22"/>
        </w:rPr>
        <w:t xml:space="preserve">Backend: Add POST /api/bias/compute endpoint triggered weekly via scheduled task, computing approval disparity ratios</w:t>
      </w:r>
    </w:p>
    <w:p>
      <w:pPr>
        <w:pStyle w:val="ListParagraph"/>
        <w:numPr>
          <w:ilvl w:val="0"/>
          <w:numId w:val="2"/>
        </w:numPr>
        <w:spacing w:after="60"/>
      </w:pPr>
      <w:r>
        <w:rPr>
          <w:rFonts w:ascii="Arial" w:cs="Arial" w:eastAsia="Arial" w:hAnsi="Arial"/>
          <w:sz w:val="22"/>
          <w:szCs w:val="22"/>
        </w:rPr>
        <w:t xml:space="preserve">Backend: Add GET /api/bias/dashboard endpoint returning bias metrics with alerts for statistical outliers (&gt;2 standard deviations from mean)</w:t>
      </w:r>
    </w:p>
    <w:p>
      <w:pPr>
        <w:pStyle w:val="ListParagraph"/>
        <w:numPr>
          <w:ilvl w:val="0"/>
          <w:numId w:val="2"/>
        </w:numPr>
        <w:spacing w:after="60"/>
      </w:pPr>
      <w:r>
        <w:rPr>
          <w:rFonts w:ascii="Arial" w:cs="Arial" w:eastAsia="Arial" w:hAnsi="Arial"/>
          <w:sz w:val="22"/>
          <w:szCs w:val="22"/>
        </w:rPr>
        <w:t xml:space="preserve">UI: Build Bias Monitoring dashboard with charts showing approval rates by jurisdiction, sector, entity type; flag disparities exceeding threshold</w:t>
      </w:r>
    </w:p>
    <w:p>
      <w:pPr>
        <w:pStyle w:val="ListParagraph"/>
        <w:numPr>
          <w:ilvl w:val="0"/>
          <w:numId w:val="2"/>
        </w:numPr>
        <w:spacing w:after="60"/>
      </w:pPr>
      <w:r>
        <w:rPr>
          <w:rFonts w:ascii="Arial" w:cs="Arial" w:eastAsia="Arial" w:hAnsi="Arial"/>
          <w:sz w:val="22"/>
          <w:szCs w:val="22"/>
        </w:rPr>
        <w:t xml:space="preserve">Governance: Define fairness thresholds (e.g., approval rate variance &lt; 15% across comparable risk profiles), escalation process when thresholds breached</w:t>
      </w:r>
    </w:p>
    <w:p>
      <w:pPr>
        <w:spacing w:after="80"/>
      </w:pPr>
    </w:p>
    <w:p>
      <w:pPr>
        <w:pStyle w:val="Heading3"/>
        <w:spacing w:after="120" w:before="240"/>
      </w:pPr>
      <w:r>
        <w:rPr>
          <w:rFonts w:ascii="Arial" w:cs="Arial" w:eastAsia="Arial" w:hAnsi="Arial"/>
        </w:rPr>
        <w:t xml:space="preserve">B.1.4 Principle 4: Reliability &amp; Robustness</w:t>
      </w:r>
    </w:p>
    <w:p>
      <w:pPr>
        <w:spacing w:after="120"/>
      </w:pPr>
      <w:r>
        <w:rPr>
          <w:rFonts w:ascii="Arial" w:cs="Arial" w:eastAsia="Arial" w:hAnsi="Arial"/>
          <w:b w:val="false"/>
          <w:bCs w:val="false"/>
          <w:i w:val="false"/>
          <w:iCs w:val="false"/>
          <w:color w:val="333333"/>
          <w:sz w:val="22"/>
          <w:szCs w:val="22"/>
        </w:rPr>
        <w:t xml:space="preserve">Current State: STRONG. The Rule Engine enforces deterministic constraints before AI generation. Validation Engine (15 rules) audits post-generation. Supervisor acts as true control layer with blocking capability. All layers are independent.</w:t>
      </w:r>
    </w:p>
    <w:p>
      <w:pPr>
        <w:spacing w:after="120"/>
      </w:pPr>
      <w:r>
        <w:rPr>
          <w:rFonts w:ascii="Arial" w:cs="Arial" w:eastAsia="Arial" w:hAnsi="Arial"/>
          <w:b/>
          <w:bCs/>
          <w:i w:val="false"/>
          <w:iCs w:val="false"/>
          <w:color w:val="333333"/>
          <w:sz w:val="22"/>
          <w:szCs w:val="22"/>
        </w:rPr>
        <w:t xml:space="preserve">Required Changes:</w:t>
      </w:r>
    </w:p>
    <w:p>
      <w:pPr>
        <w:pStyle w:val="ListParagraph"/>
        <w:numPr>
          <w:ilvl w:val="0"/>
          <w:numId w:val="2"/>
        </w:numPr>
        <w:spacing w:after="60"/>
      </w:pPr>
      <w:r>
        <w:rPr>
          <w:rFonts w:ascii="Arial" w:cs="Arial" w:eastAsia="Arial" w:hAnsi="Arial"/>
          <w:sz w:val="22"/>
          <w:szCs w:val="22"/>
        </w:rPr>
        <w:t xml:space="preserve">Implement adversarial testing: create test harness that submits deliberately adversarial inputs (prompt injection, contradictory data, extreme edge cases) and validates the Rule Engine catches them</w:t>
      </w:r>
    </w:p>
    <w:p>
      <w:pPr>
        <w:pStyle w:val="ListParagraph"/>
        <w:numPr>
          <w:ilvl w:val="0"/>
          <w:numId w:val="2"/>
        </w:numPr>
        <w:spacing w:after="60"/>
      </w:pPr>
      <w:r>
        <w:rPr>
          <w:rFonts w:ascii="Arial" w:cs="Arial" w:eastAsia="Arial" w:hAnsi="Arial"/>
          <w:sz w:val="22"/>
          <w:szCs w:val="22"/>
        </w:rPr>
        <w:t xml:space="preserve">Add model performance monitoring: track memo quality scores over time, detect degradation trends, alert when average quality drops below 7.0/10</w:t>
      </w:r>
    </w:p>
    <w:p>
      <w:pPr>
        <w:pStyle w:val="ListParagraph"/>
        <w:numPr>
          <w:ilvl w:val="0"/>
          <w:numId w:val="2"/>
        </w:numPr>
        <w:spacing w:after="60"/>
      </w:pPr>
      <w:r>
        <w:rPr>
          <w:rFonts w:ascii="Arial" w:cs="Arial" w:eastAsia="Arial" w:hAnsi="Arial"/>
          <w:sz w:val="22"/>
          <w:szCs w:val="22"/>
        </w:rPr>
        <w:t xml:space="preserve">Implement Claude API health monitoring with automatic fallback to deterministic-only mode</w:t>
      </w:r>
    </w:p>
    <w:p>
      <w:pPr>
        <w:spacing w:after="80"/>
      </w:pPr>
    </w:p>
    <w:p>
      <w:pPr>
        <w:pStyle w:val="Heading3"/>
        <w:spacing w:after="120" w:before="240"/>
      </w:pPr>
      <w:r>
        <w:rPr>
          <w:rFonts w:ascii="Arial" w:cs="Arial" w:eastAsia="Arial" w:hAnsi="Arial"/>
        </w:rPr>
        <w:t xml:space="preserve">B.1.5 Principle 5: Data Governance</w:t>
      </w:r>
    </w:p>
    <w:p>
      <w:pPr>
        <w:spacing w:after="120"/>
      </w:pPr>
      <w:r>
        <w:rPr>
          <w:rFonts w:ascii="Arial" w:cs="Arial" w:eastAsia="Arial" w:hAnsi="Arial"/>
          <w:b w:val="false"/>
          <w:bCs w:val="false"/>
          <w:i w:val="false"/>
          <w:iCs w:val="false"/>
          <w:color w:val="333333"/>
          <w:sz w:val="22"/>
          <w:szCs w:val="22"/>
        </w:rPr>
        <w:t xml:space="preserve">Current State: PARTIAL. Fernet PII encryption at rest, SHA-256 hash-chained audit logging, and RBAC are implemented. However, no formal data retention policy, no data minimisation assessment for Claude prompts, and no data lineage tracking.</w:t>
      </w:r>
    </w:p>
    <w:p>
      <w:pPr>
        <w:spacing w:after="120"/>
      </w:pPr>
      <w:r>
        <w:rPr>
          <w:rFonts w:ascii="Arial" w:cs="Arial" w:eastAsia="Arial" w:hAnsi="Arial"/>
          <w:b/>
          <w:bCs/>
          <w:i w:val="false"/>
          <w:iCs w:val="false"/>
          <w:color w:val="333333"/>
          <w:sz w:val="22"/>
          <w:szCs w:val="22"/>
        </w:rPr>
        <w:t xml:space="preserve">Required Changes:</w:t>
      </w:r>
    </w:p>
    <w:p>
      <w:pPr>
        <w:pStyle w:val="ListParagraph"/>
        <w:numPr>
          <w:ilvl w:val="0"/>
          <w:numId w:val="2"/>
        </w:numPr>
        <w:spacing w:after="60"/>
      </w:pPr>
      <w:r>
        <w:rPr>
          <w:rFonts w:ascii="Arial" w:cs="Arial" w:eastAsia="Arial" w:hAnsi="Arial"/>
          <w:sz w:val="22"/>
          <w:szCs w:val="22"/>
        </w:rPr>
        <w:t xml:space="preserve">Implement data retention engine: automated purge/archive of PII data after configurable retention period (default: 7 years for compliance, as per FSC requirements)</w:t>
      </w:r>
    </w:p>
    <w:p>
      <w:pPr>
        <w:pStyle w:val="ListParagraph"/>
        <w:numPr>
          <w:ilvl w:val="0"/>
          <w:numId w:val="2"/>
        </w:numPr>
        <w:spacing w:after="60"/>
      </w:pPr>
      <w:r>
        <w:rPr>
          <w:rFonts w:ascii="Arial" w:cs="Arial" w:eastAsia="Arial" w:hAnsi="Arial"/>
          <w:sz w:val="22"/>
          <w:szCs w:val="22"/>
        </w:rPr>
        <w:t xml:space="preserve">Add data lineage tracking: record which data fields were sent to Claude, what was returned, and what was discarded</w:t>
      </w:r>
    </w:p>
    <w:p>
      <w:pPr>
        <w:pStyle w:val="ListParagraph"/>
        <w:numPr>
          <w:ilvl w:val="0"/>
          <w:numId w:val="2"/>
        </w:numPr>
        <w:spacing w:after="60"/>
      </w:pPr>
      <w:r>
        <w:rPr>
          <w:rFonts w:ascii="Arial" w:cs="Arial" w:eastAsia="Arial" w:hAnsi="Arial"/>
          <w:sz w:val="22"/>
          <w:szCs w:val="22"/>
        </w:rPr>
        <w:t xml:space="preserve">Implement pseudonymisation for Claude prompts: replace real names with identifiers, replace exact dates with relative periods, mask BRN/passport numbers</w:t>
      </w:r>
    </w:p>
    <w:p>
      <w:pPr>
        <w:pStyle w:val="ListParagraph"/>
        <w:numPr>
          <w:ilvl w:val="0"/>
          <w:numId w:val="2"/>
        </w:numPr>
        <w:spacing w:after="60"/>
      </w:pPr>
      <w:r>
        <w:rPr>
          <w:rFonts w:ascii="Arial" w:cs="Arial" w:eastAsia="Arial" w:hAnsi="Arial"/>
          <w:sz w:val="22"/>
          <w:szCs w:val="22"/>
        </w:rPr>
        <w:t xml:space="preserve">Add data_lineage table: prompt_hash, fields_sent, fields_returned, model_version, timestamp</w:t>
      </w:r>
    </w:p>
    <w:p>
      <w:pPr>
        <w:spacing w:after="80"/>
      </w:pPr>
    </w:p>
    <w:p>
      <w:pPr>
        <w:pStyle w:val="Heading3"/>
        <w:spacing w:after="120" w:before="240"/>
      </w:pPr>
      <w:r>
        <w:rPr>
          <w:rFonts w:ascii="Arial" w:cs="Arial" w:eastAsia="Arial" w:hAnsi="Arial"/>
        </w:rPr>
        <w:t xml:space="preserve">B.1.6 Principle 6: Third-Party Risk Management</w:t>
      </w:r>
    </w:p>
    <w:p>
      <w:pPr>
        <w:spacing w:after="120"/>
      </w:pPr>
      <w:r>
        <w:rPr>
          <w:rFonts w:ascii="Arial" w:cs="Arial" w:eastAsia="Arial" w:hAnsi="Arial"/>
          <w:b w:val="false"/>
          <w:bCs w:val="false"/>
          <w:i w:val="false"/>
          <w:iCs w:val="false"/>
          <w:color w:val="333333"/>
          <w:sz w:val="22"/>
          <w:szCs w:val="22"/>
        </w:rPr>
        <w:t xml:space="preserve">Current State: GAP. No formal vendor risk assessment, no DPA with Anthropic, no documented fallback strategy. See Section A.5 for critical requirements.</w:t>
      </w:r>
    </w:p>
    <w:p>
      <w:pPr>
        <w:spacing w:after="80"/>
      </w:pPr>
    </w:p>
    <w:p>
      <w:pPr>
        <w:pStyle w:val="Heading3"/>
        <w:spacing w:after="120" w:before="240"/>
      </w:pPr>
      <w:r>
        <w:rPr>
          <w:rFonts w:ascii="Arial" w:cs="Arial" w:eastAsia="Arial" w:hAnsi="Arial"/>
        </w:rPr>
        <w:t xml:space="preserve">B.1.7 Principle 7: Human Oversight</w:t>
      </w:r>
    </w:p>
    <w:p>
      <w:pPr>
        <w:spacing w:after="120"/>
      </w:pPr>
      <w:r>
        <w:rPr>
          <w:rFonts w:ascii="Arial" w:cs="Arial" w:eastAsia="Arial" w:hAnsi="Arial"/>
          <w:b w:val="false"/>
          <w:bCs w:val="false"/>
          <w:i w:val="false"/>
          <w:iCs w:val="false"/>
          <w:color w:val="333333"/>
          <w:sz w:val="22"/>
          <w:szCs w:val="22"/>
        </w:rPr>
        <w:t xml:space="preserve">Current State: STRONG. The Supervisor layer requires human approval before any compliance memo is finalised. INCONSISTENT verdicts block approval entirely. Senior Compliance Officer review is mandatory for HIGH-risk cases. All decisions are audited.</w:t>
      </w:r>
    </w:p>
    <w:p>
      <w:pPr>
        <w:spacing w:after="120"/>
      </w:pPr>
      <w:r>
        <w:rPr>
          <w:rFonts w:ascii="Arial" w:cs="Arial" w:eastAsia="Arial" w:hAnsi="Arial"/>
          <w:b/>
          <w:bCs/>
          <w:i w:val="false"/>
          <w:iCs w:val="false"/>
          <w:color w:val="333333"/>
          <w:sz w:val="22"/>
          <w:szCs w:val="22"/>
        </w:rPr>
        <w:t xml:space="preserve">Required Changes:</w:t>
      </w:r>
    </w:p>
    <w:p>
      <w:pPr>
        <w:pStyle w:val="ListParagraph"/>
        <w:numPr>
          <w:ilvl w:val="0"/>
          <w:numId w:val="2"/>
        </w:numPr>
        <w:spacing w:after="60"/>
      </w:pPr>
      <w:r>
        <w:rPr>
          <w:rFonts w:ascii="Arial" w:cs="Arial" w:eastAsia="Arial" w:hAnsi="Arial"/>
          <w:sz w:val="22"/>
          <w:szCs w:val="22"/>
        </w:rPr>
        <w:t xml:space="preserve">Add formal human-in-the-loop documentation: record who reviewed, when, what was the basis for their decision, any overrides of AI recommendation</w:t>
      </w:r>
    </w:p>
    <w:p>
      <w:pPr>
        <w:pStyle w:val="ListParagraph"/>
        <w:numPr>
          <w:ilvl w:val="0"/>
          <w:numId w:val="2"/>
        </w:numPr>
        <w:spacing w:after="60"/>
      </w:pPr>
      <w:r>
        <w:rPr>
          <w:rFonts w:ascii="Arial" w:cs="Arial" w:eastAsia="Arial" w:hAnsi="Arial"/>
          <w:sz w:val="22"/>
          <w:szCs w:val="22"/>
        </w:rPr>
        <w:t xml:space="preserve">Add override audit: when a human overrides the AI recommendation (e.g., approves when AI recommends REVIEW), require written justification stored in audit_log</w:t>
      </w:r>
    </w:p>
    <w:p>
      <w:pPr>
        <w:pStyle w:val="ListParagraph"/>
        <w:numPr>
          <w:ilvl w:val="0"/>
          <w:numId w:val="2"/>
        </w:numPr>
        <w:spacing w:after="60"/>
      </w:pPr>
      <w:r>
        <w:rPr>
          <w:rFonts w:ascii="Arial" w:cs="Arial" w:eastAsia="Arial" w:hAnsi="Arial"/>
          <w:sz w:val="22"/>
          <w:szCs w:val="22"/>
        </w:rPr>
        <w:t xml:space="preserve">UI: Add override justification dialog that appears when compliance officer changes AI recommendation</w:t>
      </w:r>
    </w:p>
    <w:p>
      <w:r>
        <w:br w:type="page"/>
      </w:r>
    </w:p>
    <w:p>
      <w:pPr>
        <w:pStyle w:val="Heading2"/>
        <w:spacing w:after="120" w:before="240"/>
      </w:pPr>
      <w:r>
        <w:rPr>
          <w:rFonts w:ascii="Arial" w:cs="Arial" w:eastAsia="Arial" w:hAnsi="Arial"/>
        </w:rPr>
        <w:t xml:space="preserve">B.2 Data Protection Act 2017 Compliance</w:t>
      </w:r>
    </w:p>
    <w:p>
      <w:pPr>
        <w:pStyle w:val="Heading3"/>
        <w:spacing w:after="120" w:before="240"/>
      </w:pPr>
      <w:r>
        <w:rPr>
          <w:rFonts w:ascii="Arial" w:cs="Arial" w:eastAsia="Arial" w:hAnsi="Arial"/>
        </w:rPr>
        <w:t xml:space="preserve">B.2.a Data Subject Rights Module</w:t>
      </w:r>
    </w:p>
    <w:p>
      <w:pPr>
        <w:spacing w:after="120"/>
      </w:pPr>
      <w:r>
        <w:rPr>
          <w:rFonts w:ascii="Arial" w:cs="Arial" w:eastAsia="Arial" w:hAnsi="Arial"/>
          <w:b/>
          <w:bCs/>
          <w:i w:val="false"/>
          <w:iCs w:val="false"/>
          <w:color w:val="333333"/>
          <w:sz w:val="22"/>
          <w:szCs w:val="22"/>
        </w:rPr>
        <w:t xml:space="preserve">API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/api/dsr/access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Submit data subject access request. Returns all PII held for the data subject in JSON format within 30 days.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/api/dsr/erasure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Submit right to erasure request. Soft-deletes PII, anonymises records, retains audit trail skeleton. Exemption: data required for legal/regulatory obligations retained with justification.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/api/dsr/export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portability endpoint. Exports all data subject's data in machine-readable JSON or CSV format.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/api/dsr/rectify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Submit rectification request with corrected data. Requires verification before update.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/api/dsr/object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Object to automated decision-making (S.30). Triggers mandatory human review of any AI-generated compliance decision for this data subject.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/api/dsr/status/:id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 status of a DSR request (pending, in_progress, completed, rejected_with_reason).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/api/consent/grant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Record explicit consent for specified processing purposes.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/api/consent/withdraw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Withdraw previously granted consent. Triggers reassessment of lawful basis for continued processing.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/api/consent/:subject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View all consent records for a data subject with timestamps and purposes.</w:t>
            </w:r>
          </w:p>
        </w:tc>
      </w:tr>
    </w:tbl>
    <w:p>
      <w:pPr>
        <w:spacing w:after="80"/>
      </w:pPr>
    </w:p>
    <w:p>
      <w:pPr>
        <w:spacing w:after="120"/>
      </w:pPr>
      <w:r>
        <w:rPr>
          <w:rFonts w:ascii="Arial" w:cs="Arial" w:eastAsia="Arial" w:hAnsi="Arial"/>
          <w:b/>
          <w:bCs/>
          <w:i w:val="false"/>
          <w:iCs w:val="false"/>
          <w:color w:val="333333"/>
          <w:sz w:val="22"/>
          <w:szCs w:val="22"/>
        </w:rPr>
        <w:t xml:space="preserve">Database Changes (data_subject_requests table):</w:t>
      </w:r>
    </w:p>
    <w:p>
      <w:pPr>
        <w:pStyle w:val="ListParagraph"/>
        <w:numPr>
          <w:ilvl w:val="0"/>
          <w:numId w:val="2"/>
        </w:numPr>
        <w:spacing w:after="60"/>
      </w:pPr>
      <w:r>
        <w:rPr>
          <w:rFonts w:ascii="Arial" w:cs="Arial" w:eastAsia="Arial" w:hAnsi="Arial"/>
          <w:sz w:val="22"/>
          <w:szCs w:val="22"/>
        </w:rPr>
        <w:t xml:space="preserve">id, request_type (access/erasure/export/rectify/object), subject_email, subject_name, status (pending/in_progress/completed/rejected), reason, requested_at, completed_at, completed_by, audit_hash</w:t>
      </w:r>
    </w:p>
    <w:p>
      <w:pPr>
        <w:spacing w:after="80"/>
      </w:pPr>
    </w:p>
    <w:p>
      <w:pPr>
        <w:spacing w:after="120"/>
      </w:pPr>
      <w:r>
        <w:rPr>
          <w:rFonts w:ascii="Arial" w:cs="Arial" w:eastAsia="Arial" w:hAnsi="Arial"/>
          <w:b/>
          <w:bCs/>
          <w:i w:val="false"/>
          <w:iCs w:val="false"/>
          <w:color w:val="333333"/>
          <w:sz w:val="22"/>
          <w:szCs w:val="22"/>
        </w:rPr>
        <w:t xml:space="preserve">Database Changes (consent_records table):</w:t>
      </w:r>
    </w:p>
    <w:p>
      <w:pPr>
        <w:pStyle w:val="ListParagraph"/>
        <w:numPr>
          <w:ilvl w:val="0"/>
          <w:numId w:val="2"/>
        </w:numPr>
        <w:spacing w:after="60"/>
      </w:pPr>
      <w:r>
        <w:rPr>
          <w:rFonts w:ascii="Arial" w:cs="Arial" w:eastAsia="Arial" w:hAnsi="Arial"/>
          <w:sz w:val="22"/>
          <w:szCs w:val="22"/>
        </w:rPr>
        <w:t xml:space="preserve">id, subject_email, subject_name, purpose (onboarding/screening/ai_processing/marketing), consent_given (boolean), given_at, withdrawn_at, lawful_basis, audit_hash</w:t>
      </w:r>
    </w:p>
    <w:p>
      <w:pPr>
        <w:spacing w:after="80"/>
      </w:pPr>
    </w:p>
    <w:p>
      <w:pPr>
        <w:pStyle w:val="Heading3"/>
        <w:spacing w:after="120" w:before="240"/>
      </w:pPr>
      <w:r>
        <w:rPr>
          <w:rFonts w:ascii="Arial" w:cs="Arial" w:eastAsia="Arial" w:hAnsi="Arial"/>
        </w:rPr>
        <w:t xml:space="preserve">B.2.b DPIA Implementation</w:t>
      </w:r>
    </w:p>
    <w:p>
      <w:pPr>
        <w:spacing w:after="120"/>
      </w:pPr>
      <w:r>
        <w:rPr>
          <w:rFonts w:ascii="Arial" w:cs="Arial" w:eastAsia="Arial" w:hAnsi="Arial"/>
          <w:b w:val="false"/>
          <w:bCs w:val="false"/>
          <w:i w:val="false"/>
          <w:iCs w:val="false"/>
          <w:color w:val="333333"/>
          <w:sz w:val="22"/>
          <w:szCs w:val="22"/>
        </w:rPr>
        <w:t xml:space="preserve">The DPIA must be structured as follows:</w:t>
      </w:r>
    </w:p>
    <w:p>
      <w:pPr>
        <w:pStyle w:val="ListParagraph"/>
        <w:numPr>
          <w:ilvl w:val="0"/>
          <w:numId w:val="3"/>
        </w:numPr>
        <w:spacing w:after="60"/>
      </w:pPr>
      <w:r>
        <w:rPr>
          <w:rFonts w:ascii="Arial" w:cs="Arial" w:eastAsia="Arial" w:hAnsi="Arial"/>
          <w:sz w:val="22"/>
          <w:szCs w:val="22"/>
        </w:rPr>
        <w:t xml:space="preserve">Processing Description: Systematic description of all personal data processing in Onboarda, including collection points, storage, AI processing, screening, and decision outputs</w:t>
      </w:r>
    </w:p>
    <w:p>
      <w:pPr>
        <w:pStyle w:val="ListParagraph"/>
        <w:numPr>
          <w:ilvl w:val="0"/>
          <w:numId w:val="3"/>
        </w:numPr>
        <w:spacing w:after="60"/>
      </w:pPr>
      <w:r>
        <w:rPr>
          <w:rFonts w:ascii="Arial" w:cs="Arial" w:eastAsia="Arial" w:hAnsi="Arial"/>
          <w:sz w:val="22"/>
          <w:szCs w:val="22"/>
        </w:rPr>
        <w:t xml:space="preserve">Necessity &amp; Proportionality: Assessment of why each processing activity is necessary for the stated purpose (AML/CFT compliance) and whether less intrusive alternatives exist</w:t>
      </w:r>
    </w:p>
    <w:p>
      <w:pPr>
        <w:pStyle w:val="ListParagraph"/>
        <w:numPr>
          <w:ilvl w:val="0"/>
          <w:numId w:val="3"/>
        </w:numPr>
        <w:spacing w:after="60"/>
      </w:pPr>
      <w:r>
        <w:rPr>
          <w:rFonts w:ascii="Arial" w:cs="Arial" w:eastAsia="Arial" w:hAnsi="Arial"/>
          <w:sz w:val="22"/>
          <w:szCs w:val="22"/>
        </w:rPr>
        <w:t xml:space="preserve">Risk Assessment: Identification of risks to data subjects (discrimination from AI scoring, data breach, unauthorized access, cross-border transfer risks, profiling) with likelihood and impact ratings</w:t>
      </w:r>
    </w:p>
    <w:p>
      <w:pPr>
        <w:pStyle w:val="ListParagraph"/>
        <w:numPr>
          <w:ilvl w:val="0"/>
          <w:numId w:val="3"/>
        </w:numPr>
        <w:spacing w:after="60"/>
      </w:pPr>
      <w:r>
        <w:rPr>
          <w:rFonts w:ascii="Arial" w:cs="Arial" w:eastAsia="Arial" w:hAnsi="Arial"/>
          <w:sz w:val="22"/>
          <w:szCs w:val="22"/>
        </w:rPr>
        <w:t xml:space="preserve">Mitigation Measures: Description of existing controls (Fernet encryption, RBAC, audit logging, Rule Engine, human oversight) and additional measures to be implemented</w:t>
      </w:r>
    </w:p>
    <w:p>
      <w:pPr>
        <w:pStyle w:val="ListParagraph"/>
        <w:numPr>
          <w:ilvl w:val="0"/>
          <w:numId w:val="3"/>
        </w:numPr>
        <w:spacing w:after="60"/>
      </w:pPr>
      <w:r>
        <w:rPr>
          <w:rFonts w:ascii="Arial" w:cs="Arial" w:eastAsia="Arial" w:hAnsi="Arial"/>
          <w:sz w:val="22"/>
          <w:szCs w:val="22"/>
        </w:rPr>
        <w:t xml:space="preserve">Consultation: Record of consultation with DPO and affected stakeholders</w:t>
      </w:r>
    </w:p>
    <w:p>
      <w:pPr>
        <w:pStyle w:val="ListParagraph"/>
        <w:numPr>
          <w:ilvl w:val="0"/>
          <w:numId w:val="3"/>
        </w:numPr>
        <w:spacing w:after="60"/>
      </w:pPr>
      <w:r>
        <w:rPr>
          <w:rFonts w:ascii="Arial" w:cs="Arial" w:eastAsia="Arial" w:hAnsi="Arial"/>
          <w:sz w:val="22"/>
          <w:szCs w:val="22"/>
        </w:rPr>
        <w:t xml:space="preserve">Approval: Sign-off by Data Protection Officer and senior management</w:t>
      </w:r>
    </w:p>
    <w:p>
      <w:pPr>
        <w:spacing w:after="80"/>
      </w:pPr>
    </w:p>
    <w:p>
      <w:pPr>
        <w:spacing w:after="120"/>
      </w:pPr>
      <w:r>
        <w:rPr>
          <w:rFonts w:ascii="Arial" w:cs="Arial" w:eastAsia="Arial" w:hAnsi="Arial"/>
          <w:b/>
          <w:bCs/>
          <w:i w:val="false"/>
          <w:iCs w:val="false"/>
          <w:color w:val="333333"/>
          <w:sz w:val="22"/>
          <w:szCs w:val="22"/>
        </w:rPr>
        <w:t xml:space="preserve">Integration into workflow:</w:t>
      </w:r>
    </w:p>
    <w:p>
      <w:pPr>
        <w:pStyle w:val="ListParagraph"/>
        <w:numPr>
          <w:ilvl w:val="0"/>
          <w:numId w:val="2"/>
        </w:numPr>
        <w:spacing w:after="60"/>
      </w:pPr>
      <w:r>
        <w:rPr>
          <w:rFonts w:ascii="Arial" w:cs="Arial" w:eastAsia="Arial" w:hAnsi="Arial"/>
          <w:sz w:val="22"/>
          <w:szCs w:val="22"/>
        </w:rPr>
        <w:t xml:space="preserve">Store DPIA as a versioned record in dpia_records table (id, version, document_data, status, approved_by, approved_at, next_review_date)</w:t>
      </w:r>
    </w:p>
    <w:p>
      <w:pPr>
        <w:pStyle w:val="ListParagraph"/>
        <w:numPr>
          <w:ilvl w:val="0"/>
          <w:numId w:val="2"/>
        </w:numPr>
        <w:spacing w:after="60"/>
      </w:pPr>
      <w:r>
        <w:rPr>
          <w:rFonts w:ascii="Arial" w:cs="Arial" w:eastAsia="Arial" w:hAnsi="Arial"/>
          <w:sz w:val="22"/>
          <w:szCs w:val="22"/>
        </w:rPr>
        <w:t xml:space="preserve">Trigger DPIA review when: new data processing activity added, Claude model version changes, new third-party integration added, annually as minimum</w:t>
      </w:r>
    </w:p>
    <w:p>
      <w:pPr>
        <w:pStyle w:val="ListParagraph"/>
        <w:numPr>
          <w:ilvl w:val="0"/>
          <w:numId w:val="2"/>
        </w:numPr>
        <w:spacing w:after="60"/>
      </w:pPr>
      <w:r>
        <w:rPr>
          <w:rFonts w:ascii="Arial" w:cs="Arial" w:eastAsia="Arial" w:hAnsi="Arial"/>
          <w:sz w:val="22"/>
          <w:szCs w:val="22"/>
        </w:rPr>
        <w:t xml:space="preserve">Add DPIA status to AI Governance dashboard</w:t>
      </w:r>
    </w:p>
    <w:p>
      <w:pPr>
        <w:spacing w:after="80"/>
      </w:pPr>
    </w:p>
    <w:p>
      <w:pPr>
        <w:pStyle w:val="Heading3"/>
        <w:spacing w:after="120" w:before="240"/>
      </w:pPr>
      <w:r>
        <w:rPr>
          <w:rFonts w:ascii="Arial" w:cs="Arial" w:eastAsia="Arial" w:hAnsi="Arial"/>
        </w:rPr>
        <w:t xml:space="preserve">B.2.c Data Minimisation for Claude Prompts</w:t>
      </w:r>
    </w:p>
    <w:p>
      <w:pPr>
        <w:spacing w:after="120"/>
      </w:pPr>
      <w:r>
        <w:rPr>
          <w:rFonts w:ascii="Arial" w:cs="Arial" w:eastAsia="Arial" w:hAnsi="Arial"/>
          <w:b w:val="false"/>
          <w:bCs w:val="false"/>
          <w:i w:val="false"/>
          <w:iCs w:val="false"/>
          <w:color w:val="333333"/>
          <w:sz w:val="22"/>
          <w:szCs w:val="22"/>
        </w:rPr>
        <w:t xml:space="preserve">Current issue: Claude prompts may contain full PII (names, dates, addresses, BRN numbers). This exceeds the minimum necessary for risk assessment.</w:t>
      </w:r>
    </w:p>
    <w:p>
      <w:pPr>
        <w:spacing w:after="120"/>
      </w:pPr>
      <w:r>
        <w:rPr>
          <w:rFonts w:ascii="Arial" w:cs="Arial" w:eastAsia="Arial" w:hAnsi="Arial"/>
          <w:b/>
          <w:bCs/>
          <w:i w:val="false"/>
          <w:iCs w:val="false"/>
          <w:color w:val="333333"/>
          <w:sz w:val="22"/>
          <w:szCs w:val="22"/>
        </w:rPr>
        <w:t xml:space="preserve">Pseudonymisation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351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351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Pseudonymised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Director/UBO Names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names sent in prompt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Replace with DIRECTOR_1, UBO_1, etc.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BRN/Registration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BRN in prompt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Replace with ENTITY_REF_001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Passport/ID Numbers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numbers if available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Omit entirely - not needed for risk assessment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Dates of Birth</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DOB</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Replace with age range (30-40, 40-50, etc.)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Addresses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address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Country/jurisdiction 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Bank Details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Account references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Omit - use summary (e.g., 'bank account verified')</w:t>
            </w:r>
          </w:p>
        </w:tc>
      </w:tr>
    </w:tbl>
    <w:p>
      <w:pPr>
        <w:spacing w:after="80"/>
      </w:pPr>
    </w:p>
    <w:p>
      <w:pPr>
        <w:spacing w:after="120"/>
      </w:pPr>
      <w:r>
        <w:rPr>
          <w:rFonts w:ascii="Arial" w:cs="Arial" w:eastAsia="Arial" w:hAnsi="Arial"/>
          <w:b w:val="false"/>
          <w:bCs w:val="false"/>
          <w:i w:val="false"/>
          <w:iCs w:val="false"/>
          <w:color w:val="333333"/>
          <w:sz w:val="22"/>
          <w:szCs w:val="22"/>
        </w:rPr>
        <w:t xml:space="preserve">Implementation: Add a prompt_sanitiser() function in server.py that applies pseudonymisation before sending to Claude. Store mapping table locally (never sent to Claude) for de-pseudonymisation of response.</w:t>
      </w:r>
    </w:p>
    <w:p>
      <w:r>
        <w:br w:type="page"/>
      </w:r>
    </w:p>
    <w:p>
      <w:pPr>
        <w:pStyle w:val="Heading2"/>
        <w:spacing w:after="120" w:before="240"/>
      </w:pPr>
      <w:r>
        <w:rPr>
          <w:rFonts w:ascii="Arial" w:cs="Arial" w:eastAsia="Arial" w:hAnsi="Arial"/>
        </w:rPr>
        <w:t xml:space="preserve">B.3 Cybersecurity Act 2021 Compliance</w:t>
      </w:r>
    </w:p>
    <w:p>
      <w:pPr>
        <w:pStyle w:val="Heading3"/>
        <w:spacing w:after="120" w:before="240"/>
      </w:pPr>
      <w:r>
        <w:rPr>
          <w:rFonts w:ascii="Arial" w:cs="Arial" w:eastAsia="Arial" w:hAnsi="Arial"/>
        </w:rPr>
        <w:t xml:space="preserve">B.3.a Incident Response Plan (IRP)</w:t>
      </w:r>
    </w:p>
    <w:p>
      <w:pPr>
        <w:spacing w:after="120"/>
      </w:pPr>
      <w:r>
        <w:rPr>
          <w:rFonts w:ascii="Arial" w:cs="Arial" w:eastAsia="Arial" w:hAnsi="Arial"/>
          <w:b/>
          <w:bCs/>
          <w:i w:val="false"/>
          <w:iCs w:val="false"/>
          <w:color w:val="333333"/>
          <w:sz w:val="22"/>
          <w:szCs w:val="22"/>
        </w:rPr>
        <w:t xml:space="preserve">Incident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3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Example</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Response 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P1 - 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Active data breach, system compromise, ransomware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Unauthorized access to PII database, Claude API credentials leaked, audit log tampering 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Immediate (&lt; 1 hour). CERT-MU notification within 72 hours.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P2 - 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Attempted breach, vulnerability exploited, service degradation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Brute force attack on auth endpoints, SQL injection attempt, API rate limit exhaustion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4 hours. CERT-MU if data at risk.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P3 - 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Suspicious activity, policy violation, configuration error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Unusual API call patterns, failed login spike, misconfigured RBAC, prompt injection attempt caught by sanitiser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24 hours. Internal only.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P4 - 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Informational, minor policy deviation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Certificate renewal warning, dependency vulnerability advisory, minor UI bug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72 hours. Log and review.</w:t>
            </w:r>
          </w:p>
        </w:tc>
      </w:tr>
    </w:tbl>
    <w:p>
      <w:pPr>
        <w:spacing w:after="80"/>
      </w:pPr>
    </w:p>
    <w:p>
      <w:pPr>
        <w:spacing w:after="120"/>
      </w:pPr>
      <w:r>
        <w:rPr>
          <w:rFonts w:ascii="Arial" w:cs="Arial" w:eastAsia="Arial" w:hAnsi="Arial"/>
          <w:b/>
          <w:bCs/>
          <w:i w:val="false"/>
          <w:iCs w:val="false"/>
          <w:color w:val="333333"/>
          <w:sz w:val="22"/>
          <w:szCs w:val="22"/>
        </w:rPr>
        <w:t xml:space="preserve">IRP Workflow:</w:t>
      </w:r>
    </w:p>
    <w:p>
      <w:pPr>
        <w:pStyle w:val="ListParagraph"/>
        <w:numPr>
          <w:ilvl w:val="0"/>
          <w:numId w:val="4"/>
        </w:numPr>
        <w:spacing w:after="60"/>
      </w:pPr>
      <w:r>
        <w:rPr>
          <w:rFonts w:ascii="Arial" w:cs="Arial" w:eastAsia="Arial" w:hAnsi="Arial"/>
          <w:sz w:val="22"/>
          <w:szCs w:val="22"/>
        </w:rPr>
        <w:t xml:space="preserve">Detection: SIEM alerts, application logs, user reports, automated anomaly detection, Claude API monitoring</w:t>
      </w:r>
    </w:p>
    <w:p>
      <w:pPr>
        <w:pStyle w:val="ListParagraph"/>
        <w:numPr>
          <w:ilvl w:val="0"/>
          <w:numId w:val="4"/>
        </w:numPr>
        <w:spacing w:after="60"/>
      </w:pPr>
      <w:r>
        <w:rPr>
          <w:rFonts w:ascii="Arial" w:cs="Arial" w:eastAsia="Arial" w:hAnsi="Arial"/>
          <w:sz w:val="22"/>
          <w:szCs w:val="22"/>
        </w:rPr>
        <w:t xml:space="preserve">Classification: Assign severity (P1-P4) using matrix above. Automatic escalation for P1/P2.</w:t>
      </w:r>
    </w:p>
    <w:p>
      <w:pPr>
        <w:pStyle w:val="ListParagraph"/>
        <w:numPr>
          <w:ilvl w:val="0"/>
          <w:numId w:val="4"/>
        </w:numPr>
        <w:spacing w:after="60"/>
      </w:pPr>
      <w:r>
        <w:rPr>
          <w:rFonts w:ascii="Arial" w:cs="Arial" w:eastAsia="Arial" w:hAnsi="Arial"/>
          <w:sz w:val="22"/>
          <w:szCs w:val="22"/>
        </w:rPr>
        <w:t xml:space="preserve">Containment: Isolate affected systems, revoke compromised credentials, block attack vectors. For Claude API compromise: immediately rotate API keys, switch to deterministic-only mode.</w:t>
      </w:r>
    </w:p>
    <w:p>
      <w:pPr>
        <w:pStyle w:val="ListParagraph"/>
        <w:numPr>
          <w:ilvl w:val="0"/>
          <w:numId w:val="4"/>
        </w:numPr>
        <w:spacing w:after="60"/>
      </w:pPr>
      <w:r>
        <w:rPr>
          <w:rFonts w:ascii="Arial" w:cs="Arial" w:eastAsia="Arial" w:hAnsi="Arial"/>
          <w:sz w:val="22"/>
          <w:szCs w:val="22"/>
        </w:rPr>
        <w:t xml:space="preserve">Eradication: Remove root cause, patch vulnerabilities, update configurations.</w:t>
      </w:r>
    </w:p>
    <w:p>
      <w:pPr>
        <w:pStyle w:val="ListParagraph"/>
        <w:numPr>
          <w:ilvl w:val="0"/>
          <w:numId w:val="4"/>
        </w:numPr>
        <w:spacing w:after="60"/>
      </w:pPr>
      <w:r>
        <w:rPr>
          <w:rFonts w:ascii="Arial" w:cs="Arial" w:eastAsia="Arial" w:hAnsi="Arial"/>
          <w:sz w:val="22"/>
          <w:szCs w:val="22"/>
        </w:rPr>
        <w:t xml:space="preserve">Recovery: Restore services, verify integrity, monitor for recurrence.</w:t>
      </w:r>
    </w:p>
    <w:p>
      <w:pPr>
        <w:pStyle w:val="ListParagraph"/>
        <w:numPr>
          <w:ilvl w:val="0"/>
          <w:numId w:val="4"/>
        </w:numPr>
        <w:spacing w:after="60"/>
      </w:pPr>
      <w:r>
        <w:rPr>
          <w:rFonts w:ascii="Arial" w:cs="Arial" w:eastAsia="Arial" w:hAnsi="Arial"/>
          <w:sz w:val="22"/>
          <w:szCs w:val="22"/>
        </w:rPr>
        <w:t xml:space="preserve">Reporting: CERT-MU notification within 72 hours for P1/P2. DPO-MU notification for personal data breaches. FSC notification if affects regulated services.</w:t>
      </w:r>
    </w:p>
    <w:p>
      <w:pPr>
        <w:pStyle w:val="ListParagraph"/>
        <w:numPr>
          <w:ilvl w:val="0"/>
          <w:numId w:val="4"/>
        </w:numPr>
        <w:spacing w:after="60"/>
      </w:pPr>
      <w:r>
        <w:rPr>
          <w:rFonts w:ascii="Arial" w:cs="Arial" w:eastAsia="Arial" w:hAnsi="Arial"/>
          <w:sz w:val="22"/>
          <w:szCs w:val="22"/>
        </w:rPr>
        <w:t xml:space="preserve">Post-Incident: Root cause analysis, lessons learned, update IRP, brief stakeholders.</w:t>
      </w:r>
    </w:p>
    <w:p>
      <w:pPr>
        <w:spacing w:after="80"/>
      </w:pPr>
    </w:p>
    <w:p>
      <w:pPr>
        <w:pStyle w:val="Heading3"/>
        <w:spacing w:after="120" w:before="240"/>
      </w:pPr>
      <w:r>
        <w:rPr>
          <w:rFonts w:ascii="Arial" w:cs="Arial" w:eastAsia="Arial" w:hAnsi="Arial"/>
        </w:rPr>
        <w:t xml:space="preserve">B.3.b Security Enhancements</w:t>
      </w:r>
    </w:p>
    <w:p>
      <w:pPr>
        <w:spacing w:after="120"/>
      </w:pPr>
      <w:r>
        <w:rPr>
          <w:rFonts w:ascii="Arial" w:cs="Arial" w:eastAsia="Arial" w:hAnsi="Arial"/>
          <w:b/>
          <w:bCs/>
          <w:i w:val="false"/>
          <w:iCs w:val="false"/>
          <w:color w:val="333333"/>
          <w:sz w:val="22"/>
          <w:szCs w:val="22"/>
        </w:rPr>
        <w:t xml:space="preserve">Required implementations:</w:t>
      </w:r>
    </w:p>
    <w:p>
      <w:pPr>
        <w:pStyle w:val="ListParagraph"/>
        <w:numPr>
          <w:ilvl w:val="0"/>
          <w:numId w:val="2"/>
        </w:numPr>
        <w:spacing w:after="60"/>
      </w:pPr>
      <w:r>
        <w:rPr>
          <w:rFonts w:ascii="Arial" w:cs="Arial" w:eastAsia="Arial" w:hAnsi="Arial"/>
          <w:sz w:val="22"/>
          <w:szCs w:val="22"/>
        </w:rPr>
        <w:t xml:space="preserve">MFA for Admin/SCO Roles: Implement TOTP-based MFA (RFC 6238) for all admin and Senior Compliance Officer accounts. Store TOTP secrets encrypted with Fernet. Add MFA setup flow to user management. Enforce on all write operations.</w:t>
      </w:r>
    </w:p>
    <w:p>
      <w:pPr>
        <w:pStyle w:val="ListParagraph"/>
        <w:numPr>
          <w:ilvl w:val="0"/>
          <w:numId w:val="2"/>
        </w:numPr>
        <w:spacing w:after="60"/>
      </w:pPr>
      <w:r>
        <w:rPr>
          <w:rFonts w:ascii="Arial" w:cs="Arial" w:eastAsia="Arial" w:hAnsi="Arial"/>
          <w:sz w:val="22"/>
          <w:szCs w:val="22"/>
        </w:rPr>
        <w:t xml:space="preserve">SIEM Integration: Add structured JSON logging output compatible with common SIEM platforms (Splunk, ELK, Wazuh). Include correlation IDs across request lifecycle. Export audit_log table to SIEM feed.</w:t>
      </w:r>
    </w:p>
    <w:p>
      <w:pPr>
        <w:pStyle w:val="ListParagraph"/>
        <w:numPr>
          <w:ilvl w:val="0"/>
          <w:numId w:val="2"/>
        </w:numPr>
        <w:spacing w:after="60"/>
      </w:pPr>
      <w:r>
        <w:rPr>
          <w:rFonts w:ascii="Arial" w:cs="Arial" w:eastAsia="Arial" w:hAnsi="Arial"/>
          <w:sz w:val="22"/>
          <w:szCs w:val="22"/>
        </w:rPr>
        <w:t xml:space="preserve">Anomaly Detection: Implement statistical anomaly detection on: login patterns (impossible travel, unusual hours), API usage (sudden volume spikes, unusual endpoint access), memo generation patterns (abnormal risk score distributions). Alert on deviations &gt; 3 standard deviations.</w:t>
      </w:r>
    </w:p>
    <w:p>
      <w:pPr>
        <w:pStyle w:val="ListParagraph"/>
        <w:numPr>
          <w:ilvl w:val="0"/>
          <w:numId w:val="2"/>
        </w:numPr>
        <w:spacing w:after="60"/>
      </w:pPr>
      <w:r>
        <w:rPr>
          <w:rFonts w:ascii="Arial" w:cs="Arial" w:eastAsia="Arial" w:hAnsi="Arial"/>
          <w:sz w:val="22"/>
          <w:szCs w:val="22"/>
        </w:rPr>
        <w:t xml:space="preserve">Adversarial AI Testing: Quarterly red team exercises testing: prompt injection resistance (already implemented via sanitiser), data poisoning through malformed application data, model evasion through carefully crafted entity structures, API abuse through rate limit testing.</w:t>
      </w:r>
    </w:p>
    <w:p>
      <w:pPr>
        <w:pStyle w:val="ListParagraph"/>
        <w:numPr>
          <w:ilvl w:val="0"/>
          <w:numId w:val="2"/>
        </w:numPr>
        <w:spacing w:after="60"/>
      </w:pPr>
      <w:r>
        <w:rPr>
          <w:rFonts w:ascii="Arial" w:cs="Arial" w:eastAsia="Arial" w:hAnsi="Arial"/>
          <w:sz w:val="22"/>
          <w:szCs w:val="22"/>
        </w:rPr>
        <w:t xml:space="preserve">API Key Rotation: Implement automatic Claude API key rotation every 90 days. Store keys in environment variables, never in code. Key rotation procedure documented and tested.</w:t>
      </w:r>
    </w:p>
    <w:p>
      <w:r>
        <w:br w:type="page"/>
      </w:r>
    </w:p>
    <w:p>
      <w:pPr>
        <w:pStyle w:val="Heading2"/>
        <w:spacing w:after="120" w:before="240"/>
      </w:pPr>
      <w:r>
        <w:rPr>
          <w:rFonts w:ascii="Arial" w:cs="Arial" w:eastAsia="Arial" w:hAnsi="Arial"/>
        </w:rPr>
        <w:t xml:space="preserve">B.4 Vendor Risk Management (Critical)</w:t>
      </w:r>
    </w:p>
    <w:p>
      <w:pPr>
        <w:spacing w:after="120"/>
      </w:pPr>
      <w:r>
        <w:rPr>
          <w:rFonts w:ascii="Arial" w:cs="Arial" w:eastAsia="Arial" w:hAnsi="Arial"/>
          <w:b/>
          <w:bCs/>
          <w:i w:val="false"/>
          <w:iCs w:val="false"/>
          <w:color w:val="333333"/>
          <w:sz w:val="22"/>
          <w:szCs w:val="22"/>
        </w:rPr>
        <w:t xml:space="preserve">Vendor Risk Assessment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Assessment Area</w:t>
            </w:r>
          </w:p>
        </w:tc>
        <w:tc>
          <w:tcPr>
            <w:tcW w:type="dxa" w:w="70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Requirements for Anthropic/Claude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Data Processing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 what data Claude receives, processes, and retains. Verify Anthropic's data retention policy (currently: no training on API data). Document in DPA.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Security Posture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 Anthropic's SOC 2 Type II report, security certifications, incident response capabilities, encryption standards. Document assessment.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Cross-Border Transfer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transfers to US. Implement Standard Contractual Clauses (SCCs) equivalent or rely on adequacy determination. Document lawful transfer mechanism under Section 37 DPA 2017.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Business Continuity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Assess Anthropic API SLA, uptime guarantees, rate limits. Implement fallback: deterministic Rule-Engine-only memo generation when Claude is unavailable (no AI enhancement, but all business rules enforced).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Sub-processors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Identify Anthropic's sub-processors (cloud hosting, etc.). Ensure notification of sub-processor changes. Right to object to new sub-processors.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Breach Notification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DPA must require Anthropic to notify Onboarda within 48 hours of any data breach affecting Onboarda data. Include in contractual terms.</w:t>
            </w:r>
          </w:p>
        </w:tc>
      </w:tr>
    </w:tbl>
    <w:p>
      <w:pPr>
        <w:spacing w:after="80"/>
      </w:pPr>
    </w:p>
    <w:p>
      <w:pPr>
        <w:spacing w:after="120"/>
      </w:pPr>
      <w:r>
        <w:rPr>
          <w:rFonts w:ascii="Arial" w:cs="Arial" w:eastAsia="Arial" w:hAnsi="Arial"/>
          <w:b/>
          <w:bCs/>
          <w:i w:val="false"/>
          <w:iCs w:val="false"/>
          <w:color w:val="333333"/>
          <w:sz w:val="22"/>
          <w:szCs w:val="22"/>
        </w:rPr>
        <w:t xml:space="preserve">Fallback Strategy — Deterministic Mode:</w:t>
      </w:r>
    </w:p>
    <w:p>
      <w:pPr>
        <w:spacing w:after="120"/>
      </w:pPr>
      <w:r>
        <w:rPr>
          <w:rFonts w:ascii="Arial" w:cs="Arial" w:eastAsia="Arial" w:hAnsi="Arial"/>
          <w:b w:val="false"/>
          <w:bCs w:val="false"/>
          <w:i w:val="false"/>
          <w:iCs w:val="false"/>
          <w:color w:val="333333"/>
          <w:sz w:val="22"/>
          <w:szCs w:val="22"/>
        </w:rPr>
        <w:t xml:space="preserve">When Claude API is unavailable, Onboarda MUST still be able to generate compliance memos. The fallback mode:</w:t>
      </w:r>
    </w:p>
    <w:p>
      <w:pPr>
        <w:pStyle w:val="ListParagraph"/>
        <w:numPr>
          <w:ilvl w:val="0"/>
          <w:numId w:val="2"/>
        </w:numPr>
        <w:spacing w:after="60"/>
      </w:pPr>
      <w:r>
        <w:rPr>
          <w:rFonts w:ascii="Arial" w:cs="Arial" w:eastAsia="Arial" w:hAnsi="Arial"/>
          <w:sz w:val="22"/>
          <w:szCs w:val="22"/>
        </w:rPr>
        <w:t xml:space="preserve">Uses the existing Rule Engine (Layer 1) to enforce all deterministic business rules</w:t>
      </w:r>
    </w:p>
    <w:p>
      <w:pPr>
        <w:pStyle w:val="ListParagraph"/>
        <w:numPr>
          <w:ilvl w:val="0"/>
          <w:numId w:val="2"/>
        </w:numPr>
        <w:spacing w:after="60"/>
      </w:pPr>
      <w:r>
        <w:rPr>
          <w:rFonts w:ascii="Arial" w:cs="Arial" w:eastAsia="Arial" w:hAnsi="Arial"/>
          <w:sz w:val="22"/>
          <w:szCs w:val="22"/>
        </w:rPr>
        <w:t xml:space="preserve">Generates a structured memo using template-based text (no AI-generated prose)</w:t>
      </w:r>
    </w:p>
    <w:p>
      <w:pPr>
        <w:pStyle w:val="ListParagraph"/>
        <w:numPr>
          <w:ilvl w:val="0"/>
          <w:numId w:val="2"/>
        </w:numPr>
        <w:spacing w:after="60"/>
      </w:pPr>
      <w:r>
        <w:rPr>
          <w:rFonts w:ascii="Arial" w:cs="Arial" w:eastAsia="Arial" w:hAnsi="Arial"/>
          <w:sz w:val="22"/>
          <w:szCs w:val="22"/>
        </w:rPr>
        <w:t xml:space="preserve">Applies all validation rules (Layer 3) and supervisor checks (Layer 4)</w:t>
      </w:r>
    </w:p>
    <w:p>
      <w:pPr>
        <w:pStyle w:val="ListParagraph"/>
        <w:numPr>
          <w:ilvl w:val="0"/>
          <w:numId w:val="2"/>
        </w:numPr>
        <w:spacing w:after="60"/>
      </w:pPr>
      <w:r>
        <w:rPr>
          <w:rFonts w:ascii="Arial" w:cs="Arial" w:eastAsia="Arial" w:hAnsi="Arial"/>
          <w:sz w:val="22"/>
          <w:szCs w:val="22"/>
        </w:rPr>
        <w:t xml:space="preserve">Flags memo as 'DETERMINISTIC_MODE' — reduced explainability, template-based content</w:t>
      </w:r>
    </w:p>
    <w:p>
      <w:pPr>
        <w:pStyle w:val="ListParagraph"/>
        <w:numPr>
          <w:ilvl w:val="0"/>
          <w:numId w:val="2"/>
        </w:numPr>
        <w:spacing w:after="60"/>
      </w:pPr>
      <w:r>
        <w:rPr>
          <w:rFonts w:ascii="Arial" w:cs="Arial" w:eastAsia="Arial" w:hAnsi="Arial"/>
          <w:sz w:val="22"/>
          <w:szCs w:val="22"/>
        </w:rPr>
        <w:t xml:space="preserve">Automatically escalates to Senior Compliance Officer review (no auto-approval in deterministic mode)</w:t>
      </w:r>
    </w:p>
    <w:p>
      <w:pPr>
        <w:spacing w:after="80"/>
      </w:pPr>
    </w:p>
    <w:p>
      <w:pPr>
        <w:spacing w:after="120"/>
      </w:pPr>
      <w:r>
        <w:rPr>
          <w:rFonts w:ascii="Arial" w:cs="Arial" w:eastAsia="Arial" w:hAnsi="Arial"/>
          <w:b w:val="false"/>
          <w:bCs w:val="false"/>
          <w:i w:val="false"/>
          <w:iCs w:val="false"/>
          <w:color w:val="333333"/>
          <w:sz w:val="22"/>
          <w:szCs w:val="22"/>
        </w:rPr>
        <w:t xml:space="preserve">Implementation: Add CLAUDE_AVAILABLE health check. If health check fails 3 consecutive times, switch to deterministic mode. Add deterministic_memo_generator() function using existing risk calculations and template strings. Resume AI mode when health check passes.</w:t>
      </w:r>
    </w:p>
    <w:p>
      <w:r>
        <w:br w:type="page"/>
      </w:r>
    </w:p>
    <w:p>
      <w:pPr>
        <w:pStyle w:val="Heading2"/>
        <w:spacing w:after="120" w:before="240"/>
      </w:pPr>
      <w:r>
        <w:rPr>
          <w:rFonts w:ascii="Arial" w:cs="Arial" w:eastAsia="Arial" w:hAnsi="Arial"/>
        </w:rPr>
        <w:t xml:space="preserve">B.5 Bias &amp; Fairness Monitoring</w:t>
      </w:r>
    </w:p>
    <w:p>
      <w:pPr>
        <w:spacing w:after="120"/>
      </w:pPr>
      <w:r>
        <w:rPr>
          <w:rFonts w:ascii="Arial" w:cs="Arial" w:eastAsia="Arial" w:hAnsi="Arial"/>
          <w:b/>
          <w:bCs/>
          <w:i w:val="false"/>
          <w:iCs w:val="false"/>
          <w:color w:val="333333"/>
          <w:sz w:val="22"/>
          <w:szCs w:val="22"/>
        </w:rPr>
        <w:t xml:space="preserve">Design: Bias Monitoring Module</w:t>
      </w:r>
    </w:p>
    <w:p>
      <w:pPr>
        <w:spacing w:after="80"/>
      </w:pPr>
    </w:p>
    <w:p>
      <w:pPr>
        <w:spacing w:after="120"/>
      </w:pPr>
      <w:r>
        <w:rPr>
          <w:rFonts w:ascii="Arial" w:cs="Arial" w:eastAsia="Arial" w:hAnsi="Arial"/>
          <w:b/>
          <w:bCs/>
          <w:i w:val="false"/>
          <w:iCs w:val="false"/>
          <w:color w:val="333333"/>
          <w:sz w:val="22"/>
          <w:szCs w:val="22"/>
        </w:rPr>
        <w:t xml:space="preserve">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43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Computation</w:t>
            </w:r>
          </w:p>
        </w:tc>
        <w:tc>
          <w:tcPr>
            <w:tcW w:type="dxa" w:w="343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Alert Threshold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Approval Rate by Jurisdiction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approvals / total_applications per country, rolling 90-day window</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Variance &gt; 15% from global mean for comparable risk profiles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Approval Rate by Sector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approvals / total_applications per sector, rolling 90-day window</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Variance &gt; 20% from global mean (sector risk adjustment applied)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Approval Rate by Entity Type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approvals / total_applications per entity_type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Variance &gt; 15% from mean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Average Risk Score by Jurisdiction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mean(risk_score) per country, rolling 90-day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2 standard deviations from global mean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Confidence Score Distribution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mean/median/p10/p90 confidence by segment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Systematic low confidence for specific segments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Decision Override Rate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human_overrides / total_decisions by segment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25% override rate for any segment</w:t>
            </w:r>
          </w:p>
        </w:tc>
      </w:tr>
    </w:tbl>
    <w:p>
      <w:pPr>
        <w:spacing w:after="80"/>
      </w:pPr>
    </w:p>
    <w:p>
      <w:pPr>
        <w:spacing w:after="120"/>
      </w:pPr>
      <w:r>
        <w:rPr>
          <w:rFonts w:ascii="Arial" w:cs="Arial" w:eastAsia="Arial" w:hAnsi="Arial"/>
          <w:b w:val="false"/>
          <w:bCs w:val="false"/>
          <w:i w:val="false"/>
          <w:iCs w:val="false"/>
          <w:color w:val="333333"/>
          <w:sz w:val="22"/>
          <w:szCs w:val="22"/>
        </w:rPr>
        <w:t xml:space="preserve">Review Frequency: Weekly automated computation, monthly human review, quarterly board report.</w:t>
      </w:r>
    </w:p>
    <w:p>
      <w:pPr>
        <w:spacing w:after="120"/>
      </w:pPr>
      <w:r>
        <w:rPr>
          <w:rFonts w:ascii="Arial" w:cs="Arial" w:eastAsia="Arial" w:hAnsi="Arial"/>
          <w:b w:val="false"/>
          <w:bCs w:val="false"/>
          <w:i w:val="false"/>
          <w:iCs w:val="false"/>
          <w:color w:val="333333"/>
          <w:sz w:val="22"/>
          <w:szCs w:val="22"/>
        </w:rPr>
        <w:t xml:space="preserve">Escalation: When threshold breached, alert AI Risk Owner. If unresolved within 30 days, escalate to board. If systemic bias confirmed, pause AI-assisted processing for affected segment until remediated.</w:t>
      </w:r>
    </w:p>
    <w:p>
      <w:pPr>
        <w:spacing w:after="80"/>
      </w:pPr>
    </w:p>
    <w:p>
      <w:pPr>
        <w:spacing w:after="120"/>
      </w:pPr>
      <w:r>
        <w:rPr>
          <w:rFonts w:ascii="Arial" w:cs="Arial" w:eastAsia="Arial" w:hAnsi="Arial"/>
          <w:b/>
          <w:bCs/>
          <w:i w:val="false"/>
          <w:iCs w:val="false"/>
          <w:color w:val="333333"/>
          <w:sz w:val="22"/>
          <w:szCs w:val="22"/>
        </w:rPr>
        <w:t xml:space="preserve">Dashboard Requirements:</w:t>
      </w:r>
    </w:p>
    <w:p>
      <w:pPr>
        <w:pStyle w:val="ListParagraph"/>
        <w:numPr>
          <w:ilvl w:val="0"/>
          <w:numId w:val="2"/>
        </w:numPr>
        <w:spacing w:after="60"/>
      </w:pPr>
      <w:r>
        <w:rPr>
          <w:rFonts w:ascii="Arial" w:cs="Arial" w:eastAsia="Arial" w:hAnsi="Arial"/>
          <w:sz w:val="22"/>
          <w:szCs w:val="22"/>
        </w:rPr>
        <w:t xml:space="preserve">Approval funnel chart by jurisdiction (bar chart with confidence intervals)</w:t>
      </w:r>
    </w:p>
    <w:p>
      <w:pPr>
        <w:pStyle w:val="ListParagraph"/>
        <w:numPr>
          <w:ilvl w:val="0"/>
          <w:numId w:val="2"/>
        </w:numPr>
        <w:spacing w:after="60"/>
      </w:pPr>
      <w:r>
        <w:rPr>
          <w:rFonts w:ascii="Arial" w:cs="Arial" w:eastAsia="Arial" w:hAnsi="Arial"/>
          <w:sz w:val="22"/>
          <w:szCs w:val="22"/>
        </w:rPr>
        <w:t xml:space="preserve">Risk score distribution by sector (box plot)</w:t>
      </w:r>
    </w:p>
    <w:p>
      <w:pPr>
        <w:pStyle w:val="ListParagraph"/>
        <w:numPr>
          <w:ilvl w:val="0"/>
          <w:numId w:val="2"/>
        </w:numPr>
        <w:spacing w:after="60"/>
      </w:pPr>
      <w:r>
        <w:rPr>
          <w:rFonts w:ascii="Arial" w:cs="Arial" w:eastAsia="Arial" w:hAnsi="Arial"/>
          <w:sz w:val="22"/>
          <w:szCs w:val="22"/>
        </w:rPr>
        <w:t xml:space="preserve">Time series of approval rates with trend lines and anomaly highlighting</w:t>
      </w:r>
    </w:p>
    <w:p>
      <w:pPr>
        <w:pStyle w:val="ListParagraph"/>
        <w:numPr>
          <w:ilvl w:val="0"/>
          <w:numId w:val="2"/>
        </w:numPr>
        <w:spacing w:after="60"/>
      </w:pPr>
      <w:r>
        <w:rPr>
          <w:rFonts w:ascii="Arial" w:cs="Arial" w:eastAsia="Arial" w:hAnsi="Arial"/>
          <w:sz w:val="22"/>
          <w:szCs w:val="22"/>
        </w:rPr>
        <w:t xml:space="preserve">Override analysis panel showing human vs. AI agreement rate</w:t>
      </w:r>
    </w:p>
    <w:p>
      <w:pPr>
        <w:pStyle w:val="ListParagraph"/>
        <w:numPr>
          <w:ilvl w:val="0"/>
          <w:numId w:val="2"/>
        </w:numPr>
        <w:spacing w:after="60"/>
      </w:pPr>
      <w:r>
        <w:rPr>
          <w:rFonts w:ascii="Arial" w:cs="Arial" w:eastAsia="Arial" w:hAnsi="Arial"/>
          <w:sz w:val="22"/>
          <w:szCs w:val="22"/>
        </w:rPr>
        <w:t xml:space="preserve">Export to CSV/PDF for regulatory reporting</w:t>
      </w:r>
    </w:p>
    <w:p>
      <w:r>
        <w:br w:type="page"/>
      </w:r>
    </w:p>
    <w:p>
      <w:pPr>
        <w:pStyle w:val="Heading1"/>
        <w:spacing w:after="120" w:before="360"/>
      </w:pPr>
      <w:r>
        <w:rPr>
          <w:rFonts w:ascii="Arial" w:cs="Arial" w:eastAsia="Arial" w:hAnsi="Arial"/>
        </w:rPr>
        <w:t xml:space="preserve">C. System Architecture Changes</w:t>
      </w:r>
    </w:p>
    <w:p>
      <w:pPr>
        <w:spacing w:after="120"/>
      </w:pPr>
      <w:r>
        <w:rPr>
          <w:rFonts w:ascii="Arial" w:cs="Arial" w:eastAsia="Arial" w:hAnsi="Arial"/>
          <w:b/>
          <w:bCs/>
          <w:i w:val="false"/>
          <w:iCs w:val="false"/>
          <w:color w:val="333333"/>
          <w:sz w:val="22"/>
          <w:szCs w:val="22"/>
        </w:rPr>
        <w:t xml:space="preserve">New Modules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Integration Point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DSR Module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all data subject rights requests (access, erasure, export, rectify, object). Manages consent lifecycle.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server.py new handlers, db.py new tables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Bias Monitor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Computes and tracks fairness metrics. Generates alerts. Provides dashboard data.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Scheduled task, new API endpoints, backoffice panel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Incident Manager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Logs, classifies, and tracks security incidents. CERT-MU reporting integration. Post-incident analysis.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server.py handlers, audit_log integration, backoffice panel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 Risk Tracker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Manages vendor assessments, DPA status, risk scores, review schedules.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db.py new table, backoffice panel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DPIA Manager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Stores DPIA versions, tracks review dates, integrates with governance dashboard.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db.py new table, governance dashboard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Prompt Sanitiser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Pseudonymises PII before sending to Claude. Maintains mapping for de-pseudonymisation.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Inline in ComplianceMemoHandler, before Claude API call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Deterministic Fallback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Template-based memo generator for when Claude API is unavailable.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ComplianceMemoHandler fallback path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MFA Module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TOTP-based multi-factor authentication for admin/SCO roles.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Auth handlers, user management</w:t>
            </w:r>
          </w:p>
        </w:tc>
      </w:tr>
    </w:tbl>
    <w:p>
      <w:pPr>
        <w:spacing w:after="80"/>
      </w:pPr>
    </w:p>
    <w:p>
      <w:pPr>
        <w:spacing w:after="120"/>
      </w:pPr>
      <w:r>
        <w:rPr>
          <w:rFonts w:ascii="Arial" w:cs="Arial" w:eastAsia="Arial" w:hAnsi="Arial"/>
          <w:b/>
          <w:bCs/>
          <w:i w:val="false"/>
          <w:iCs w:val="false"/>
          <w:color w:val="333333"/>
          <w:sz w:val="22"/>
          <w:szCs w:val="22"/>
        </w:rPr>
        <w:t xml:space="preserve">Architecture Integration:</w:t>
      </w:r>
    </w:p>
    <w:p>
      <w:pPr>
        <w:spacing w:after="120"/>
      </w:pPr>
      <w:r>
        <w:rPr>
          <w:rFonts w:ascii="Arial" w:cs="Arial" w:eastAsia="Arial" w:hAnsi="Arial"/>
          <w:b w:val="false"/>
          <w:bCs w:val="false"/>
          <w:i w:val="false"/>
          <w:iCs w:val="false"/>
          <w:color w:val="333333"/>
          <w:sz w:val="22"/>
          <w:szCs w:val="22"/>
        </w:rPr>
        <w:t xml:space="preserve">The new modules integrate into the existing 4-layer pipeline as follows: Layer 0 (Data Governance) sits before Layer 1, handling consent verification and data minimisation. Layers 1-4 remain unchanged. Layer 5 (Post-Decision Monitoring) sits after Layer 4, capturing bias metrics and incident signals. The DSR Module operates orthogonally, able to access and modify data at any layer.</w:t>
      </w:r>
    </w:p>
    <w:p>
      <w:r>
        <w:br w:type="page"/>
      </w:r>
    </w:p>
    <w:p>
      <w:pPr>
        <w:pStyle w:val="Heading1"/>
        <w:spacing w:after="120" w:before="360"/>
      </w:pPr>
      <w:r>
        <w:rPr>
          <w:rFonts w:ascii="Arial" w:cs="Arial" w:eastAsia="Arial" w:hAnsi="Arial"/>
        </w:rPr>
        <w:t xml:space="preserve">D. Database Changes</w:t>
      </w:r>
    </w:p>
    <w:p>
      <w:pPr>
        <w:spacing w:after="120"/>
      </w:pPr>
      <w:r>
        <w:rPr>
          <w:rFonts w:ascii="Arial" w:cs="Arial" w:eastAsia="Arial" w:hAnsi="Arial"/>
          <w:b w:val="false"/>
          <w:bCs w:val="false"/>
          <w:i w:val="false"/>
          <w:iCs w:val="false"/>
          <w:color w:val="333333"/>
          <w:sz w:val="22"/>
          <w:szCs w:val="22"/>
        </w:rPr>
        <w:t xml:space="preserve">The following new tables are required in db.py (both PostgreSQL and SQLite schemas):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Key Columns</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consent_records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subject_email, subject_name, purpose, consent_given, given_at, withdrawn_at, lawful_basis, ip_address, audit_hash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DPA 2017 consent management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data_subject_requests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request_type, subject_email, subject_name, status, reason, rejection_reason, requested_at, completed_at, completed_by, response_data, audit_hash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DSR tracking and compliance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bias_metrics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metric_type, segment_field, segment_value, metric_value, sample_size, computed_at, alert_triggered, alert_resolved_at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FSC fairness monitoring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dpia_records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version, title, document_data (JSON), status (draft/approved/expired), approved_by, approved_at, next_review_date, triggers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DPA 2017 DPIA management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incident_logs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severity (P1-P4), title, description, detected_at, classified_at, contained_at, resolved_at, reported_to_cert, reported_to_dpo, root_cause, lessons_learned, created_by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Cybersecurity Act compliance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vendor_risk_records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vendor_name, vendor_type, risk_rating, dpa_status, last_assessed, next_review, assessment_data (JSON), created_by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FSC third-party risk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data_lineage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application_id, prompt_hash, fields_sent, fields_returned, model_version, pseudonymised, timestamp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governance trail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ai_governance_config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config_key, config_value, updated_by, updated_at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governance settings</w:t>
            </w:r>
          </w:p>
        </w:tc>
      </w:tr>
    </w:tbl>
    <w:p>
      <w:r>
        <w:br w:type="page"/>
      </w:r>
    </w:p>
    <w:p>
      <w:pPr>
        <w:pStyle w:val="Heading1"/>
        <w:spacing w:after="120" w:before="360"/>
      </w:pPr>
      <w:r>
        <w:rPr>
          <w:rFonts w:ascii="Arial" w:cs="Arial" w:eastAsia="Arial" w:hAnsi="Arial"/>
        </w:rPr>
        <w:t xml:space="preserve">E. Backoffice / UI Changes</w:t>
      </w:r>
    </w:p>
    <w:p>
      <w:pPr>
        <w:spacing w:after="120"/>
      </w:pPr>
      <w:r>
        <w:rPr>
          <w:rFonts w:ascii="Arial" w:cs="Arial" w:eastAsia="Arial" w:hAnsi="Arial"/>
          <w:b w:val="false"/>
          <w:bCs w:val="false"/>
          <w:i w:val="false"/>
          <w:iCs w:val="false"/>
          <w:color w:val="333333"/>
          <w:sz w:val="22"/>
          <w:szCs w:val="22"/>
        </w:rPr>
        <w:t xml:space="preserve">The following panels must be added to arie-backoffice.html:</w:t>
      </w:r>
    </w:p>
    <w:p>
      <w:pPr>
        <w:spacing w:after="80"/>
      </w:pPr>
    </w:p>
    <w:p>
      <w:pPr>
        <w:pStyle w:val="Heading2"/>
        <w:spacing w:after="120" w:before="240"/>
      </w:pPr>
      <w:r>
        <w:rPr>
          <w:rFonts w:ascii="Arial" w:cs="Arial" w:eastAsia="Arial" w:hAnsi="Arial"/>
        </w:rPr>
        <w:t xml:space="preserve">E.1 Data Subject Rights Panel</w:t>
      </w:r>
    </w:p>
    <w:p>
      <w:pPr>
        <w:pStyle w:val="ListParagraph"/>
        <w:numPr>
          <w:ilvl w:val="0"/>
          <w:numId w:val="2"/>
        </w:numPr>
        <w:spacing w:after="60"/>
      </w:pPr>
      <w:r>
        <w:rPr>
          <w:rFonts w:ascii="Arial" w:cs="Arial" w:eastAsia="Arial" w:hAnsi="Arial"/>
          <w:sz w:val="22"/>
          <w:szCs w:val="22"/>
        </w:rPr>
        <w:t xml:space="preserve">New sidebar menu item: 'Data Subject Rights' (visible to admin, DPO roles)</w:t>
      </w:r>
    </w:p>
    <w:p>
      <w:pPr>
        <w:pStyle w:val="ListParagraph"/>
        <w:numPr>
          <w:ilvl w:val="0"/>
          <w:numId w:val="2"/>
        </w:numPr>
        <w:spacing w:after="60"/>
      </w:pPr>
      <w:r>
        <w:rPr>
          <w:rFonts w:ascii="Arial" w:cs="Arial" w:eastAsia="Arial" w:hAnsi="Arial"/>
          <w:sz w:val="22"/>
          <w:szCs w:val="22"/>
        </w:rPr>
        <w:t xml:space="preserve">DSR dashboard showing: pending requests count, average response time, compliance rate (% completed within 30 days)</w:t>
      </w:r>
    </w:p>
    <w:p>
      <w:pPr>
        <w:pStyle w:val="ListParagraph"/>
        <w:numPr>
          <w:ilvl w:val="0"/>
          <w:numId w:val="2"/>
        </w:numPr>
        <w:spacing w:after="60"/>
      </w:pPr>
      <w:r>
        <w:rPr>
          <w:rFonts w:ascii="Arial" w:cs="Arial" w:eastAsia="Arial" w:hAnsi="Arial"/>
          <w:sz w:val="22"/>
          <w:szCs w:val="22"/>
        </w:rPr>
        <w:t xml:space="preserve">Request table with columns: ID, Type, Subject, Status, Requested Date, Due Date, Completed Date, Assigned To</w:t>
      </w:r>
    </w:p>
    <w:p>
      <w:pPr>
        <w:pStyle w:val="ListParagraph"/>
        <w:numPr>
          <w:ilvl w:val="0"/>
          <w:numId w:val="2"/>
        </w:numPr>
        <w:spacing w:after="60"/>
      </w:pPr>
      <w:r>
        <w:rPr>
          <w:rFonts w:ascii="Arial" w:cs="Arial" w:eastAsia="Arial" w:hAnsi="Arial"/>
          <w:sz w:val="22"/>
          <w:szCs w:val="22"/>
        </w:rPr>
        <w:t xml:space="preserve">Request detail view with: subject data preview, action buttons (fulfil, reject with reason, escalate), audit trail</w:t>
      </w:r>
    </w:p>
    <w:p>
      <w:pPr>
        <w:pStyle w:val="ListParagraph"/>
        <w:numPr>
          <w:ilvl w:val="0"/>
          <w:numId w:val="2"/>
        </w:numPr>
        <w:spacing w:after="60"/>
      </w:pPr>
      <w:r>
        <w:rPr>
          <w:rFonts w:ascii="Arial" w:cs="Arial" w:eastAsia="Arial" w:hAnsi="Arial"/>
          <w:sz w:val="22"/>
          <w:szCs w:val="22"/>
        </w:rPr>
        <w:t xml:space="preserve">Consent management sub-panel showing active consents by purpose with withdraw capability</w:t>
      </w:r>
    </w:p>
    <w:p>
      <w:pPr>
        <w:spacing w:after="80"/>
      </w:pPr>
    </w:p>
    <w:p>
      <w:pPr>
        <w:pStyle w:val="Heading2"/>
        <w:spacing w:after="120" w:before="240"/>
      </w:pPr>
      <w:r>
        <w:rPr>
          <w:rFonts w:ascii="Arial" w:cs="Arial" w:eastAsia="Arial" w:hAnsi="Arial"/>
        </w:rPr>
        <w:t xml:space="preserve">E.2 AI Governance Dashboard</w:t>
      </w:r>
    </w:p>
    <w:p>
      <w:pPr>
        <w:pStyle w:val="ListParagraph"/>
        <w:numPr>
          <w:ilvl w:val="0"/>
          <w:numId w:val="2"/>
        </w:numPr>
        <w:spacing w:after="60"/>
      </w:pPr>
      <w:r>
        <w:rPr>
          <w:rFonts w:ascii="Arial" w:cs="Arial" w:eastAsia="Arial" w:hAnsi="Arial"/>
          <w:sz w:val="22"/>
          <w:szCs w:val="22"/>
        </w:rPr>
        <w:t xml:space="preserve">New sidebar menu item: 'AI Governance' (visible to admin, SCO roles)</w:t>
      </w:r>
    </w:p>
    <w:p>
      <w:pPr>
        <w:pStyle w:val="ListParagraph"/>
        <w:numPr>
          <w:ilvl w:val="0"/>
          <w:numId w:val="2"/>
        </w:numPr>
        <w:spacing w:after="60"/>
      </w:pPr>
      <w:r>
        <w:rPr>
          <w:rFonts w:ascii="Arial" w:cs="Arial" w:eastAsia="Arial" w:hAnsi="Arial"/>
          <w:sz w:val="22"/>
          <w:szCs w:val="22"/>
        </w:rPr>
        <w:t xml:space="preserve">Model inventory card: Claude model version, last API health check, API availability (%), prompt sanitisation status</w:t>
      </w:r>
    </w:p>
    <w:p>
      <w:pPr>
        <w:pStyle w:val="ListParagraph"/>
        <w:numPr>
          <w:ilvl w:val="0"/>
          <w:numId w:val="2"/>
        </w:numPr>
        <w:spacing w:after="60"/>
      </w:pPr>
      <w:r>
        <w:rPr>
          <w:rFonts w:ascii="Arial" w:cs="Arial" w:eastAsia="Arial" w:hAnsi="Arial"/>
          <w:sz w:val="22"/>
          <w:szCs w:val="22"/>
        </w:rPr>
        <w:t xml:space="preserve">Governance status: AI Governance Policy version and approval date, DPIA status and next review date, AI Risk Owner assignment</w:t>
      </w:r>
    </w:p>
    <w:p>
      <w:pPr>
        <w:pStyle w:val="ListParagraph"/>
        <w:numPr>
          <w:ilvl w:val="0"/>
          <w:numId w:val="2"/>
        </w:numPr>
        <w:spacing w:after="60"/>
      </w:pPr>
      <w:r>
        <w:rPr>
          <w:rFonts w:ascii="Arial" w:cs="Arial" w:eastAsia="Arial" w:hAnsi="Arial"/>
          <w:sz w:val="22"/>
          <w:szCs w:val="22"/>
        </w:rPr>
        <w:t xml:space="preserve">Quality trend chart: average memo quality score over time (line chart, 90-day window)</w:t>
      </w:r>
    </w:p>
    <w:p>
      <w:pPr>
        <w:pStyle w:val="ListParagraph"/>
        <w:numPr>
          <w:ilvl w:val="0"/>
          <w:numId w:val="2"/>
        </w:numPr>
        <w:spacing w:after="60"/>
      </w:pPr>
      <w:r>
        <w:rPr>
          <w:rFonts w:ascii="Arial" w:cs="Arial" w:eastAsia="Arial" w:hAnsi="Arial"/>
          <w:sz w:val="22"/>
          <w:szCs w:val="22"/>
        </w:rPr>
        <w:t xml:space="preserve">Rule Engine performance: enforcement count, violation count, trending</w:t>
      </w:r>
    </w:p>
    <w:p>
      <w:pPr>
        <w:pStyle w:val="ListParagraph"/>
        <w:numPr>
          <w:ilvl w:val="0"/>
          <w:numId w:val="2"/>
        </w:numPr>
        <w:spacing w:after="60"/>
      </w:pPr>
      <w:r>
        <w:rPr>
          <w:rFonts w:ascii="Arial" w:cs="Arial" w:eastAsia="Arial" w:hAnsi="Arial"/>
          <w:sz w:val="22"/>
          <w:szCs w:val="22"/>
        </w:rPr>
        <w:t xml:space="preserve">Human override tracking: override rate, override reasons distribution</w:t>
      </w:r>
    </w:p>
    <w:p>
      <w:pPr>
        <w:spacing w:after="80"/>
      </w:pPr>
    </w:p>
    <w:p>
      <w:pPr>
        <w:pStyle w:val="Heading2"/>
        <w:spacing w:after="120" w:before="240"/>
      </w:pPr>
      <w:r>
        <w:rPr>
          <w:rFonts w:ascii="Arial" w:cs="Arial" w:eastAsia="Arial" w:hAnsi="Arial"/>
        </w:rPr>
        <w:t xml:space="preserve">E.3 Bias Monitoring Dashboard</w:t>
      </w:r>
    </w:p>
    <w:p>
      <w:pPr>
        <w:pStyle w:val="ListParagraph"/>
        <w:numPr>
          <w:ilvl w:val="0"/>
          <w:numId w:val="2"/>
        </w:numPr>
        <w:spacing w:after="60"/>
      </w:pPr>
      <w:r>
        <w:rPr>
          <w:rFonts w:ascii="Arial" w:cs="Arial" w:eastAsia="Arial" w:hAnsi="Arial"/>
          <w:sz w:val="22"/>
          <w:szCs w:val="22"/>
        </w:rPr>
        <w:t xml:space="preserve">New sidebar menu item: 'Bias Monitor' (visible to admin, SCO, DPO roles)</w:t>
      </w:r>
    </w:p>
    <w:p>
      <w:pPr>
        <w:pStyle w:val="ListParagraph"/>
        <w:numPr>
          <w:ilvl w:val="0"/>
          <w:numId w:val="2"/>
        </w:numPr>
        <w:spacing w:after="60"/>
      </w:pPr>
      <w:r>
        <w:rPr>
          <w:rFonts w:ascii="Arial" w:cs="Arial" w:eastAsia="Arial" w:hAnsi="Arial"/>
          <w:sz w:val="22"/>
          <w:szCs w:val="22"/>
        </w:rPr>
        <w:t xml:space="preserve">Approval rate by jurisdiction (bar chart with error bars)</w:t>
      </w:r>
    </w:p>
    <w:p>
      <w:pPr>
        <w:pStyle w:val="ListParagraph"/>
        <w:numPr>
          <w:ilvl w:val="0"/>
          <w:numId w:val="2"/>
        </w:numPr>
        <w:spacing w:after="60"/>
      </w:pPr>
      <w:r>
        <w:rPr>
          <w:rFonts w:ascii="Arial" w:cs="Arial" w:eastAsia="Arial" w:hAnsi="Arial"/>
          <w:sz w:val="22"/>
          <w:szCs w:val="22"/>
        </w:rPr>
        <w:t xml:space="preserve">Risk score distribution by sector (box plot or violin plot)</w:t>
      </w:r>
    </w:p>
    <w:p>
      <w:pPr>
        <w:pStyle w:val="ListParagraph"/>
        <w:numPr>
          <w:ilvl w:val="0"/>
          <w:numId w:val="2"/>
        </w:numPr>
        <w:spacing w:after="60"/>
      </w:pPr>
      <w:r>
        <w:rPr>
          <w:rFonts w:ascii="Arial" w:cs="Arial" w:eastAsia="Arial" w:hAnsi="Arial"/>
          <w:sz w:val="22"/>
          <w:szCs w:val="22"/>
        </w:rPr>
        <w:t xml:space="preserve">Time series panel with trend analysis</w:t>
      </w:r>
    </w:p>
    <w:p>
      <w:pPr>
        <w:pStyle w:val="ListParagraph"/>
        <w:numPr>
          <w:ilvl w:val="0"/>
          <w:numId w:val="2"/>
        </w:numPr>
        <w:spacing w:after="60"/>
      </w:pPr>
      <w:r>
        <w:rPr>
          <w:rFonts w:ascii="Arial" w:cs="Arial" w:eastAsia="Arial" w:hAnsi="Arial"/>
          <w:sz w:val="22"/>
          <w:szCs w:val="22"/>
        </w:rPr>
        <w:t xml:space="preserve">Alert panel showing active bias alerts with severity and recommended actions</w:t>
      </w:r>
    </w:p>
    <w:p>
      <w:pPr>
        <w:pStyle w:val="ListParagraph"/>
        <w:numPr>
          <w:ilvl w:val="0"/>
          <w:numId w:val="2"/>
        </w:numPr>
        <w:spacing w:after="60"/>
      </w:pPr>
      <w:r>
        <w:rPr>
          <w:rFonts w:ascii="Arial" w:cs="Arial" w:eastAsia="Arial" w:hAnsi="Arial"/>
          <w:sz w:val="22"/>
          <w:szCs w:val="22"/>
        </w:rPr>
        <w:t xml:space="preserve">Export button for regulatory reporting (CSV/PDF)</w:t>
      </w:r>
    </w:p>
    <w:p>
      <w:pPr>
        <w:spacing w:after="80"/>
      </w:pPr>
    </w:p>
    <w:p>
      <w:pPr>
        <w:pStyle w:val="Heading2"/>
        <w:spacing w:after="120" w:before="240"/>
      </w:pPr>
      <w:r>
        <w:rPr>
          <w:rFonts w:ascii="Arial" w:cs="Arial" w:eastAsia="Arial" w:hAnsi="Arial"/>
        </w:rPr>
        <w:t xml:space="preserve">E.4 Incident Reporting Panel</w:t>
      </w:r>
    </w:p>
    <w:p>
      <w:pPr>
        <w:pStyle w:val="ListParagraph"/>
        <w:numPr>
          <w:ilvl w:val="0"/>
          <w:numId w:val="2"/>
        </w:numPr>
        <w:spacing w:after="60"/>
      </w:pPr>
      <w:r>
        <w:rPr>
          <w:rFonts w:ascii="Arial" w:cs="Arial" w:eastAsia="Arial" w:hAnsi="Arial"/>
          <w:sz w:val="22"/>
          <w:szCs w:val="22"/>
        </w:rPr>
        <w:t xml:space="preserve">New sidebar menu item: 'Incidents' (visible to admin roles)</w:t>
      </w:r>
    </w:p>
    <w:p>
      <w:pPr>
        <w:pStyle w:val="ListParagraph"/>
        <w:numPr>
          <w:ilvl w:val="0"/>
          <w:numId w:val="2"/>
        </w:numPr>
        <w:spacing w:after="60"/>
      </w:pPr>
      <w:r>
        <w:rPr>
          <w:rFonts w:ascii="Arial" w:cs="Arial" w:eastAsia="Arial" w:hAnsi="Arial"/>
          <w:sz w:val="22"/>
          <w:szCs w:val="22"/>
        </w:rPr>
        <w:t xml:space="preserve">Active incidents table: ID, Severity, Title, Status, Detected, Assigned</w:t>
      </w:r>
    </w:p>
    <w:p>
      <w:pPr>
        <w:pStyle w:val="ListParagraph"/>
        <w:numPr>
          <w:ilvl w:val="0"/>
          <w:numId w:val="2"/>
        </w:numPr>
        <w:spacing w:after="60"/>
      </w:pPr>
      <w:r>
        <w:rPr>
          <w:rFonts w:ascii="Arial" w:cs="Arial" w:eastAsia="Arial" w:hAnsi="Arial"/>
          <w:sz w:val="22"/>
          <w:szCs w:val="22"/>
        </w:rPr>
        <w:t xml:space="preserve">Incident creation form: title, description, severity selector, affected systems, initial containment actions</w:t>
      </w:r>
    </w:p>
    <w:p>
      <w:pPr>
        <w:pStyle w:val="ListParagraph"/>
        <w:numPr>
          <w:ilvl w:val="0"/>
          <w:numId w:val="2"/>
        </w:numPr>
        <w:spacing w:after="60"/>
      </w:pPr>
      <w:r>
        <w:rPr>
          <w:rFonts w:ascii="Arial" w:cs="Arial" w:eastAsia="Arial" w:hAnsi="Arial"/>
          <w:sz w:val="22"/>
          <w:szCs w:val="22"/>
        </w:rPr>
        <w:t xml:space="preserve">Incident timeline view showing all status transitions and actions taken</w:t>
      </w:r>
    </w:p>
    <w:p>
      <w:pPr>
        <w:pStyle w:val="ListParagraph"/>
        <w:numPr>
          <w:ilvl w:val="0"/>
          <w:numId w:val="2"/>
        </w:numPr>
        <w:spacing w:after="60"/>
      </w:pPr>
      <w:r>
        <w:rPr>
          <w:rFonts w:ascii="Arial" w:cs="Arial" w:eastAsia="Arial" w:hAnsi="Arial"/>
          <w:sz w:val="22"/>
          <w:szCs w:val="22"/>
        </w:rPr>
        <w:t xml:space="preserve">CERT-MU reporting status tracker (reported/pending/not required)</w:t>
      </w:r>
    </w:p>
    <w:p>
      <w:pPr>
        <w:pStyle w:val="ListParagraph"/>
        <w:numPr>
          <w:ilvl w:val="0"/>
          <w:numId w:val="2"/>
        </w:numPr>
        <w:spacing w:after="60"/>
      </w:pPr>
      <w:r>
        <w:rPr>
          <w:rFonts w:ascii="Arial" w:cs="Arial" w:eastAsia="Arial" w:hAnsi="Arial"/>
          <w:sz w:val="22"/>
          <w:szCs w:val="22"/>
        </w:rPr>
        <w:t xml:space="preserve">Post-incident analysis template with root cause, lessons learned, and remediation actions</w:t>
      </w:r>
    </w:p>
    <w:p>
      <w:pPr>
        <w:spacing w:after="80"/>
      </w:pPr>
    </w:p>
    <w:p>
      <w:pPr>
        <w:pStyle w:val="Heading2"/>
        <w:spacing w:after="120" w:before="240"/>
      </w:pPr>
      <w:r>
        <w:rPr>
          <w:rFonts w:ascii="Arial" w:cs="Arial" w:eastAsia="Arial" w:hAnsi="Arial"/>
        </w:rPr>
        <w:t xml:space="preserve">E.5 Vendor Risk Panel</w:t>
      </w:r>
    </w:p>
    <w:p>
      <w:pPr>
        <w:pStyle w:val="ListParagraph"/>
        <w:numPr>
          <w:ilvl w:val="0"/>
          <w:numId w:val="2"/>
        </w:numPr>
        <w:spacing w:after="60"/>
      </w:pPr>
      <w:r>
        <w:rPr>
          <w:rFonts w:ascii="Arial" w:cs="Arial" w:eastAsia="Arial" w:hAnsi="Arial"/>
          <w:sz w:val="22"/>
          <w:szCs w:val="22"/>
        </w:rPr>
        <w:t xml:space="preserve">New sidebar menu item: 'Vendor Risk' (visible to admin roles)</w:t>
      </w:r>
    </w:p>
    <w:p>
      <w:pPr>
        <w:pStyle w:val="ListParagraph"/>
        <w:numPr>
          <w:ilvl w:val="0"/>
          <w:numId w:val="2"/>
        </w:numPr>
        <w:spacing w:after="60"/>
      </w:pPr>
      <w:r>
        <w:rPr>
          <w:rFonts w:ascii="Arial" w:cs="Arial" w:eastAsia="Arial" w:hAnsi="Arial"/>
          <w:sz w:val="22"/>
          <w:szCs w:val="22"/>
        </w:rPr>
        <w:t xml:space="preserve">Vendor cards showing: name, type, risk rating (color-coded), DPA status, last assessment date, next review date</w:t>
      </w:r>
    </w:p>
    <w:p>
      <w:pPr>
        <w:pStyle w:val="ListParagraph"/>
        <w:numPr>
          <w:ilvl w:val="0"/>
          <w:numId w:val="2"/>
        </w:numPr>
        <w:spacing w:after="60"/>
      </w:pPr>
      <w:r>
        <w:rPr>
          <w:rFonts w:ascii="Arial" w:cs="Arial" w:eastAsia="Arial" w:hAnsi="Arial"/>
          <w:sz w:val="22"/>
          <w:szCs w:val="22"/>
        </w:rPr>
        <w:t xml:space="preserve">Claude/Anthropic dedicated card with: API health status (real-time), data transfer volume, prompt sanitisation metrics</w:t>
      </w:r>
    </w:p>
    <w:p>
      <w:pPr>
        <w:pStyle w:val="ListParagraph"/>
        <w:numPr>
          <w:ilvl w:val="0"/>
          <w:numId w:val="2"/>
        </w:numPr>
        <w:spacing w:after="60"/>
      </w:pPr>
      <w:r>
        <w:rPr>
          <w:rFonts w:ascii="Arial" w:cs="Arial" w:eastAsia="Arial" w:hAnsi="Arial"/>
          <w:sz w:val="22"/>
          <w:szCs w:val="22"/>
        </w:rPr>
        <w:t xml:space="preserve">Assessment history with version comparison</w:t>
      </w:r>
    </w:p>
    <w:p>
      <w:r>
        <w:br w:type="page"/>
      </w:r>
    </w:p>
    <w:p>
      <w:pPr>
        <w:pStyle w:val="Heading1"/>
        <w:spacing w:after="120" w:before="360"/>
      </w:pPr>
      <w:r>
        <w:rPr>
          <w:rFonts w:ascii="Arial" w:cs="Arial" w:eastAsia="Arial" w:hAnsi="Arial"/>
        </w:rPr>
        <w:t xml:space="preserve">F. Documentation Required</w:t>
      </w:r>
    </w:p>
    <w:p>
      <w:pPr>
        <w:spacing w:after="120"/>
      </w:pPr>
      <w:r>
        <w:rPr>
          <w:rFonts w:ascii="Arial" w:cs="Arial" w:eastAsia="Arial" w:hAnsi="Arial"/>
          <w:b w:val="false"/>
          <w:bCs w:val="false"/>
          <w:i w:val="false"/>
          <w:iCs w:val="false"/>
          <w:color w:val="333333"/>
          <w:sz w:val="22"/>
          <w:szCs w:val="22"/>
        </w:rPr>
        <w:t xml:space="preserve">The following formal documents must be drafted, reviewed, and approved: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Review Cycle</w:t>
            </w:r>
          </w:p>
        </w:tc>
        <w:tc>
          <w:tcPr>
            <w:tcW w:type="dxa" w:w="2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AI Governance Policy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Risk Owner / 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 + on material change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Data Protection Impact Assessment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 + on processing change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Data Retention Policy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 / Compliance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Incident Response Plan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 IT Security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Semi-annual + post-incident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 Risk Policy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Procurement / Compliance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 + on vendor change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Privacy Notice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 / Legal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 + on processing change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AI Model Card (Claude)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Risk Owner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 model version change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Data Subject Rights Procedures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Business Continuity Plan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Operations / 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 + post-incident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Bias Monitoring Methodology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Risk Owner / Compliance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Annual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MEDIUM</w:t>
            </w:r>
          </w:p>
        </w:tc>
      </w:tr>
    </w:tbl>
    <w:p>
      <w:r>
        <w:br w:type="page"/>
      </w:r>
    </w:p>
    <w:p>
      <w:pPr>
        <w:pStyle w:val="Heading1"/>
        <w:spacing w:after="120" w:before="360"/>
      </w:pPr>
      <w:r>
        <w:rPr>
          <w:rFonts w:ascii="Arial" w:cs="Arial" w:eastAsia="Arial" w:hAnsi="Arial"/>
        </w:rPr>
        <w:t xml:space="preserve">G. Implementation Roadmap</w:t>
      </w:r>
    </w:p>
    <w:p>
      <w:pPr>
        <w:spacing w:after="80"/>
      </w:pPr>
    </w:p>
    <w:p>
      <w:pPr>
        <w:pStyle w:val="Heading2"/>
        <w:spacing w:after="120" w:before="240"/>
      </w:pPr>
      <w:r>
        <w:rPr>
          <w:rFonts w:ascii="Arial" w:cs="Arial" w:eastAsia="Arial" w:hAnsi="Arial"/>
        </w:rPr>
        <w:t xml:space="preserve">G.1 Phase 1: Critical Regulatory Blockers (0-3 Months)</w:t>
      </w:r>
    </w:p>
    <w:p>
      <w:pPr>
        <w:spacing w:after="120"/>
      </w:pPr>
      <w:r>
        <w:rPr>
          <w:rFonts w:ascii="Arial" w:cs="Arial" w:eastAsia="Arial" w:hAnsi="Arial"/>
          <w:b/>
          <w:bCs/>
          <w:i w:val="false"/>
          <w:iCs w:val="false"/>
          <w:color w:val="333333"/>
          <w:sz w:val="22"/>
          <w:szCs w:val="22"/>
        </w:rPr>
        <w:t xml:space="preserve">Objective: Close all go-live blockers. Without these, production deployment is not possible.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360"/>
        <w:gridCol w:w="1400"/>
        <w:gridCol w:w="150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DPIA v1.0 — draft, review, approve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W1-W4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Governance Policy v1.0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Risk Owner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W1-W4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Plan v1.0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W2-W5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Privacy Notice (client-facing)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 / Legal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W2-W4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Risk Assessment (Anthropic)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W3-W6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Processing Agreement with Anthropic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Legal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W4-W8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DSR Module — API endpoints + database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W3-W8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Consent management module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W4-W8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Prompt sanitisation / pseudonymisation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W5-W8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MFA for admin/SCO roles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W6-W10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Retention Policy v1.0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W4-W6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logging table + backoffice panel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W6-W10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bl>
    <w:p>
      <w:pPr>
        <w:spacing w:after="80"/>
      </w:pPr>
    </w:p>
    <w:p>
      <w:pPr>
        <w:pStyle w:val="Heading2"/>
        <w:spacing w:after="120" w:before="240"/>
      </w:pPr>
      <w:r>
        <w:rPr>
          <w:rFonts w:ascii="Arial" w:cs="Arial" w:eastAsia="Arial" w:hAnsi="Arial"/>
        </w:rPr>
        <w:t xml:space="preserve">G.2 Phase 2: Risk Reduction &amp; Monitoring (3-6 Months)</w:t>
      </w:r>
    </w:p>
    <w:p>
      <w:pPr>
        <w:spacing w:after="120"/>
      </w:pPr>
      <w:r>
        <w:rPr>
          <w:rFonts w:ascii="Arial" w:cs="Arial" w:eastAsia="Arial" w:hAnsi="Arial"/>
          <w:b/>
          <w:bCs/>
          <w:i w:val="false"/>
          <w:iCs w:val="false"/>
          <w:color w:val="333333"/>
          <w:sz w:val="22"/>
          <w:szCs w:val="22"/>
        </w:rPr>
        <w:t xml:space="preserve">Objective: Implement monitoring, bias detection, and enhanced security. Production is live with Phase 1 controls.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360"/>
        <w:gridCol w:w="1400"/>
        <w:gridCol w:w="150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Bias monitoring module + database + scheduled computation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M3-M4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Bias monitoring dashboard in backoffice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M4-M5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Governance dashboard panel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M4-M5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SIEM integration (structured JSON logging)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DevOps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M3-M4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Anomaly detection engine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M4-M5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Deterministic fallback mode (Claude unavailable)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M3-M4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Client-facing explainability summary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 / UX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M4-M5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lineage tracking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M5-M6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First adversarial AI testing exercise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Tabletop IRP exercise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bl>
    <w:p>
      <w:pPr>
        <w:spacing w:after="80"/>
      </w:pPr>
    </w:p>
    <w:p>
      <w:pPr>
        <w:pStyle w:val="Heading2"/>
        <w:spacing w:after="120" w:before="240"/>
      </w:pPr>
      <w:r>
        <w:rPr>
          <w:rFonts w:ascii="Arial" w:cs="Arial" w:eastAsia="Arial" w:hAnsi="Arial"/>
        </w:rPr>
        <w:t xml:space="preserve">G.3 Phase 3: Advanced Governance &amp; Optimisation (6-12 Months)</w:t>
      </w:r>
    </w:p>
    <w:p>
      <w:pPr>
        <w:spacing w:after="120"/>
      </w:pPr>
      <w:r>
        <w:rPr>
          <w:rFonts w:ascii="Arial" w:cs="Arial" w:eastAsia="Arial" w:hAnsi="Arial"/>
          <w:b/>
          <w:bCs/>
          <w:i w:val="false"/>
          <w:iCs w:val="false"/>
          <w:color w:val="333333"/>
          <w:sz w:val="22"/>
          <w:szCs w:val="22"/>
        </w:rPr>
        <w:t xml:space="preserve">Objective: Mature governance capabilities, achieve audit-readiness, continuous improvement.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360"/>
        <w:gridCol w:w="1400"/>
        <w:gridCol w:w="150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DPIA v2.0 — annual review and update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risk reassessment (annual)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model performance trend analysis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Risk Owner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M7-M8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Automated data retention enforcement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M7-M8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 adversarial AI testing exercise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Regulatory audit dry run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reporting dashboard (quarterly compliance summary)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 / 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M10-M11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SHOULD HAVE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compliance evidence package for FSC/DPO/auditors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MUST HAVE</w:t>
            </w:r>
          </w:p>
        </w:tc>
      </w:tr>
    </w:tbl>
    <w:p>
      <w:r>
        <w:br w:type="page"/>
      </w:r>
    </w:p>
    <w:p>
      <w:pPr>
        <w:pStyle w:val="Heading1"/>
        <w:spacing w:after="120" w:before="360"/>
      </w:pPr>
      <w:r>
        <w:rPr>
          <w:rFonts w:ascii="Arial" w:cs="Arial" w:eastAsia="Arial" w:hAnsi="Arial"/>
        </w:rPr>
        <w:t xml:space="preserve">H. Final Compliance State</w:t>
      </w:r>
    </w:p>
    <w:p>
      <w:pPr>
        <w:spacing w:after="120"/>
      </w:pPr>
      <w:r>
        <w:rPr>
          <w:rFonts w:ascii="Arial" w:cs="Arial" w:eastAsia="Arial" w:hAnsi="Arial"/>
          <w:b w:val="false"/>
          <w:bCs w:val="false"/>
          <w:i w:val="false"/>
          <w:iCs w:val="false"/>
          <w:color w:val="333333"/>
          <w:sz w:val="22"/>
          <w:szCs w:val="22"/>
        </w:rPr>
        <w:t xml:space="preserve">Upon completion of all three phases, Onboarda will achieve the following compliance posture:</w:t>
      </w:r>
    </w:p>
    <w:p>
      <w:pPr>
        <w:spacing w:after="80"/>
      </w:pPr>
    </w:p>
    <w:p>
      <w:pPr>
        <w:pStyle w:val="Heading2"/>
        <w:spacing w:after="120" w:before="240"/>
      </w:pPr>
      <w:r>
        <w:rPr>
          <w:rFonts w:ascii="Arial" w:cs="Arial" w:eastAsia="Arial" w:hAnsi="Arial"/>
        </w:rPr>
        <w:t xml:space="preserve">H.1 What 'Fully Compliant' Looks Like</w:t>
      </w:r>
    </w:p>
    <w:p>
      <w:pPr>
        <w:pStyle w:val="ListParagraph"/>
        <w:numPr>
          <w:ilvl w:val="0"/>
          <w:numId w:val="2"/>
        </w:numPr>
        <w:spacing w:after="60"/>
      </w:pPr>
      <w:r>
        <w:rPr>
          <w:rFonts w:ascii="Arial" w:cs="Arial" w:eastAsia="Arial" w:hAnsi="Arial"/>
          <w:sz w:val="22"/>
          <w:szCs w:val="22"/>
        </w:rPr>
        <w:t xml:space="preserve">FSC AI Guidance: All 7 principles addressed with documented evidence. AI Governance Policy board-approved. Model inventory maintained. Bias monitoring active. Human oversight enforced through 4-layer architecture with mandatory SCO review.</w:t>
      </w:r>
    </w:p>
    <w:p>
      <w:pPr>
        <w:pStyle w:val="ListParagraph"/>
        <w:numPr>
          <w:ilvl w:val="0"/>
          <w:numId w:val="2"/>
        </w:numPr>
        <w:spacing w:after="60"/>
      </w:pPr>
      <w:r>
        <w:rPr>
          <w:rFonts w:ascii="Arial" w:cs="Arial" w:eastAsia="Arial" w:hAnsi="Arial"/>
          <w:sz w:val="22"/>
          <w:szCs w:val="22"/>
        </w:rPr>
        <w:t xml:space="preserve">DPA 2017: DPIA completed and current. Data subject rights fully operationalised (access, erasure, export, rectify, object). Consent management active. Data minimisation applied to Claude prompts. Privacy notice published. Data retention policy enforced automatically.</w:t>
      </w:r>
    </w:p>
    <w:p>
      <w:pPr>
        <w:pStyle w:val="ListParagraph"/>
        <w:numPr>
          <w:ilvl w:val="0"/>
          <w:numId w:val="2"/>
        </w:numPr>
        <w:spacing w:after="60"/>
      </w:pPr>
      <w:r>
        <w:rPr>
          <w:rFonts w:ascii="Arial" w:cs="Arial" w:eastAsia="Arial" w:hAnsi="Arial"/>
          <w:sz w:val="22"/>
          <w:szCs w:val="22"/>
        </w:rPr>
        <w:t xml:space="preserve">Cybersecurity Act 2021: IRP tested and current. Incident logging operational. CERT-MU reporting process defined and tested. MFA enforced for privileged roles. SIEM integration active. Anomaly detection monitoring API usage, login patterns, and memo generation patterns.</w:t>
      </w:r>
    </w:p>
    <w:p>
      <w:pPr>
        <w:pStyle w:val="ListParagraph"/>
        <w:numPr>
          <w:ilvl w:val="0"/>
          <w:numId w:val="2"/>
        </w:numPr>
        <w:spacing w:after="60"/>
      </w:pPr>
      <w:r>
        <w:rPr>
          <w:rFonts w:ascii="Arial" w:cs="Arial" w:eastAsia="Arial" w:hAnsi="Arial"/>
          <w:sz w:val="22"/>
          <w:szCs w:val="22"/>
        </w:rPr>
        <w:t xml:space="preserve">Vendor Risk: Anthropic DPA executed. Vendor risk assessment documented and current. Cross-border data transfer controls in place. Deterministic fallback operational and tested. API health monitoring active.</w:t>
      </w:r>
    </w:p>
    <w:p>
      <w:pPr>
        <w:spacing w:after="80"/>
      </w:pPr>
    </w:p>
    <w:p>
      <w:pPr>
        <w:pStyle w:val="Heading2"/>
        <w:spacing w:after="120" w:before="240"/>
      </w:pPr>
      <w:r>
        <w:rPr>
          <w:rFonts w:ascii="Arial" w:cs="Arial" w:eastAsia="Arial" w:hAnsi="Arial"/>
        </w:rPr>
        <w:t xml:space="preserve">H.2 Evidence for Regulators</w:t>
      </w:r>
    </w:p>
    <w:p>
      <w:pPr>
        <w:spacing w:after="120"/>
      </w:pPr>
      <w:r>
        <w:rPr>
          <w:rFonts w:ascii="Arial" w:cs="Arial" w:eastAsia="Arial" w:hAnsi="Arial"/>
          <w:b/>
          <w:bCs/>
          <w:i w:val="false"/>
          <w:iCs w:val="false"/>
          <w:color w:val="333333"/>
          <w:sz w:val="22"/>
          <w:szCs w:val="22"/>
        </w:rPr>
        <w:t xml:space="preserve">Evidence Package for FSC:</w:t>
      </w:r>
    </w:p>
    <w:p>
      <w:pPr>
        <w:pStyle w:val="ListParagraph"/>
        <w:numPr>
          <w:ilvl w:val="0"/>
          <w:numId w:val="2"/>
        </w:numPr>
        <w:spacing w:after="60"/>
      </w:pPr>
      <w:r>
        <w:rPr>
          <w:rFonts w:ascii="Arial" w:cs="Arial" w:eastAsia="Arial" w:hAnsi="Arial"/>
          <w:sz w:val="22"/>
          <w:szCs w:val="22"/>
        </w:rPr>
        <w:t xml:space="preserve">AI Governance Policy (board-approved) with model inventory and validation schedule</w:t>
      </w:r>
    </w:p>
    <w:p>
      <w:pPr>
        <w:pStyle w:val="ListParagraph"/>
        <w:numPr>
          <w:ilvl w:val="0"/>
          <w:numId w:val="2"/>
        </w:numPr>
        <w:spacing w:after="60"/>
      </w:pPr>
      <w:r>
        <w:rPr>
          <w:rFonts w:ascii="Arial" w:cs="Arial" w:eastAsia="Arial" w:hAnsi="Arial"/>
          <w:sz w:val="22"/>
          <w:szCs w:val="22"/>
        </w:rPr>
        <w:t xml:space="preserve">AI Explainability samples: 3 sample compliance memos showing structured factor display, rule engine enforcements, supervisor verdicts</w:t>
      </w:r>
    </w:p>
    <w:p>
      <w:pPr>
        <w:pStyle w:val="ListParagraph"/>
        <w:numPr>
          <w:ilvl w:val="0"/>
          <w:numId w:val="2"/>
        </w:numPr>
        <w:spacing w:after="60"/>
      </w:pPr>
      <w:r>
        <w:rPr>
          <w:rFonts w:ascii="Arial" w:cs="Arial" w:eastAsia="Arial" w:hAnsi="Arial"/>
          <w:sz w:val="22"/>
          <w:szCs w:val="22"/>
        </w:rPr>
        <w:t xml:space="preserve">Bias monitoring report: 90-day metrics showing no systematic disparities</w:t>
      </w:r>
    </w:p>
    <w:p>
      <w:pPr>
        <w:pStyle w:val="ListParagraph"/>
        <w:numPr>
          <w:ilvl w:val="0"/>
          <w:numId w:val="2"/>
        </w:numPr>
        <w:spacing w:after="60"/>
      </w:pPr>
      <w:r>
        <w:rPr>
          <w:rFonts w:ascii="Arial" w:cs="Arial" w:eastAsia="Arial" w:hAnsi="Arial"/>
          <w:sz w:val="22"/>
          <w:szCs w:val="22"/>
        </w:rPr>
        <w:t xml:space="preserve">Human oversight evidence: approval rates, override analysis, SCO review logs</w:t>
      </w:r>
    </w:p>
    <w:p>
      <w:pPr>
        <w:pStyle w:val="ListParagraph"/>
        <w:numPr>
          <w:ilvl w:val="0"/>
          <w:numId w:val="2"/>
        </w:numPr>
        <w:spacing w:after="60"/>
      </w:pPr>
      <w:r>
        <w:rPr>
          <w:rFonts w:ascii="Arial" w:cs="Arial" w:eastAsia="Arial" w:hAnsi="Arial"/>
          <w:sz w:val="22"/>
          <w:szCs w:val="22"/>
        </w:rPr>
        <w:t xml:space="preserve">System architecture diagram showing 4-layer pipeline with independent validation</w:t>
      </w:r>
    </w:p>
    <w:p>
      <w:pPr>
        <w:spacing w:after="80"/>
      </w:pPr>
    </w:p>
    <w:p>
      <w:pPr>
        <w:spacing w:after="120"/>
      </w:pPr>
      <w:r>
        <w:rPr>
          <w:rFonts w:ascii="Arial" w:cs="Arial" w:eastAsia="Arial" w:hAnsi="Arial"/>
          <w:b/>
          <w:bCs/>
          <w:i w:val="false"/>
          <w:iCs w:val="false"/>
          <w:color w:val="333333"/>
          <w:sz w:val="22"/>
          <w:szCs w:val="22"/>
        </w:rPr>
        <w:t xml:space="preserve">Evidence Package for Data Protection Office:</w:t>
      </w:r>
    </w:p>
    <w:p>
      <w:pPr>
        <w:pStyle w:val="ListParagraph"/>
        <w:numPr>
          <w:ilvl w:val="0"/>
          <w:numId w:val="2"/>
        </w:numPr>
        <w:spacing w:after="60"/>
      </w:pPr>
      <w:r>
        <w:rPr>
          <w:rFonts w:ascii="Arial" w:cs="Arial" w:eastAsia="Arial" w:hAnsi="Arial"/>
          <w:sz w:val="22"/>
          <w:szCs w:val="22"/>
        </w:rPr>
        <w:t xml:space="preserve">DPIA (current version, approved)</w:t>
      </w:r>
    </w:p>
    <w:p>
      <w:pPr>
        <w:pStyle w:val="ListParagraph"/>
        <w:numPr>
          <w:ilvl w:val="0"/>
          <w:numId w:val="2"/>
        </w:numPr>
        <w:spacing w:after="60"/>
      </w:pPr>
      <w:r>
        <w:rPr>
          <w:rFonts w:ascii="Arial" w:cs="Arial" w:eastAsia="Arial" w:hAnsi="Arial"/>
          <w:sz w:val="22"/>
          <w:szCs w:val="22"/>
        </w:rPr>
        <w:t xml:space="preserve">Privacy Notice (published, accessible to data subjects)</w:t>
      </w:r>
    </w:p>
    <w:p>
      <w:pPr>
        <w:pStyle w:val="ListParagraph"/>
        <w:numPr>
          <w:ilvl w:val="0"/>
          <w:numId w:val="2"/>
        </w:numPr>
        <w:spacing w:after="60"/>
      </w:pPr>
      <w:r>
        <w:rPr>
          <w:rFonts w:ascii="Arial" w:cs="Arial" w:eastAsia="Arial" w:hAnsi="Arial"/>
          <w:sz w:val="22"/>
          <w:szCs w:val="22"/>
        </w:rPr>
        <w:t xml:space="preserve">Data Subject Rights: audit trail showing requests processed within 30 days</w:t>
      </w:r>
    </w:p>
    <w:p>
      <w:pPr>
        <w:pStyle w:val="ListParagraph"/>
        <w:numPr>
          <w:ilvl w:val="0"/>
          <w:numId w:val="2"/>
        </w:numPr>
        <w:spacing w:after="60"/>
      </w:pPr>
      <w:r>
        <w:rPr>
          <w:rFonts w:ascii="Arial" w:cs="Arial" w:eastAsia="Arial" w:hAnsi="Arial"/>
          <w:sz w:val="22"/>
          <w:szCs w:val="22"/>
        </w:rPr>
        <w:t xml:space="preserve">Consent records: demonstration of consent lifecycle management</w:t>
      </w:r>
    </w:p>
    <w:p>
      <w:pPr>
        <w:pStyle w:val="ListParagraph"/>
        <w:numPr>
          <w:ilvl w:val="0"/>
          <w:numId w:val="2"/>
        </w:numPr>
        <w:spacing w:after="60"/>
      </w:pPr>
      <w:r>
        <w:rPr>
          <w:rFonts w:ascii="Arial" w:cs="Arial" w:eastAsia="Arial" w:hAnsi="Arial"/>
          <w:sz w:val="22"/>
          <w:szCs w:val="22"/>
        </w:rPr>
        <w:t xml:space="preserve">Data minimisation evidence: prompt sanitisation logs showing pseudonymisation</w:t>
      </w:r>
    </w:p>
    <w:p>
      <w:pPr>
        <w:pStyle w:val="ListParagraph"/>
        <w:numPr>
          <w:ilvl w:val="0"/>
          <w:numId w:val="2"/>
        </w:numPr>
        <w:spacing w:after="60"/>
      </w:pPr>
      <w:r>
        <w:rPr>
          <w:rFonts w:ascii="Arial" w:cs="Arial" w:eastAsia="Arial" w:hAnsi="Arial"/>
          <w:sz w:val="22"/>
          <w:szCs w:val="22"/>
        </w:rPr>
        <w:t xml:space="preserve">Cross-border transfer documentation: DPA with Anthropic, SCCs or adequacy basis</w:t>
      </w:r>
    </w:p>
    <w:p>
      <w:pPr>
        <w:pStyle w:val="ListParagraph"/>
        <w:numPr>
          <w:ilvl w:val="0"/>
          <w:numId w:val="2"/>
        </w:numPr>
        <w:spacing w:after="60"/>
      </w:pPr>
      <w:r>
        <w:rPr>
          <w:rFonts w:ascii="Arial" w:cs="Arial" w:eastAsia="Arial" w:hAnsi="Arial"/>
          <w:sz w:val="22"/>
          <w:szCs w:val="22"/>
        </w:rPr>
        <w:t xml:space="preserve">Data retention: evidence of automated retention enforcement</w:t>
      </w:r>
    </w:p>
    <w:p>
      <w:pPr>
        <w:spacing w:after="80"/>
      </w:pPr>
    </w:p>
    <w:p>
      <w:pPr>
        <w:spacing w:after="120"/>
      </w:pPr>
      <w:r>
        <w:rPr>
          <w:rFonts w:ascii="Arial" w:cs="Arial" w:eastAsia="Arial" w:hAnsi="Arial"/>
          <w:b/>
          <w:bCs/>
          <w:i w:val="false"/>
          <w:iCs w:val="false"/>
          <w:color w:val="333333"/>
          <w:sz w:val="22"/>
          <w:szCs w:val="22"/>
        </w:rPr>
        <w:t xml:space="preserve">Evidence Package for External Auditors:</w:t>
      </w:r>
    </w:p>
    <w:p>
      <w:pPr>
        <w:pStyle w:val="ListParagraph"/>
        <w:numPr>
          <w:ilvl w:val="0"/>
          <w:numId w:val="2"/>
        </w:numPr>
        <w:spacing w:after="60"/>
      </w:pPr>
      <w:r>
        <w:rPr>
          <w:rFonts w:ascii="Arial" w:cs="Arial" w:eastAsia="Arial" w:hAnsi="Arial"/>
          <w:sz w:val="22"/>
          <w:szCs w:val="22"/>
        </w:rPr>
        <w:t xml:space="preserve">Complete audit log with hash-chain integrity verification</w:t>
      </w:r>
    </w:p>
    <w:p>
      <w:pPr>
        <w:pStyle w:val="ListParagraph"/>
        <w:numPr>
          <w:ilvl w:val="0"/>
          <w:numId w:val="2"/>
        </w:numPr>
        <w:spacing w:after="60"/>
      </w:pPr>
      <w:r>
        <w:rPr>
          <w:rFonts w:ascii="Arial" w:cs="Arial" w:eastAsia="Arial" w:hAnsi="Arial"/>
          <w:sz w:val="22"/>
          <w:szCs w:val="22"/>
        </w:rPr>
        <w:t xml:space="preserve">RBAC configuration with access control evidence</w:t>
      </w:r>
    </w:p>
    <w:p>
      <w:pPr>
        <w:pStyle w:val="ListParagraph"/>
        <w:numPr>
          <w:ilvl w:val="0"/>
          <w:numId w:val="2"/>
        </w:numPr>
        <w:spacing w:after="60"/>
      </w:pPr>
      <w:r>
        <w:rPr>
          <w:rFonts w:ascii="Arial" w:cs="Arial" w:eastAsia="Arial" w:hAnsi="Arial"/>
          <w:sz w:val="22"/>
          <w:szCs w:val="22"/>
        </w:rPr>
        <w:t xml:space="preserve">Encryption evidence: Fernet PII encryption, TLS configuration</w:t>
      </w:r>
    </w:p>
    <w:p>
      <w:pPr>
        <w:pStyle w:val="ListParagraph"/>
        <w:numPr>
          <w:ilvl w:val="0"/>
          <w:numId w:val="2"/>
        </w:numPr>
        <w:spacing w:after="60"/>
      </w:pPr>
      <w:r>
        <w:rPr>
          <w:rFonts w:ascii="Arial" w:cs="Arial" w:eastAsia="Arial" w:hAnsi="Arial"/>
          <w:sz w:val="22"/>
          <w:szCs w:val="22"/>
        </w:rPr>
        <w:t xml:space="preserve">Incident response: IRP document, tabletop exercise results, incident log</w:t>
      </w:r>
    </w:p>
    <w:p>
      <w:pPr>
        <w:pStyle w:val="ListParagraph"/>
        <w:numPr>
          <w:ilvl w:val="0"/>
          <w:numId w:val="2"/>
        </w:numPr>
        <w:spacing w:after="60"/>
      </w:pPr>
      <w:r>
        <w:rPr>
          <w:rFonts w:ascii="Arial" w:cs="Arial" w:eastAsia="Arial" w:hAnsi="Arial"/>
          <w:sz w:val="22"/>
          <w:szCs w:val="22"/>
        </w:rPr>
        <w:t xml:space="preserve">Vendor risk: assessment documents, DPA, health monitoring logs</w:t>
      </w:r>
    </w:p>
    <w:p>
      <w:pPr>
        <w:pStyle w:val="ListParagraph"/>
        <w:numPr>
          <w:ilvl w:val="0"/>
          <w:numId w:val="2"/>
        </w:numPr>
        <w:spacing w:after="60"/>
      </w:pPr>
      <w:r>
        <w:rPr>
          <w:rFonts w:ascii="Arial" w:cs="Arial" w:eastAsia="Arial" w:hAnsi="Arial"/>
          <w:sz w:val="22"/>
          <w:szCs w:val="22"/>
        </w:rPr>
        <w:t xml:space="preserve">Business continuity: deterministic fallback test results, API availability metrics</w:t>
      </w:r>
    </w:p>
    <w:p>
      <w:pPr>
        <w:pStyle w:val="ListParagraph"/>
        <w:numPr>
          <w:ilvl w:val="0"/>
          <w:numId w:val="2"/>
        </w:numPr>
        <w:spacing w:after="60"/>
      </w:pPr>
      <w:r>
        <w:rPr>
          <w:rFonts w:ascii="Arial" w:cs="Arial" w:eastAsia="Arial" w:hAnsi="Arial"/>
          <w:sz w:val="22"/>
          <w:szCs w:val="22"/>
        </w:rPr>
        <w:t xml:space="preserve">Bias monitoring: methodology document, metric computations, alert history</w:t>
      </w:r>
    </w:p>
    <w:p>
      <w:pPr>
        <w:spacing w:after="80"/>
      </w:pPr>
    </w:p>
    <w:p>
      <w:pPr>
        <w:spacing w:after="120"/>
      </w:pPr>
      <w:r>
        <w:rPr>
          <w:rFonts w:ascii="Arial" w:cs="Arial" w:eastAsia="Arial" w:hAnsi="Arial"/>
          <w:b/>
          <w:bCs/>
          <w:i w:val="false"/>
          <w:iCs w:val="false"/>
          <w:color w:val="333333"/>
          <w:sz w:val="22"/>
          <w:szCs w:val="22"/>
        </w:rPr>
        <w:t xml:space="preserve">This blueprint provides a complete, practical, and implementable path from the current state (READY WITH MINOR FIXES) to full regulatory compliance suitable for deployment in a licensed financial institution in Mauritius.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Onboarda Regulatory Remediation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2026-03-21T17:24:37.569Z</dcterms:created>
  <dcterms:modified xsi:type="dcterms:W3CDTF">2026-03-21T17:24:37.574Z</dcterms:modified>
</cp:coreProperties>
</file>

<file path=docProps/custom.xml><?xml version="1.0" encoding="utf-8"?>
<Properties xmlns="http://schemas.openxmlformats.org/officeDocument/2006/custom-properties" xmlns:vt="http://schemas.openxmlformats.org/officeDocument/2006/docPropsVTypes"/>
</file>