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aps/>
          <w:color w:val="C62828"/>
          <w:sz w:val="22"/>
          <w:szCs w:val="22"/>
        </w:rPr>
        <w:t xml:space="preserve">CONFIDENTIAL</w:t>
      </w:r>
    </w:p>
    <w:p>
      <w:pPr>
        <w:spacing w:after="400"/>
      </w:pPr>
    </w:p>
    <w:p>
      <w:pPr>
        <w:spacing w:after="100"/>
        <w:jc w:val="center"/>
      </w:pPr>
      <w:r>
        <w:rPr>
          <w:rFonts w:ascii="Arial" w:cs="Arial" w:eastAsia="Arial" w:hAnsi="Arial"/>
          <w:b/>
          <w:bCs/>
          <w:color w:val="1B3A5C"/>
          <w:sz w:val="56"/>
          <w:szCs w:val="56"/>
        </w:rPr>
        <w:t xml:space="preserve">ONBOARDA</w:t>
      </w:r>
    </w:p>
    <w:p>
      <w:pPr>
        <w:spacing w:after="80"/>
        <w:jc w:val="center"/>
      </w:pPr>
      <w:r>
        <w:rPr>
          <w:rFonts w:ascii="Arial" w:cs="Arial" w:eastAsia="Arial" w:hAnsi="Arial"/>
          <w:color w:val="2E75B6"/>
          <w:sz w:val="28"/>
          <w:szCs w:val="28"/>
        </w:rPr>
        <w:t xml:space="preserve">AI-Powered Compliance Onboarding Platform</w:t>
      </w:r>
    </w:p>
    <w:p>
      <w:pPr>
        <w:pBdr>
          <w:bottom w:val="single" w:color="2E75B6" w:sz="6" w:space="1"/>
        </w:pBdr>
        <w:spacing w:before="200" w:after="200"/>
      </w:pPr>
    </w:p>
    <w:p>
      <w:pPr>
        <w:spacing w:after="400"/>
        <w:jc w:val="center"/>
      </w:pPr>
      <w:r>
        <w:rPr>
          <w:rFonts w:ascii="Arial" w:cs="Arial" w:eastAsia="Arial" w:hAnsi="Arial"/>
          <w:b/>
          <w:bCs/>
          <w:color w:val="1B3A5C"/>
          <w:sz w:val="36"/>
          <w:szCs w:val="36"/>
        </w:rPr>
        <w:t xml:space="preserve">Technical &amp; Product Dossier</w:t>
      </w:r>
    </w:p>
    <w:p>
      <w:pPr>
        <w:spacing w:after="400"/>
      </w:pPr>
    </w:p>
    <w:p>
      <w:pPr>
        <w:spacing w:after="60"/>
        <w:jc w:val="center"/>
      </w:pPr>
      <w:r>
        <w:rPr>
          <w:rFonts w:ascii="Arial" w:cs="Arial" w:eastAsia="Arial" w:hAnsi="Arial"/>
          <w:color w:val="666666"/>
          <w:sz w:val="20"/>
          <w:szCs w:val="20"/>
        </w:rPr>
        <w:t xml:space="preserve">Prepared for: Investors, Acquirers &amp; Due Diligence Teams</w:t>
      </w:r>
    </w:p>
    <w:p>
      <w:pPr>
        <w:spacing w:after="60"/>
        <w:jc w:val="center"/>
      </w:pPr>
      <w:r>
        <w:rPr>
          <w:rFonts w:ascii="Arial" w:cs="Arial" w:eastAsia="Arial" w:hAnsi="Arial"/>
          <w:color w:val="666666"/>
          <w:sz w:val="20"/>
          <w:szCs w:val="20"/>
        </w:rPr>
        <w:t xml:space="preserve">Classification: Confidential</w:t>
      </w:r>
    </w:p>
    <w:p>
      <w:pPr>
        <w:spacing w:after="60"/>
        <w:jc w:val="center"/>
      </w:pPr>
      <w:r>
        <w:rPr>
          <w:rFonts w:ascii="Arial" w:cs="Arial" w:eastAsia="Arial" w:hAnsi="Arial"/>
          <w:color w:val="666666"/>
          <w:sz w:val="20"/>
          <w:szCs w:val="20"/>
        </w:rPr>
        <w:t xml:space="preserve">Version: 1.0  |  March 2026</w:t>
      </w:r>
    </w:p>
    <w:p>
      <w:pPr>
        <w:spacing w:after="60"/>
        <w:jc w:val="center"/>
      </w:pPr>
      <w:r>
        <w:rPr>
          <w:rFonts w:ascii="Arial" w:cs="Arial" w:eastAsia="Arial" w:hAnsi="Arial"/>
          <w:color w:val="666666"/>
          <w:sz w:val="20"/>
          <w:szCs w:val="20"/>
        </w:rPr>
        <w:t xml:space="preserve">ARIE Finance Ltd  |  Mauritius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60" w:line="276"/>
        <w:jc w:val="both"/>
      </w:pPr>
      <w:r>
        <w:rPr>
          <w:rFonts w:ascii="Arial" w:cs="Arial" w:eastAsia="Arial" w:hAnsi="Arial"/>
          <w:b w:val="false"/>
          <w:bCs w:val="false"/>
          <w:i w:val="false"/>
          <w:iCs w:val="false"/>
          <w:color w:val="333333"/>
          <w:sz w:val="21"/>
          <w:szCs w:val="21"/>
        </w:rPr>
        <w:t xml:space="preserve">Onboarda is a vertically integrated, AI-powered compliance onboarding platform designed for regulated financial institutions, payment service providers (PSPs), corporate service providers (CSPs), and management companies operating under AML/CFT regulatory frameworks. The platform automates the full client onboarding lifecycle from initial application through risk assessment, screening, document verification, compliance memo generation, and ongoing monitoring.</w:t>
      </w:r>
    </w:p>
    <w:p>
      <w:pPr>
        <w:spacing w:after="160" w:line="276"/>
        <w:jc w:val="both"/>
      </w:pPr>
      <w:r>
        <w:rPr>
          <w:rFonts w:ascii="Arial" w:cs="Arial" w:eastAsia="Arial" w:hAnsi="Arial"/>
          <w:b w:val="false"/>
          <w:bCs w:val="false"/>
          <w:i w:val="false"/>
          <w:iCs w:val="false"/>
          <w:color w:val="333333"/>
          <w:sz w:val="21"/>
          <w:szCs w:val="21"/>
        </w:rPr>
        <w:t xml:space="preserve">The system is architected around five specialised AI agents powered by Anthropic’s Claude API, each handling a distinct compliance function: identity and document integrity verification (66 automated checks), corporate structure and UBO mapping, business model plausibility assessment, financial crime screening interpretation, and composite risk scoring with compliance memo generation. These agents operate within a structured validation framework that enforces confidence thresholds, Pydantic schema validation, and mandatory human oversight for all final decisions.</w:t>
      </w:r>
    </w:p>
    <w:p>
      <w:pPr>
        <w:spacing w:after="160" w:line="276"/>
        <w:jc w:val="both"/>
      </w:pPr>
      <w:r>
        <w:rPr>
          <w:rFonts w:ascii="Arial" w:cs="Arial" w:eastAsia="Arial" w:hAnsi="Arial"/>
          <w:b w:val="false"/>
          <w:bCs w:val="false"/>
          <w:i w:val="false"/>
          <w:iCs w:val="false"/>
          <w:color w:val="333333"/>
          <w:sz w:val="21"/>
          <w:szCs w:val="21"/>
        </w:rPr>
        <w:t xml:space="preserve">Onboarda is currently at pilot-ready maturity. The platform has undergone a comprehensive security audit covering 12 critical and high-severity findings, all of which have been remediated and certified. The system is deployed on Render.com with dual environments (production and demo) and supports both live API integrations (Sumsub KYC, OpenSanctions, OpenCorporates) and a fully simulated demo mode for client demonstrations.</w:t>
      </w:r>
    </w:p>
    <w:p>
      <w:pPr>
        <w:pStyle w:val="Heading3"/>
        <w:spacing w:before="240" w:after="200"/>
      </w:pPr>
      <w:r>
        <w:rPr>
          <w:rFonts w:ascii="Arial" w:cs="Arial" w:eastAsia="Arial" w:hAnsi="Arial"/>
          <w:b/>
          <w:bCs/>
          <w:color w:val="1B3A5C"/>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Total Codebase</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24,341 lines across 9 core modules</w:t>
            </w:r>
          </w:p>
        </w:tc>
      </w:tr>
      <w:tr>
        <w:tc>
          <w:tcPr>
            <w:tcW w:type="dxa" w:w="4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AI Agents</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5 specialised compliance agents</w:t>
            </w:r>
          </w:p>
        </w:tc>
      </w:tr>
      <w:tr>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Automated Checks</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66 identity/document verification checks per application</w:t>
            </w:r>
          </w:p>
        </w:tc>
      </w:tr>
      <w:tr>
        <w:tc>
          <w:tcPr>
            <w:tcW w:type="dxa" w:w="4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Risk Dimensions</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5-dimension composite scoring (Jurisdiction, Entity, Ownership, FinCrime, Document)</w:t>
            </w:r>
          </w:p>
        </w:tc>
      </w:tr>
      <w:tr>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API Endpoints</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55+ RESTful endpoints</w:t>
            </w:r>
          </w:p>
        </w:tc>
      </w:tr>
      <w:tr>
        <w:tc>
          <w:tcPr>
            <w:tcW w:type="dxa" w:w="4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Security Controls</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172 XSS protections, rate limiting, PII encryption, CSRF, HSTS</w:t>
            </w:r>
          </w:p>
        </w:tc>
      </w:tr>
      <w:tr>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Audit Status</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CONDITIONAL GO — all Critical/High findings remediated</w:t>
            </w:r>
          </w:p>
        </w:tc>
      </w:tr>
      <w:tr>
        <w:tc>
          <w:tcPr>
            <w:tcW w:type="dxa" w:w="4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Deployment</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Dual-environment (Live + Demo) on Render.com</w:t>
            </w:r>
          </w:p>
        </w:tc>
      </w:tr>
    </w:tbl>
    <w:p>
      <w:r>
        <w:br w:type="page"/>
      </w:r>
    </w:p>
    <w:p>
      <w:pPr>
        <w:pStyle w:val="Heading1"/>
        <w:spacing w:before="360" w:after="200"/>
      </w:pPr>
      <w:r>
        <w:rPr>
          <w:rFonts w:ascii="Arial" w:cs="Arial" w:eastAsia="Arial" w:hAnsi="Arial"/>
          <w:b/>
          <w:bCs/>
          <w:color w:val="1B3A5C"/>
          <w:sz w:val="32"/>
          <w:szCs w:val="32"/>
        </w:rPr>
        <w:t xml:space="preserve">2. System Overview</w:t>
      </w:r>
    </w:p>
    <w:p>
      <w:pPr>
        <w:pStyle w:val="Heading2"/>
        <w:spacing w:before="240" w:after="200"/>
      </w:pPr>
      <w:r>
        <w:rPr>
          <w:rFonts w:ascii="Arial" w:cs="Arial" w:eastAsia="Arial" w:hAnsi="Arial"/>
          <w:b/>
          <w:bCs/>
          <w:color w:val="1B3A5C"/>
          <w:sz w:val="26"/>
          <w:szCs w:val="26"/>
        </w:rPr>
        <w:t xml:space="preserve">2.1 Onboarding Lifecycle</w:t>
      </w:r>
    </w:p>
    <w:p>
      <w:pPr>
        <w:spacing w:after="160" w:line="276"/>
        <w:jc w:val="both"/>
      </w:pPr>
      <w:r>
        <w:rPr>
          <w:rFonts w:ascii="Arial" w:cs="Arial" w:eastAsia="Arial" w:hAnsi="Arial"/>
          <w:b w:val="false"/>
          <w:bCs w:val="false"/>
          <w:i w:val="false"/>
          <w:iCs w:val="false"/>
          <w:color w:val="333333"/>
          <w:sz w:val="21"/>
          <w:szCs w:val="21"/>
        </w:rPr>
        <w:t xml:space="preserve">The platform manages the complete client-to-approval journey through a state-machine-driven workflow with 13 distinct application states: draft, prescreening_submitted, pricing_review, pricing_accepted, kyc_documents, kyc_submitted, compliance_review, in_review, edd_required, approved, rejected, rmi_sent, and withdrawn. Each state transition is enforced server-side, preventing any out-of-sequence progression.</w:t>
      </w:r>
    </w:p>
    <w:p>
      <w:pPr>
        <w:pStyle w:val="Heading3"/>
        <w:spacing w:before="240" w:after="200"/>
      </w:pPr>
      <w:r>
        <w:rPr>
          <w:rFonts w:ascii="Arial" w:cs="Arial" w:eastAsia="Arial" w:hAnsi="Arial"/>
          <w:b/>
          <w:bCs/>
          <w:color w:val="1B3A5C"/>
          <w:sz w:val="22"/>
          <w:szCs w:val="22"/>
        </w:rPr>
        <w:t xml:space="preserve">Client Journey</w:t>
      </w:r>
    </w:p>
    <w:p>
      <w:pPr>
        <w:pStyle w:val="ListParagraph"/>
        <w:numPr>
          <w:ilvl w:val="0"/>
          <w:numId w:val="2"/>
        </w:numPr>
        <w:spacing w:after="80" w:line="276"/>
      </w:pPr>
      <w:r>
        <w:rPr>
          <w:rFonts w:ascii="Arial" w:cs="Arial" w:eastAsia="Arial" w:hAnsi="Arial"/>
          <w:color w:val="333333"/>
          <w:sz w:val="21"/>
          <w:szCs w:val="21"/>
        </w:rPr>
        <w:t xml:space="preserve">Client registers and begins a new application via the self-service portal</w:t>
      </w:r>
    </w:p>
    <w:p>
      <w:pPr>
        <w:pStyle w:val="ListParagraph"/>
        <w:numPr>
          <w:ilvl w:val="0"/>
          <w:numId w:val="2"/>
        </w:numPr>
        <w:spacing w:after="80" w:line="276"/>
      </w:pPr>
      <w:r>
        <w:rPr>
          <w:rFonts w:ascii="Arial" w:cs="Arial" w:eastAsia="Arial" w:hAnsi="Arial"/>
          <w:color w:val="333333"/>
          <w:sz w:val="21"/>
          <w:szCs w:val="21"/>
        </w:rPr>
        <w:t xml:space="preserve">Pre-screening data is collected: company details, jurisdiction, sector, entity type, ownership structure, directors, UBOs, and operating countries</w:t>
      </w:r>
    </w:p>
    <w:p>
      <w:pPr>
        <w:pStyle w:val="ListParagraph"/>
        <w:numPr>
          <w:ilvl w:val="0"/>
          <w:numId w:val="2"/>
        </w:numPr>
        <w:spacing w:after="80" w:line="276"/>
      </w:pPr>
      <w:r>
        <w:rPr>
          <w:rFonts w:ascii="Arial" w:cs="Arial" w:eastAsia="Arial" w:hAnsi="Arial"/>
          <w:color w:val="333333"/>
          <w:sz w:val="21"/>
          <w:szCs w:val="21"/>
        </w:rPr>
        <w:t xml:space="preserve">Real-time screening runs automatically against sanctions lists (OpenSanctions/Sumsub AML), corporate registries (OpenCorporates), and IP geolocation databases</w:t>
      </w:r>
    </w:p>
    <w:p>
      <w:pPr>
        <w:pStyle w:val="ListParagraph"/>
        <w:numPr>
          <w:ilvl w:val="0"/>
          <w:numId w:val="2"/>
        </w:numPr>
        <w:spacing w:after="80" w:line="276"/>
      </w:pPr>
      <w:r>
        <w:rPr>
          <w:rFonts w:ascii="Arial" w:cs="Arial" w:eastAsia="Arial" w:hAnsi="Arial"/>
          <w:color w:val="333333"/>
          <w:sz w:val="21"/>
          <w:szCs w:val="21"/>
        </w:rPr>
        <w:t xml:space="preserve">AI Agent 5 computes a 5-dimension composite risk score and assigns an onboarding lane (Fast Lane, Standard Review, EDD, or Critical EDD)</w:t>
      </w:r>
    </w:p>
    <w:p>
      <w:pPr>
        <w:pStyle w:val="ListParagraph"/>
        <w:numPr>
          <w:ilvl w:val="0"/>
          <w:numId w:val="2"/>
        </w:numPr>
        <w:spacing w:after="80" w:line="276"/>
      </w:pPr>
      <w:r>
        <w:rPr>
          <w:rFonts w:ascii="Arial" w:cs="Arial" w:eastAsia="Arial" w:hAnsi="Arial"/>
          <w:color w:val="333333"/>
          <w:sz w:val="21"/>
          <w:szCs w:val="21"/>
        </w:rPr>
        <w:t xml:space="preserve">Risk-based pricing is generated automatically based on the computed risk tier (Low: $500, Medium: $1,500, High: $3,500, Very High: $5,000 onboarding fee)</w:t>
      </w:r>
    </w:p>
    <w:p>
      <w:pPr>
        <w:pStyle w:val="ListParagraph"/>
        <w:numPr>
          <w:ilvl w:val="0"/>
          <w:numId w:val="2"/>
        </w:numPr>
        <w:spacing w:after="80" w:line="276"/>
      </w:pPr>
      <w:r>
        <w:rPr>
          <w:rFonts w:ascii="Arial" w:cs="Arial" w:eastAsia="Arial" w:hAnsi="Arial"/>
          <w:color w:val="333333"/>
          <w:sz w:val="21"/>
          <w:szCs w:val="21"/>
        </w:rPr>
        <w:t xml:space="preserve">Client reviews and accepts pricing, then uploads required KYC/AML documents</w:t>
      </w:r>
    </w:p>
    <w:p>
      <w:pPr>
        <w:pStyle w:val="ListParagraph"/>
        <w:numPr>
          <w:ilvl w:val="0"/>
          <w:numId w:val="2"/>
        </w:numPr>
        <w:spacing w:after="80" w:line="276"/>
      </w:pPr>
      <w:r>
        <w:rPr>
          <w:rFonts w:ascii="Arial" w:cs="Arial" w:eastAsia="Arial" w:hAnsi="Arial"/>
          <w:color w:val="333333"/>
          <w:sz w:val="21"/>
          <w:szCs w:val="21"/>
        </w:rPr>
        <w:t xml:space="preserve">AI Agent 1 runs 66 automated checks on each uploaded document (validity, expiry, name consistency, quality)</w:t>
      </w:r>
    </w:p>
    <w:p>
      <w:pPr>
        <w:pStyle w:val="ListParagraph"/>
        <w:numPr>
          <w:ilvl w:val="0"/>
          <w:numId w:val="2"/>
        </w:numPr>
        <w:spacing w:after="80" w:line="276"/>
      </w:pPr>
      <w:r>
        <w:rPr>
          <w:rFonts w:ascii="Arial" w:cs="Arial" w:eastAsia="Arial" w:hAnsi="Arial"/>
          <w:color w:val="333333"/>
          <w:sz w:val="21"/>
          <w:szCs w:val="21"/>
        </w:rPr>
        <w:t xml:space="preserve">Application moves to compliance review, where officers in the backoffice review all data, screening results, and AI assessments</w:t>
      </w:r>
    </w:p>
    <w:p>
      <w:pPr>
        <w:pStyle w:val="ListParagraph"/>
        <w:numPr>
          <w:ilvl w:val="0"/>
          <w:numId w:val="2"/>
        </w:numPr>
        <w:spacing w:after="80" w:line="276"/>
      </w:pPr>
      <w:r>
        <w:rPr>
          <w:rFonts w:ascii="Arial" w:cs="Arial" w:eastAsia="Arial" w:hAnsi="Arial"/>
          <w:color w:val="333333"/>
          <w:sz w:val="21"/>
          <w:szCs w:val="21"/>
        </w:rPr>
        <w:t xml:space="preserve">AI Agent 5 generates a structured compliance memo with recommendation (Approve, Approve with Conditions, Review, Reject)</w:t>
      </w:r>
    </w:p>
    <w:p>
      <w:pPr>
        <w:pStyle w:val="ListParagraph"/>
        <w:numPr>
          <w:ilvl w:val="0"/>
          <w:numId w:val="2"/>
        </w:numPr>
        <w:spacing w:after="80" w:line="276"/>
      </w:pPr>
      <w:r>
        <w:rPr>
          <w:rFonts w:ascii="Arial" w:cs="Arial" w:eastAsia="Arial" w:hAnsi="Arial"/>
          <w:color w:val="333333"/>
          <w:sz w:val="21"/>
          <w:szCs w:val="21"/>
        </w:rPr>
        <w:t xml:space="preserve">Senior Compliance Officer makes final decision. HIGH/VERY_HIGH risk cases require dual approval and EDD review before approval is permitted</w:t>
      </w:r>
    </w:p>
    <w:p>
      <w:pPr>
        <w:pStyle w:val="Heading2"/>
        <w:spacing w:before="240" w:after="200"/>
      </w:pPr>
      <w:r>
        <w:rPr>
          <w:rFonts w:ascii="Arial" w:cs="Arial" w:eastAsia="Arial" w:hAnsi="Arial"/>
          <w:b/>
          <w:bCs/>
          <w:color w:val="1B3A5C"/>
          <w:sz w:val="26"/>
          <w:szCs w:val="26"/>
        </w:rPr>
        <w:t xml:space="preserve">2.2 Backoffice Workflow</w:t>
      </w:r>
    </w:p>
    <w:p>
      <w:pPr>
        <w:spacing w:after="160" w:line="276"/>
        <w:jc w:val="both"/>
      </w:pPr>
      <w:r>
        <w:rPr>
          <w:rFonts w:ascii="Arial" w:cs="Arial" w:eastAsia="Arial" w:hAnsi="Arial"/>
          <w:b w:val="false"/>
          <w:bCs w:val="false"/>
          <w:i w:val="false"/>
          <w:iCs w:val="false"/>
          <w:color w:val="333333"/>
          <w:sz w:val="21"/>
          <w:szCs w:val="21"/>
        </w:rPr>
        <w:t xml:space="preserve">The backoffice is a comprehensive case management interface for compliance officers, senior compliance officers (SCOs), and administrators. It provides a real-time dashboard with KPI metrics (total applications, pending reviews, approval rates, average processing time), a case queue with filtering by status, risk level, and assigned officer, and detailed case views showing all application data, screening results, AI agent outputs, document verification status, and audit trail.</w:t>
      </w:r>
    </w:p>
    <w:p>
      <w:pPr>
        <w:spacing w:after="160" w:line="276"/>
        <w:jc w:val="both"/>
      </w:pPr>
      <w:r>
        <w:rPr>
          <w:rFonts w:ascii="Arial" w:cs="Arial" w:eastAsia="Arial" w:hAnsi="Arial"/>
          <w:b w:val="false"/>
          <w:bCs w:val="false"/>
          <w:i w:val="false"/>
          <w:iCs w:val="false"/>
          <w:color w:val="333333"/>
          <w:sz w:val="21"/>
          <w:szCs w:val="21"/>
        </w:rPr>
        <w:t xml:space="preserve">The role hierarchy consists of four levels: Analyst (read-only review), Compliance Officer (can process cases and generate memos), Senior Compliance Officer (can approve/reject applications), and Admin (full system access including user management and risk model configuration). Each role has server-enforced permission boundaries — the frontend adapts its UI based on role, but all access control is validated on the backend.</w:t>
      </w:r>
    </w:p>
    <w:p>
      <w:pPr>
        <w:pStyle w:val="Heading2"/>
        <w:spacing w:before="240" w:after="200"/>
      </w:pPr>
      <w:r>
        <w:rPr>
          <w:rFonts w:ascii="Arial" w:cs="Arial" w:eastAsia="Arial" w:hAnsi="Arial"/>
          <w:b/>
          <w:bCs/>
          <w:color w:val="1B3A5C"/>
          <w:sz w:val="26"/>
          <w:szCs w:val="26"/>
        </w:rPr>
        <w:t xml:space="preserve">2.3 AI Involvement in Decision-Making</w:t>
      </w:r>
    </w:p>
    <w:p>
      <w:pPr>
        <w:spacing w:after="160" w:line="276"/>
        <w:jc w:val="both"/>
      </w:pPr>
      <w:r>
        <w:rPr>
          <w:rFonts w:ascii="Arial" w:cs="Arial" w:eastAsia="Arial" w:hAnsi="Arial"/>
          <w:b w:val="false"/>
          <w:bCs w:val="false"/>
          <w:i w:val="false"/>
          <w:iCs w:val="false"/>
          <w:color w:val="333333"/>
          <w:sz w:val="21"/>
          <w:szCs w:val="21"/>
        </w:rPr>
        <w:t xml:space="preserve">AI agents serve an advisory role throughout the workflow. They provide structured assessments, risk scores, and recommendations, but no AI output can directly trigger an approval or rejection. Every AI recommendation is presented to a human compliance officer alongside its confidence score, reasoning, and the underlying data. The system enforces a hard confidence threshold (default 0.70, configurable via environment variable) — any AI output below this threshold is automatically flagged for mandatory manual review. All AI outputs are validated against Pydantic schemas; outputs that fail validation are rejected entirely with a _rejected flag and routed to manual review.</w:t>
      </w:r>
    </w:p>
    <w:p>
      <w:r>
        <w:br w:type="page"/>
      </w:r>
    </w:p>
    <w:p>
      <w:pPr>
        <w:pStyle w:val="Heading1"/>
        <w:spacing w:before="360" w:after="200"/>
      </w:pPr>
      <w:r>
        <w:rPr>
          <w:rFonts w:ascii="Arial" w:cs="Arial" w:eastAsia="Arial" w:hAnsi="Arial"/>
          <w:b/>
          <w:bCs/>
          <w:color w:val="1B3A5C"/>
          <w:sz w:val="32"/>
          <w:szCs w:val="32"/>
        </w:rPr>
        <w:t xml:space="preserve">3. Core Functionalities (Live)</w:t>
      </w:r>
    </w:p>
    <w:p>
      <w:pPr>
        <w:pStyle w:val="Heading2"/>
        <w:spacing w:before="240" w:after="200"/>
      </w:pPr>
      <w:r>
        <w:rPr>
          <w:rFonts w:ascii="Arial" w:cs="Arial" w:eastAsia="Arial" w:hAnsi="Arial"/>
          <w:b/>
          <w:bCs/>
          <w:color w:val="1B3A5C"/>
          <w:sz w:val="26"/>
          <w:szCs w:val="26"/>
        </w:rPr>
        <w:t xml:space="preserve">3.1 Client Portal</w:t>
      </w:r>
    </w:p>
    <w:p>
      <w:pPr>
        <w:pStyle w:val="Heading3"/>
        <w:spacing w:before="240" w:after="200"/>
      </w:pPr>
      <w:r>
        <w:rPr>
          <w:rFonts w:ascii="Arial" w:cs="Arial" w:eastAsia="Arial" w:hAnsi="Arial"/>
          <w:b/>
          <w:bCs/>
          <w:color w:val="1B3A5C"/>
          <w:sz w:val="22"/>
          <w:szCs w:val="22"/>
        </w:rPr>
        <w:t xml:space="preserve">Onboarding Flow</w:t>
      </w:r>
    </w:p>
    <w:p>
      <w:pPr>
        <w:spacing w:after="160" w:line="276"/>
        <w:jc w:val="both"/>
      </w:pPr>
      <w:r>
        <w:rPr>
          <w:rFonts w:ascii="Arial" w:cs="Arial" w:eastAsia="Arial" w:hAnsi="Arial"/>
          <w:b w:val="false"/>
          <w:bCs w:val="false"/>
          <w:i w:val="false"/>
          <w:iCs w:val="false"/>
          <w:color w:val="333333"/>
          <w:sz w:val="21"/>
          <w:szCs w:val="21"/>
        </w:rPr>
        <w:t xml:space="preserve">The client portal is a single-page application (7,794 lines of HTML/JS/CSS) that guides applicants through a multi-step onboarding form. It supports save-and-resume functionality via session tokens, allowing clients to leave and return to their application at any point. Form state is persisted server-side in the client_sessions table.</w:t>
      </w:r>
    </w:p>
    <w:p>
      <w:pPr>
        <w:pStyle w:val="Heading3"/>
        <w:spacing w:before="240" w:after="200"/>
      </w:pPr>
      <w:r>
        <w:rPr>
          <w:rFonts w:ascii="Arial" w:cs="Arial" w:eastAsia="Arial" w:hAnsi="Arial"/>
          <w:b/>
          <w:bCs/>
          <w:color w:val="1B3A5C"/>
          <w:sz w:val="22"/>
          <w:szCs w:val="22"/>
        </w:rPr>
        <w:t xml:space="preserve">Company Lookup</w:t>
      </w:r>
    </w:p>
    <w:p>
      <w:pPr>
        <w:spacing w:after="160" w:line="276"/>
        <w:jc w:val="both"/>
      </w:pPr>
      <w:r>
        <w:rPr>
          <w:rFonts w:ascii="Arial" w:cs="Arial" w:eastAsia="Arial" w:hAnsi="Arial"/>
          <w:b w:val="false"/>
          <w:bCs w:val="false"/>
          <w:i w:val="false"/>
          <w:iCs w:val="false"/>
          <w:color w:val="333333"/>
          <w:sz w:val="21"/>
          <w:szCs w:val="21"/>
        </w:rPr>
        <w:t xml:space="preserve">Integrated OpenCorporates API lookup allows clients to search for their company by name or registration number. When a match is found, the system pre-fills form fields (registered name, jurisdiction, registration number, director count) and flags any discrepancies between submitted data and registry data for compliance officer review.</w:t>
      </w:r>
    </w:p>
    <w:p>
      <w:pPr>
        <w:pStyle w:val="Heading3"/>
        <w:spacing w:before="240" w:after="200"/>
      </w:pPr>
      <w:r>
        <w:rPr>
          <w:rFonts w:ascii="Arial" w:cs="Arial" w:eastAsia="Arial" w:hAnsi="Arial"/>
          <w:b/>
          <w:bCs/>
          <w:color w:val="1B3A5C"/>
          <w:sz w:val="22"/>
          <w:szCs w:val="22"/>
        </w:rPr>
        <w:t xml:space="preserve">UBO Mapping</w:t>
      </w:r>
    </w:p>
    <w:p>
      <w:pPr>
        <w:spacing w:after="160" w:line="276"/>
        <w:jc w:val="both"/>
      </w:pPr>
      <w:r>
        <w:rPr>
          <w:rFonts w:ascii="Arial" w:cs="Arial" w:eastAsia="Arial" w:hAnsi="Arial"/>
          <w:b w:val="false"/>
          <w:bCs w:val="false"/>
          <w:i w:val="false"/>
          <w:iCs w:val="false"/>
          <w:color w:val="333333"/>
          <w:sz w:val="21"/>
          <w:szCs w:val="21"/>
        </w:rPr>
        <w:t xml:space="preserve">The portal captures beneficial ownership chains, including intermediary shareholders with their jurisdictions. The system supports multi-layered ownership structures, nominee identification, and trust arrangements. Each UBO entry captures full name, nationality, ownership percentage, PEP status with structured declaration fields, and source of wealth.</w:t>
      </w:r>
    </w:p>
    <w:p>
      <w:pPr>
        <w:pStyle w:val="Heading3"/>
        <w:spacing w:before="240" w:after="200"/>
      </w:pPr>
      <w:r>
        <w:rPr>
          <w:rFonts w:ascii="Arial" w:cs="Arial" w:eastAsia="Arial" w:hAnsi="Arial"/>
          <w:b/>
          <w:bCs/>
          <w:color w:val="1B3A5C"/>
          <w:sz w:val="22"/>
          <w:szCs w:val="22"/>
        </w:rPr>
        <w:t xml:space="preserve">Document Upload</w:t>
      </w:r>
    </w:p>
    <w:p>
      <w:pPr>
        <w:spacing w:after="160" w:line="276"/>
        <w:jc w:val="both"/>
      </w:pPr>
      <w:r>
        <w:rPr>
          <w:rFonts w:ascii="Arial" w:cs="Arial" w:eastAsia="Arial" w:hAnsi="Arial"/>
          <w:b w:val="false"/>
          <w:bCs w:val="false"/>
          <w:i w:val="false"/>
          <w:iCs w:val="false"/>
          <w:color w:val="333333"/>
          <w:sz w:val="21"/>
          <w:szCs w:val="21"/>
        </w:rPr>
        <w:t xml:space="preserve">Secure document upload with server-side validation (file type whitelist, 10MB size limit, MIME type verification). Documents are categorised by type (KYC, identity, proof of address, corporate documents) and associated with specific persons (directors, UBOs) or the entity. In production, documents are stored in AWS S3 with server-side encryption and presigned URL access with ownership validation.</w:t>
      </w:r>
    </w:p>
    <w:p>
      <w:pPr>
        <w:pStyle w:val="Heading3"/>
        <w:spacing w:before="240" w:after="200"/>
      </w:pPr>
      <w:r>
        <w:rPr>
          <w:rFonts w:ascii="Arial" w:cs="Arial" w:eastAsia="Arial" w:hAnsi="Arial"/>
          <w:b/>
          <w:bCs/>
          <w:color w:val="1B3A5C"/>
          <w:sz w:val="22"/>
          <w:szCs w:val="22"/>
        </w:rPr>
        <w:t xml:space="preserve">Risk Scoring</w:t>
      </w:r>
    </w:p>
    <w:p>
      <w:pPr>
        <w:spacing w:after="160" w:line="276"/>
        <w:jc w:val="both"/>
      </w:pPr>
      <w:r>
        <w:rPr>
          <w:rFonts w:ascii="Arial" w:cs="Arial" w:eastAsia="Arial" w:hAnsi="Arial"/>
          <w:b w:val="false"/>
          <w:bCs w:val="false"/>
          <w:i w:val="false"/>
          <w:iCs w:val="false"/>
          <w:color w:val="333333"/>
          <w:sz w:val="21"/>
          <w:szCs w:val="21"/>
        </w:rPr>
        <w:t xml:space="preserve">The composite risk scoring engine evaluates applications across five weighted dimensions (detailed in Section 3.3). Results are displayed to the client as a summary risk tier with the corresponding onboarding lane and pricing structure.</w:t>
      </w:r>
    </w:p>
    <w:p>
      <w:pPr>
        <w:pStyle w:val="Heading3"/>
        <w:spacing w:before="240" w:after="200"/>
      </w:pPr>
      <w:r>
        <w:rPr>
          <w:rFonts w:ascii="Arial" w:cs="Arial" w:eastAsia="Arial" w:hAnsi="Arial"/>
          <w:b/>
          <w:bCs/>
          <w:color w:val="1B3A5C"/>
          <w:sz w:val="22"/>
          <w:szCs w:val="22"/>
        </w:rPr>
        <w:t xml:space="preserve">Pricing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42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Tier</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Onboarding Fee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Annual Monitoring</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Includes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$250</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Basic KYC, Sanctions screening, Annual review</w:t>
            </w:r>
          </w:p>
        </w:tc>
      </w:tr>
      <w:tr>
        <w:tc>
          <w:tcPr>
            <w:tcW w:type="dxa" w:w="14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1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$1,500</w:t>
            </w:r>
          </w:p>
        </w:tc>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$750</w:t>
            </w:r>
          </w:p>
        </w:tc>
        <w:tc>
          <w:tcPr>
            <w:tcW w:type="dxa" w:w="42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Enhanced KYC, Sanctions &amp; PEP, Semi-annual review, Adverse media</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$3,500</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$2,000</w:t>
            </w:r>
          </w:p>
        </w:tc>
        <w:tc>
          <w:tcPr>
            <w:tcW w:type="dxa" w:w="42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Full EDD, Continuous monitoring, Quarterly review, Behaviour monitoring</w:t>
            </w:r>
          </w:p>
        </w:tc>
      </w:tr>
      <w:tr>
        <w:tc>
          <w:tcPr>
            <w:tcW w:type="dxa" w:w="14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VERY_HIGH</w:t>
            </w:r>
          </w:p>
        </w:tc>
        <w:tc>
          <w:tcPr>
            <w:tcW w:type="dxa" w:w="1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$5,000</w:t>
            </w:r>
          </w:p>
        </w:tc>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$3,500</w:t>
            </w:r>
          </w:p>
        </w:tc>
        <w:tc>
          <w:tcPr>
            <w:tcW w:type="dxa" w:w="42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Maximum EDD, Real-time monitoring, Monthly review, Dedicated officer</w:t>
            </w:r>
          </w:p>
        </w:tc>
      </w:tr>
    </w:tbl>
    <w:p>
      <w:pPr>
        <w:spacing w:after="200"/>
      </w:pPr>
    </w:p>
    <w:p>
      <w:pPr>
        <w:pStyle w:val="Heading2"/>
        <w:spacing w:before="240" w:after="200"/>
      </w:pPr>
      <w:r>
        <w:rPr>
          <w:rFonts w:ascii="Arial" w:cs="Arial" w:eastAsia="Arial" w:hAnsi="Arial"/>
          <w:b/>
          <w:bCs/>
          <w:color w:val="1B3A5C"/>
          <w:sz w:val="26"/>
          <w:szCs w:val="26"/>
        </w:rPr>
        <w:t xml:space="preserve">3.2 Backoffice Features</w:t>
      </w:r>
    </w:p>
    <w:p>
      <w:pPr>
        <w:pStyle w:val="Heading3"/>
        <w:spacing w:before="240" w:after="200"/>
      </w:pPr>
      <w:r>
        <w:rPr>
          <w:rFonts w:ascii="Arial" w:cs="Arial" w:eastAsia="Arial" w:hAnsi="Arial"/>
          <w:b/>
          <w:bCs/>
          <w:color w:val="1B3A5C"/>
          <w:sz w:val="22"/>
          <w:szCs w:val="22"/>
        </w:rPr>
        <w:t xml:space="preserve">Dashboard &amp; KPIs</w:t>
      </w:r>
    </w:p>
    <w:p>
      <w:pPr>
        <w:spacing w:after="160" w:line="276"/>
        <w:jc w:val="both"/>
      </w:pPr>
      <w:r>
        <w:rPr>
          <w:rFonts w:ascii="Arial" w:cs="Arial" w:eastAsia="Arial" w:hAnsi="Arial"/>
          <w:b w:val="false"/>
          <w:bCs w:val="false"/>
          <w:i w:val="false"/>
          <w:iCs w:val="false"/>
          <w:color w:val="333333"/>
          <w:sz w:val="21"/>
          <w:szCs w:val="21"/>
        </w:rPr>
        <w:t xml:space="preserve">Real-time operational dashboard displaying total applications by status, pending review count, approval/rejection rates, average processing time, and screening hit statistics. KPIs are computed from live database queries. In demo mode, representative sample data is seeded for demonstration purposes.</w:t>
      </w:r>
    </w:p>
    <w:p>
      <w:pPr>
        <w:pStyle w:val="Heading3"/>
        <w:spacing w:before="240" w:after="200"/>
      </w:pPr>
      <w:r>
        <w:rPr>
          <w:rFonts w:ascii="Arial" w:cs="Arial" w:eastAsia="Arial" w:hAnsi="Arial"/>
          <w:b/>
          <w:bCs/>
          <w:color w:val="1B3A5C"/>
          <w:sz w:val="22"/>
          <w:szCs w:val="22"/>
        </w:rPr>
        <w:t xml:space="preserve">Case Management</w:t>
      </w:r>
    </w:p>
    <w:p>
      <w:pPr>
        <w:spacing w:after="160" w:line="276"/>
        <w:jc w:val="both"/>
      </w:pPr>
      <w:r>
        <w:rPr>
          <w:rFonts w:ascii="Arial" w:cs="Arial" w:eastAsia="Arial" w:hAnsi="Arial"/>
          <w:b w:val="false"/>
          <w:bCs w:val="false"/>
          <w:i w:val="false"/>
          <w:iCs w:val="false"/>
          <w:color w:val="333333"/>
          <w:sz w:val="21"/>
          <w:szCs w:val="21"/>
        </w:rPr>
        <w:t xml:space="preserve">Full application lifecycle management with status-based queue, officer assignment, and case notes. Officers can view all application data, screening results, AI agent outputs, uploaded documents, risk scores, and compliance memos from a single unified case view.</w:t>
      </w:r>
    </w:p>
    <w:p>
      <w:pPr>
        <w:pStyle w:val="Heading3"/>
        <w:spacing w:before="240" w:after="200"/>
      </w:pPr>
      <w:r>
        <w:rPr>
          <w:rFonts w:ascii="Arial" w:cs="Arial" w:eastAsia="Arial" w:hAnsi="Arial"/>
          <w:b/>
          <w:bCs/>
          <w:color w:val="1B3A5C"/>
          <w:sz w:val="22"/>
          <w:szCs w:val="22"/>
        </w:rPr>
        <w:t xml:space="preserve">Screening Queue</w:t>
      </w:r>
    </w:p>
    <w:p>
      <w:pPr>
        <w:spacing w:after="160" w:line="276"/>
        <w:jc w:val="both"/>
      </w:pPr>
      <w:r>
        <w:rPr>
          <w:rFonts w:ascii="Arial" w:cs="Arial" w:eastAsia="Arial" w:hAnsi="Arial"/>
          <w:b w:val="false"/>
          <w:bCs w:val="false"/>
          <w:i w:val="false"/>
          <w:iCs w:val="false"/>
          <w:color w:val="333333"/>
          <w:sz w:val="21"/>
          <w:szCs w:val="21"/>
        </w:rPr>
        <w:t xml:space="preserve">Integrated screening panel showing sanctions hits, PEP matches, adverse media results, and company registry verification outcomes. Results are presented alongside AI Agent 4’s interpretation, which ranks hit severity, identifies false positives, and provides a consolidated recommendation.</w:t>
      </w:r>
    </w:p>
    <w:p>
      <w:pPr>
        <w:pStyle w:val="Heading3"/>
        <w:spacing w:before="240" w:after="200"/>
      </w:pPr>
      <w:r>
        <w:rPr>
          <w:rFonts w:ascii="Arial" w:cs="Arial" w:eastAsia="Arial" w:hAnsi="Arial"/>
          <w:b/>
          <w:bCs/>
          <w:color w:val="1B3A5C"/>
          <w:sz w:val="22"/>
          <w:szCs w:val="22"/>
        </w:rPr>
        <w:t xml:space="preserve">EDD Workflow</w:t>
      </w:r>
    </w:p>
    <w:p>
      <w:pPr>
        <w:spacing w:after="160" w:line="276"/>
        <w:jc w:val="both"/>
      </w:pPr>
      <w:r>
        <w:rPr>
          <w:rFonts w:ascii="Arial" w:cs="Arial" w:eastAsia="Arial" w:hAnsi="Arial"/>
          <w:b w:val="false"/>
          <w:bCs w:val="false"/>
          <w:i w:val="false"/>
          <w:iCs w:val="false"/>
          <w:color w:val="333333"/>
          <w:sz w:val="21"/>
          <w:szCs w:val="21"/>
        </w:rPr>
        <w:t xml:space="preserve">Applications flagged as HIGH or VERY_HIGH risk are automatically routed to the Enhanced Due Diligence queue. The system enforces that these applications must undergo compliance review (status under_review or edd_required) before any approval can be granted. This is a hard server-side enforcement, not merely a UI restriction.</w:t>
      </w:r>
    </w:p>
    <w:p>
      <w:pPr>
        <w:pStyle w:val="Heading3"/>
        <w:spacing w:before="240" w:after="200"/>
      </w:pPr>
      <w:r>
        <w:rPr>
          <w:rFonts w:ascii="Arial" w:cs="Arial" w:eastAsia="Arial" w:hAnsi="Arial"/>
          <w:b/>
          <w:bCs/>
          <w:color w:val="1B3A5C"/>
          <w:sz w:val="22"/>
          <w:szCs w:val="22"/>
        </w:rPr>
        <w:t xml:space="preserve">SAR Workflow</w:t>
      </w:r>
    </w:p>
    <w:p>
      <w:pPr>
        <w:spacing w:after="160" w:line="276"/>
        <w:jc w:val="both"/>
      </w:pPr>
      <w:r>
        <w:rPr>
          <w:rFonts w:ascii="Arial" w:cs="Arial" w:eastAsia="Arial" w:hAnsi="Arial"/>
          <w:b w:val="false"/>
          <w:bCs w:val="false"/>
          <w:i w:val="false"/>
          <w:iCs w:val="false"/>
          <w:color w:val="333333"/>
          <w:sz w:val="21"/>
          <w:szCs w:val="21"/>
        </w:rPr>
        <w:t xml:space="preserve">Suspicious Activity Report (SAR) creation and management system with support for four report types: SAR, STR (Suspicious Transaction Report), CTR (Currency Transaction Report), and MLRO (Money Laundering Reporting Officer escalation). The workflow supports draft, pending_review, approved, filed, rejected, and archived states. Each SAR includes a structured narrative, indicators, transaction details, and supporting documents. SARs can be auto-triggered from monitoring alerts.</w:t>
      </w:r>
    </w:p>
    <w:p>
      <w:pPr>
        <w:pStyle w:val="Heading3"/>
        <w:spacing w:before="240" w:after="200"/>
      </w:pPr>
      <w:r>
        <w:rPr>
          <w:rFonts w:ascii="Arial" w:cs="Arial" w:eastAsia="Arial" w:hAnsi="Arial"/>
          <w:b/>
          <w:bCs/>
          <w:color w:val="1B3A5C"/>
          <w:sz w:val="22"/>
          <w:szCs w:val="22"/>
        </w:rPr>
        <w:t xml:space="preserve">User Role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Permissions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Full system access: user management, risk model config, all case operations</w:t>
            </w:r>
          </w:p>
        </w:tc>
      </w:tr>
      <w:tr>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Senior Compliance Officer</w:t>
            </w:r>
          </w:p>
        </w:tc>
        <w:tc>
          <w:tcPr>
            <w:tcW w:type="dxa" w:w="6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Approve/reject applications, review memos, manage EDD cases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Compliance Officer</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Process cases, run screenings, generate memos, manage documents</w:t>
            </w:r>
          </w:p>
        </w:tc>
      </w:tr>
      <w:tr>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Analyst</w:t>
            </w:r>
          </w:p>
        </w:tc>
        <w:tc>
          <w:tcPr>
            <w:tcW w:type="dxa" w:w="6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Read-only case review, view dashboards and reports</w:t>
            </w:r>
          </w:p>
        </w:tc>
      </w:tr>
    </w:tbl>
    <w:p>
      <w:pPr>
        <w:spacing w:after="200"/>
      </w:pPr>
    </w:p>
    <w:p>
      <w:pPr>
        <w:pStyle w:val="Heading3"/>
        <w:spacing w:before="240" w:after="200"/>
      </w:pPr>
      <w:r>
        <w:rPr>
          <w:rFonts w:ascii="Arial" w:cs="Arial" w:eastAsia="Arial" w:hAnsi="Arial"/>
          <w:b/>
          <w:bCs/>
          <w:color w:val="1B3A5C"/>
          <w:sz w:val="22"/>
          <w:szCs w:val="22"/>
        </w:rPr>
        <w:t xml:space="preserve">Audit Trail</w:t>
      </w:r>
    </w:p>
    <w:p>
      <w:pPr>
        <w:spacing w:after="160" w:line="276"/>
        <w:jc w:val="both"/>
      </w:pPr>
      <w:r>
        <w:rPr>
          <w:rFonts w:ascii="Arial" w:cs="Arial" w:eastAsia="Arial" w:hAnsi="Arial"/>
          <w:b w:val="false"/>
          <w:bCs w:val="false"/>
          <w:i w:val="false"/>
          <w:iCs w:val="false"/>
          <w:color w:val="333333"/>
          <w:sz w:val="21"/>
          <w:szCs w:val="21"/>
        </w:rPr>
        <w:t xml:space="preserve">Every significant system action is logged to the audit_log table with timestamp, user ID, user name, user role, action type, target entity, detail description, and IP address. The audit log is immutable (append-only) and available for export. All decision actions (approve, reject, escalate) are captured with the full decision context.</w:t>
      </w:r>
    </w:p>
    <w:p>
      <w:pPr>
        <w:pStyle w:val="Heading2"/>
        <w:spacing w:before="240" w:after="200"/>
      </w:pPr>
      <w:r>
        <w:rPr>
          <w:rFonts w:ascii="Arial" w:cs="Arial" w:eastAsia="Arial" w:hAnsi="Arial"/>
          <w:b/>
          <w:bCs/>
          <w:color w:val="1B3A5C"/>
          <w:sz w:val="26"/>
          <w:szCs w:val="26"/>
        </w:rPr>
        <w:t xml:space="preserve">3.3 AI Agents</w:t>
      </w:r>
    </w:p>
    <w:p>
      <w:pPr>
        <w:spacing w:after="160" w:line="276"/>
        <w:jc w:val="both"/>
      </w:pPr>
      <w:r>
        <w:rPr>
          <w:rFonts w:ascii="Arial" w:cs="Arial" w:eastAsia="Arial" w:hAnsi="Arial"/>
          <w:b w:val="false"/>
          <w:bCs w:val="false"/>
          <w:i w:val="false"/>
          <w:iCs w:val="false"/>
          <w:color w:val="333333"/>
          <w:sz w:val="21"/>
          <w:szCs w:val="21"/>
        </w:rPr>
        <w:t xml:space="preserve">The platform operates five specialised AI agents, each powered by Anthropic’s Claude API with structured JSON output, Pydantic schema validation, confidence thresholds, and comprehensive prompt injection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Inputs</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Outputs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Agent 1: Identity &amp; Document Integrity</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Verify uploaded documents via 66 automated checks covering validity, expiry, name consistency, quality, and OCR cross-reference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Document file metadata, person name, document type</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is_valid (bool), confidence (0–1.0), checks array, issues list</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Agent 2: Corporate Structure &amp; UBO Mapping</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Analyse ownership chains, identify UBOs through multi-layered entities, detect nominee structures and trusts</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Directors, UBOs, intermediary shareholders, jurisdictions</w:t>
            </w:r>
          </w:p>
        </w:tc>
        <w:tc>
          <w:tcPr>
            <w:tcW w:type="dxa" w:w="3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complexity_level, ubos_identified, risk_indicators, nominee_structures (bool)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Agent 3: Business Plausibility</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Evaluate whether the stated business model, sector, and transaction volumes are plausible given registry data and jurisdiction context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Business data, registry data, sector, volumes</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plausibility_score (0–1.0), concerns, sector_alignment, recommendation</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Agent 4: FinCrime Screening Interpretation</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Consolidate and interpret raw screening hits, reduce false positives, rank severity, and provide actionable recommendation</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Raw screening results, person/entity name, entity type</w:t>
            </w:r>
          </w:p>
        </w:tc>
        <w:tc>
          <w:tcPr>
            <w:tcW w:type="dxa" w:w="3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total_hits, confirmed_matches, false_positives, hit_details, 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Agent 5: Risk Scoring &amp; Compliance Memo</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Compute 5-dimension composite risk score and generate structured compliance memo with recommendation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Full application data, all agent results</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overall_score (0–100), risk_level, dimensions, recommendation (APPROVE/REVIEW/EDD/REJECT), memo_html</w:t>
            </w:r>
          </w:p>
        </w:tc>
      </w:tr>
    </w:tbl>
    <w:p>
      <w:pPr>
        <w:spacing w:after="200"/>
      </w:pPr>
    </w:p>
    <w:p>
      <w:pPr>
        <w:pStyle w:val="Heading3"/>
        <w:spacing w:before="240" w:after="200"/>
      </w:pPr>
      <w:r>
        <w:rPr>
          <w:rFonts w:ascii="Arial" w:cs="Arial" w:eastAsia="Arial" w:hAnsi="Arial"/>
          <w:b/>
          <w:bCs/>
          <w:color w:val="1B3A5C"/>
          <w:sz w:val="22"/>
          <w:szCs w:val="22"/>
        </w:rPr>
        <w:t xml:space="preserve">Risk Scoring Dimensions (Agent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Sub-Factors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D1: Customer/Entity Risk</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30%</w:t>
            </w:r>
          </w:p>
        </w:tc>
        <w:tc>
          <w:tcPr>
            <w:tcW w:type="dxa" w:w="6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Entity type, ownership structure, PEP status, director profile</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D2: Geographic Risk</w:t>
            </w:r>
          </w:p>
        </w:tc>
        <w:tc>
          <w:tcPr>
            <w:tcW w:type="dxa" w:w="1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25%</w:t>
            </w:r>
          </w:p>
        </w:tc>
        <w:tc>
          <w:tcPr>
            <w:tcW w:type="dxa" w:w="6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Incorporation country, UBO nationalities, intermediary jurisdictions, operating countries, target markets. Uses FATF grey/blacklists, sanctions lists, secrecy jurisdiction database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D3: Product/Service Risk</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20%</w:t>
            </w:r>
          </w:p>
        </w:tc>
        <w:tc>
          <w:tcPr>
            <w:tcW w:type="dxa" w:w="6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Cross-border activity, monthly transaction volume, service complexity</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D4: Industry/Sector Risk</w:t>
            </w:r>
          </w:p>
        </w:tc>
        <w:tc>
          <w:tcPr>
            <w:tcW w:type="dxa" w:w="1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15%</w:t>
            </w:r>
          </w:p>
        </w:tc>
        <w:tc>
          <w:tcPr>
            <w:tcW w:type="dxa" w:w="61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Sector classification with 4-tier risk scoring (40+ sectors mapped)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D5: Delivery Channel Risk</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10%</w:t>
            </w:r>
          </w:p>
        </w:tc>
        <w:tc>
          <w:tcPr>
            <w:tcW w:type="dxa" w:w="6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Introduction method (direct, regulated referral, non-regulated, unsolicited)</w:t>
            </w:r>
          </w:p>
        </w:tc>
      </w:tr>
    </w:tbl>
    <w:p>
      <w:r>
        <w:br w:type="page"/>
      </w:r>
    </w:p>
    <w:p>
      <w:pPr>
        <w:pStyle w:val="Heading1"/>
        <w:spacing w:before="360" w:after="200"/>
      </w:pPr>
      <w:r>
        <w:rPr>
          <w:rFonts w:ascii="Arial" w:cs="Arial" w:eastAsia="Arial" w:hAnsi="Arial"/>
          <w:b/>
          <w:bCs/>
          <w:color w:val="1B3A5C"/>
          <w:sz w:val="32"/>
          <w:szCs w:val="32"/>
        </w:rPr>
        <w:t xml:space="preserve">4. AI Explainability Layer</w:t>
      </w:r>
    </w:p>
    <w:p>
      <w:pPr>
        <w:spacing w:after="160" w:line="276"/>
        <w:jc w:val="both"/>
      </w:pPr>
      <w:r>
        <w:rPr>
          <w:rFonts w:ascii="Arial" w:cs="Arial" w:eastAsia="Arial" w:hAnsi="Arial"/>
          <w:b w:val="false"/>
          <w:bCs w:val="false"/>
          <w:i w:val="false"/>
          <w:iCs w:val="false"/>
          <w:color w:val="333333"/>
          <w:sz w:val="21"/>
          <w:szCs w:val="21"/>
        </w:rPr>
        <w:t xml:space="preserve">Regulatory defensibility requires that every AI-assisted decision be fully explainable and auditable. Onboarda addresses this through four mechanisms:</w:t>
      </w:r>
    </w:p>
    <w:p>
      <w:pPr>
        <w:pStyle w:val="Heading2"/>
        <w:spacing w:before="240" w:after="200"/>
      </w:pPr>
      <w:r>
        <w:rPr>
          <w:rFonts w:ascii="Arial" w:cs="Arial" w:eastAsia="Arial" w:hAnsi="Arial"/>
          <w:b/>
          <w:bCs/>
          <w:color w:val="1B3A5C"/>
          <w:sz w:val="26"/>
          <w:szCs w:val="26"/>
        </w:rPr>
        <w:t xml:space="preserve">4.1 Structured Output Decomposition</w:t>
      </w:r>
    </w:p>
    <w:p>
      <w:pPr>
        <w:spacing w:after="160" w:line="276"/>
        <w:jc w:val="both"/>
      </w:pPr>
      <w:r>
        <w:rPr>
          <w:rFonts w:ascii="Arial" w:cs="Arial" w:eastAsia="Arial" w:hAnsi="Arial"/>
          <w:b w:val="false"/>
          <w:bCs w:val="false"/>
          <w:i w:val="false"/>
          <w:iCs w:val="false"/>
          <w:color w:val="333333"/>
          <w:sz w:val="21"/>
          <w:szCs w:val="21"/>
        </w:rPr>
        <w:t xml:space="preserve">Every AI agent returns structured JSON with explicitly named fields rather than free-text assessments. For example, Agent 5’s risk score is decomposed into five named dimensions, each with its own numeric score (0–100) and an array of specific contributing factors. This allows compliance officers to see exactly which factors drove the risk assessment and challenge individual components.</w:t>
      </w:r>
    </w:p>
    <w:p>
      <w:pPr>
        <w:pStyle w:val="Heading2"/>
        <w:spacing w:before="240" w:after="200"/>
      </w:pPr>
      <w:r>
        <w:rPr>
          <w:rFonts w:ascii="Arial" w:cs="Arial" w:eastAsia="Arial" w:hAnsi="Arial"/>
          <w:b/>
          <w:bCs/>
          <w:color w:val="1B3A5C"/>
          <w:sz w:val="26"/>
          <w:szCs w:val="26"/>
        </w:rPr>
        <w:t xml:space="preserve">4.2 Confidence Scoring</w:t>
      </w:r>
    </w:p>
    <w:p>
      <w:pPr>
        <w:spacing w:after="160" w:line="276"/>
        <w:jc w:val="both"/>
      </w:pPr>
      <w:r>
        <w:rPr>
          <w:rFonts w:ascii="Arial" w:cs="Arial" w:eastAsia="Arial" w:hAnsi="Arial"/>
          <w:b w:val="false"/>
          <w:bCs w:val="false"/>
          <w:i w:val="false"/>
          <w:iCs w:val="false"/>
          <w:color w:val="333333"/>
          <w:sz w:val="21"/>
          <w:szCs w:val="21"/>
        </w:rPr>
        <w:t xml:space="preserve">All AI outputs include a confidence score (0.0–1.0). The system enforces a configurable threshold (default 0.70, set via AI_CONFIDENCE_THRESHOLD environment variable). Outputs below this threshold are automatically flagged with _low_confidence: true and _requires_manual_review: true, ensuring that uncertain AI assessments are always escalated to human judgment.</w:t>
      </w:r>
    </w:p>
    <w:p>
      <w:pPr>
        <w:pStyle w:val="Heading2"/>
        <w:spacing w:before="240" w:after="200"/>
      </w:pPr>
      <w:r>
        <w:rPr>
          <w:rFonts w:ascii="Arial" w:cs="Arial" w:eastAsia="Arial" w:hAnsi="Arial"/>
          <w:b/>
          <w:bCs/>
          <w:color w:val="1B3A5C"/>
          <w:sz w:val="26"/>
          <w:szCs w:val="26"/>
        </w:rPr>
        <w:t xml:space="preserve">4.3 Schema Validation &amp; Hard Rejection</w:t>
      </w:r>
    </w:p>
    <w:p>
      <w:pPr>
        <w:spacing w:after="160" w:line="276"/>
        <w:jc w:val="both"/>
      </w:pPr>
      <w:r>
        <w:rPr>
          <w:rFonts w:ascii="Arial" w:cs="Arial" w:eastAsia="Arial" w:hAnsi="Arial"/>
          <w:b w:val="false"/>
          <w:bCs w:val="false"/>
          <w:i w:val="false"/>
          <w:iCs w:val="false"/>
          <w:color w:val="333333"/>
          <w:sz w:val="21"/>
          <w:szCs w:val="21"/>
        </w:rPr>
        <w:t xml:space="preserve">Every AI response is validated against a Pydantic schema specific to that agent’s output type. If validation fails (e.g., a risk score outside 0–100, a missing required field, or an invalid recommendation value), the output is rejected entirely with a _rejected: true flag, a SHA-256 hash of the raw output for forensic reference, and mandatory routing to manual review. This prevents malformed AI output from entering the decision pipeline.</w:t>
      </w:r>
    </w:p>
    <w:p>
      <w:pPr>
        <w:pStyle w:val="Heading2"/>
        <w:spacing w:before="240" w:after="200"/>
      </w:pPr>
      <w:r>
        <w:rPr>
          <w:rFonts w:ascii="Arial" w:cs="Arial" w:eastAsia="Arial" w:hAnsi="Arial"/>
          <w:b/>
          <w:bCs/>
          <w:color w:val="1B3A5C"/>
          <w:sz w:val="26"/>
          <w:szCs w:val="26"/>
        </w:rPr>
        <w:t xml:space="preserve">4.4 Auditability</w:t>
      </w:r>
    </w:p>
    <w:p>
      <w:pPr>
        <w:spacing w:after="160" w:line="276"/>
        <w:jc w:val="both"/>
      </w:pPr>
      <w:r>
        <w:rPr>
          <w:rFonts w:ascii="Arial" w:cs="Arial" w:eastAsia="Arial" w:hAnsi="Arial"/>
          <w:b w:val="false"/>
          <w:bCs w:val="false"/>
          <w:i w:val="false"/>
          <w:iCs w:val="false"/>
          <w:color w:val="333333"/>
          <w:sz w:val="21"/>
          <w:szCs w:val="21"/>
        </w:rPr>
        <w:t xml:space="preserve">All AI interactions are logged with model name, input/output token counts, cost, and timestamp via the UsageTracker class. The audit trail captures which agent produced which output for which application, the confidence score, whether the output was validated or rejected, and the compliance officer’s subsequent decision. This creates a complete chain of evidence from AI assessment through human decision.</w:t>
      </w:r>
    </w:p>
    <w:p>
      <w:r>
        <w:br w:type="page"/>
      </w:r>
    </w:p>
    <w:p>
      <w:pPr>
        <w:pStyle w:val="Heading1"/>
        <w:spacing w:before="360" w:after="200"/>
      </w:pPr>
      <w:r>
        <w:rPr>
          <w:rFonts w:ascii="Arial" w:cs="Arial" w:eastAsia="Arial" w:hAnsi="Arial"/>
          <w:b/>
          <w:bCs/>
          <w:color w:val="1B3A5C"/>
          <w:sz w:val="32"/>
          <w:szCs w:val="32"/>
        </w:rPr>
        <w:t xml:space="preserve">5. Regulatory Intelligence Module</w:t>
      </w:r>
    </w:p>
    <w:p>
      <w:pPr>
        <w:spacing w:after="160" w:line="276"/>
        <w:jc w:val="both"/>
      </w:pPr>
      <w:r>
        <w:rPr>
          <w:rFonts w:ascii="Arial" w:cs="Arial" w:eastAsia="Arial" w:hAnsi="Arial"/>
          <w:b w:val="false"/>
          <w:bCs w:val="false"/>
          <w:i w:val="false"/>
          <w:iCs w:val="false"/>
          <w:color w:val="333333"/>
          <w:sz w:val="21"/>
          <w:szCs w:val="21"/>
        </w:rPr>
        <w:t xml:space="preserve">The Regulatory Intelligence module provides a framework for ingesting regulatory documents, extracting obligations, mapping their impact to the onboarding workflow, and suggesting rule modifications. This module is currently feature-flagged (ENABLE_REGULATORY_INTELLIGENCE_FULL) and available in demo and staging environments.</w:t>
      </w:r>
    </w:p>
    <w:p>
      <w:pPr>
        <w:pStyle w:val="Heading2"/>
        <w:spacing w:before="240" w:after="200"/>
      </w:pPr>
      <w:r>
        <w:rPr>
          <w:rFonts w:ascii="Arial" w:cs="Arial" w:eastAsia="Arial" w:hAnsi="Arial"/>
          <w:b/>
          <w:bCs/>
          <w:color w:val="1B3A5C"/>
          <w:sz w:val="26"/>
          <w:szCs w:val="26"/>
        </w:rPr>
        <w:t xml:space="preserve">5.1 Current Capabilities</w:t>
      </w:r>
    </w:p>
    <w:p>
      <w:pPr>
        <w:pStyle w:val="ListParagraph"/>
        <w:numPr>
          <w:ilvl w:val="0"/>
          <w:numId w:val="2"/>
        </w:numPr>
        <w:spacing w:after="80" w:line="276"/>
      </w:pPr>
      <w:r>
        <w:rPr>
          <w:rFonts w:ascii="Arial" w:cs="Arial" w:eastAsia="Arial" w:hAnsi="Arial"/>
          <w:color w:val="333333"/>
          <w:sz w:val="21"/>
          <w:szCs w:val="21"/>
        </w:rPr>
        <w:t xml:space="preserve">Document ingestion: accepts regulatory circulars, guidance notes, and rule updates in PDF and text format</w:t>
      </w:r>
    </w:p>
    <w:p>
      <w:pPr>
        <w:pStyle w:val="ListParagraph"/>
        <w:numPr>
          <w:ilvl w:val="0"/>
          <w:numId w:val="2"/>
        </w:numPr>
        <w:spacing w:after="80" w:line="276"/>
      </w:pPr>
      <w:r>
        <w:rPr>
          <w:rFonts w:ascii="Arial" w:cs="Arial" w:eastAsia="Arial" w:hAnsi="Arial"/>
          <w:color w:val="333333"/>
          <w:sz w:val="21"/>
          <w:szCs w:val="21"/>
        </w:rPr>
        <w:t xml:space="preserve">Obligation extraction: AI-powered identification of specific compliance obligations, deadlines, and affected entity types</w:t>
      </w:r>
    </w:p>
    <w:p>
      <w:pPr>
        <w:pStyle w:val="ListParagraph"/>
        <w:numPr>
          <w:ilvl w:val="0"/>
          <w:numId w:val="2"/>
        </w:numPr>
        <w:spacing w:after="80" w:line="276"/>
      </w:pPr>
      <w:r>
        <w:rPr>
          <w:rFonts w:ascii="Arial" w:cs="Arial" w:eastAsia="Arial" w:hAnsi="Arial"/>
          <w:color w:val="333333"/>
          <w:sz w:val="21"/>
          <w:szCs w:val="21"/>
        </w:rPr>
        <w:t xml:space="preserve">Impact mapping: automated mapping of extracted obligations to specific platform workflow steps, screening rules, or risk model parameters</w:t>
      </w:r>
    </w:p>
    <w:p>
      <w:pPr>
        <w:pStyle w:val="ListParagraph"/>
        <w:numPr>
          <w:ilvl w:val="0"/>
          <w:numId w:val="2"/>
        </w:numPr>
        <w:spacing w:after="80" w:line="276"/>
      </w:pPr>
      <w:r>
        <w:rPr>
          <w:rFonts w:ascii="Arial" w:cs="Arial" w:eastAsia="Arial" w:hAnsi="Arial"/>
          <w:color w:val="333333"/>
          <w:sz w:val="21"/>
          <w:szCs w:val="21"/>
        </w:rPr>
        <w:t xml:space="preserve">Rule suggestion workflow: generated rule changes are presented to compliance officers as draft modifications requiring human approval before activation</w:t>
      </w:r>
    </w:p>
    <w:p>
      <w:pPr>
        <w:pStyle w:val="Heading2"/>
        <w:spacing w:before="240" w:after="200"/>
      </w:pPr>
      <w:r>
        <w:rPr>
          <w:rFonts w:ascii="Arial" w:cs="Arial" w:eastAsia="Arial" w:hAnsi="Arial"/>
          <w:b/>
          <w:bCs/>
          <w:color w:val="1B3A5C"/>
          <w:sz w:val="26"/>
          <w:szCs w:val="26"/>
        </w:rPr>
        <w:t xml:space="preserve">5.2 Scope and Limitations</w:t>
      </w:r>
    </w:p>
    <w:p>
      <w:pPr>
        <w:spacing w:after="160" w:line="276"/>
        <w:jc w:val="both"/>
      </w:pPr>
      <w:r>
        <w:rPr>
          <w:rFonts w:ascii="Arial" w:cs="Arial" w:eastAsia="Arial" w:hAnsi="Arial"/>
          <w:b w:val="false"/>
          <w:bCs w:val="false"/>
          <w:i w:val="false"/>
          <w:iCs w:val="false"/>
          <w:color w:val="333333"/>
          <w:sz w:val="21"/>
          <w:szCs w:val="21"/>
        </w:rPr>
        <w:t xml:space="preserve">The current implementation focuses on Mauritian regulatory framework (Financial Services Commission, Bank of Mauritius circulars). Multi-jurisdiction regulatory intelligence is on the roadmap. The module does not auto-apply regulatory changes; all suggested modifications require explicit human approval before they affect the live workflow.</w:t>
      </w:r>
    </w:p>
    <w:p>
      <w:r>
        <w:br w:type="page"/>
      </w:r>
    </w:p>
    <w:p>
      <w:pPr>
        <w:pStyle w:val="Heading1"/>
        <w:spacing w:before="360" w:after="200"/>
      </w:pPr>
      <w:r>
        <w:rPr>
          <w:rFonts w:ascii="Arial" w:cs="Arial" w:eastAsia="Arial" w:hAnsi="Arial"/>
          <w:b/>
          <w:bCs/>
          <w:color w:val="1B3A5C"/>
          <w:sz w:val="32"/>
          <w:szCs w:val="32"/>
        </w:rPr>
        <w:t xml:space="preserve">6. System Architecture &amp; Tech Stack</w:t>
      </w:r>
    </w:p>
    <w:p>
      <w:pPr>
        <w:pStyle w:val="Heading2"/>
        <w:spacing w:before="240" w:after="200"/>
      </w:pPr>
      <w:r>
        <w:rPr>
          <w:rFonts w:ascii="Arial" w:cs="Arial" w:eastAsia="Arial" w:hAnsi="Arial"/>
          <w:b/>
          <w:bCs/>
          <w:color w:val="1B3A5C"/>
          <w:sz w:val="26"/>
          <w:szCs w:val="26"/>
        </w:rPr>
        <w:t xml:space="preserve">6.1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Framework</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Python 3 / Tornado 6.1+</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Async-capable web framework, single-file server architecture (4,571 lines)</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API Design</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RESTful JSON</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55+ endpoints covering auth, applications, screening, KYC, monitoring, SAR, AI</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JWT (PyJWT / HS256)</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24-hour token expiry, issuer verification, session binding via jti, token revocation list</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Custom hardening module</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1,318 lines: approval gates, password policy, file validation, PII encryption (Fernet), CSRF</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Rate Limiting</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Sliding window (in-memory)</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Per-IP + per-user, configurable per endpoint (5–30 requests/minute)</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AI Integration</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Anthropic Claude API</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1,388-line client module with 5 agents, Pydantic validation, prompt injection defense, budget tracking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SQLite (dev) / PostgreSQL (prod)</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Abstraction layer with automatic placeholder translation, connection pooling (ThreadedConnectionPool)</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Observability</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Prometheus metrics</w:t>
            </w:r>
          </w:p>
        </w:tc>
        <w:tc>
          <w:tcPr>
            <w:tcW w:type="dxa" w:w="53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Request counts, latency histograms, active connections, application/screening/SAR gauges</w:t>
            </w:r>
          </w:p>
        </w:tc>
      </w:tr>
    </w:tbl>
    <w:p>
      <w:pPr>
        <w:spacing w:after="200"/>
      </w:pPr>
    </w:p>
    <w:p>
      <w:pPr>
        <w:pStyle w:val="Heading2"/>
        <w:spacing w:before="240" w:after="200"/>
      </w:pPr>
      <w:r>
        <w:rPr>
          <w:rFonts w:ascii="Arial" w:cs="Arial" w:eastAsia="Arial" w:hAnsi="Arial"/>
          <w:b/>
          <w:bCs/>
          <w:color w:val="1B3A5C"/>
          <w:sz w:val="26"/>
          <w:szCs w:val="26"/>
        </w:rPr>
        <w:t xml:space="preserve">6.2 Frontend</w:t>
      </w:r>
    </w:p>
    <w:p>
      <w:pPr>
        <w:spacing w:after="160" w:line="276"/>
        <w:jc w:val="both"/>
      </w:pPr>
      <w:r>
        <w:rPr>
          <w:rFonts w:ascii="Arial" w:cs="Arial" w:eastAsia="Arial" w:hAnsi="Arial"/>
          <w:b w:val="false"/>
          <w:bCs w:val="false"/>
          <w:i w:val="false"/>
          <w:iCs w:val="false"/>
          <w:color w:val="333333"/>
          <w:sz w:val="21"/>
          <w:szCs w:val="21"/>
        </w:rPr>
        <w:t xml:space="preserve">The platform consists of two single-page HTML applications served directly by the Tornado backend:</w:t>
      </w:r>
    </w:p>
    <w:p>
      <w:pPr>
        <w:pStyle w:val="ListParagraph"/>
        <w:numPr>
          <w:ilvl w:val="0"/>
          <w:numId w:val="2"/>
        </w:numPr>
        <w:spacing w:after="80" w:line="276"/>
      </w:pPr>
      <w:r>
        <w:rPr>
          <w:rFonts w:ascii="Arial" w:cs="Arial" w:eastAsia="Arial" w:hAnsi="Arial"/>
          <w:b/>
          <w:bCs/>
          <w:color w:val="333333"/>
          <w:sz w:val="21"/>
          <w:szCs w:val="21"/>
        </w:rPr>
        <w:t xml:space="preserve">Client Portal (arie-portal.html): </w:t>
      </w:r>
      <w:r>
        <w:rPr>
          <w:rFonts w:ascii="Arial" w:cs="Arial" w:eastAsia="Arial" w:hAnsi="Arial"/>
          <w:color w:val="333333"/>
          <w:sz w:val="21"/>
          <w:szCs w:val="21"/>
        </w:rPr>
        <w:t xml:space="preserve">7,794 lines. Multi-step onboarding form, document upload, real-time screening results, risk score display, save-and-resume. Uses vanilla JavaScript with no framework dependencies, ensuring minimal attack surface and fast load times.</w:t>
      </w:r>
    </w:p>
    <w:p>
      <w:pPr>
        <w:pStyle w:val="ListParagraph"/>
        <w:numPr>
          <w:ilvl w:val="0"/>
          <w:numId w:val="2"/>
        </w:numPr>
        <w:spacing w:after="80" w:line="276"/>
      </w:pPr>
      <w:r>
        <w:rPr>
          <w:rFonts w:ascii="Arial" w:cs="Arial" w:eastAsia="Arial" w:hAnsi="Arial"/>
          <w:b/>
          <w:bCs/>
          <w:color w:val="333333"/>
          <w:sz w:val="21"/>
          <w:szCs w:val="21"/>
        </w:rPr>
        <w:t xml:space="preserve">Backoffice (arie-backoffice.html): </w:t>
      </w:r>
      <w:r>
        <w:rPr>
          <w:rFonts w:ascii="Arial" w:cs="Arial" w:eastAsia="Arial" w:hAnsi="Arial"/>
          <w:color w:val="333333"/>
          <w:sz w:val="21"/>
          <w:szCs w:val="21"/>
        </w:rPr>
        <w:t xml:space="preserve">6,278 lines. Case management dashboard, screening queue, EDD workflow, SAR management, user administration, risk model configuration, AI agent monitoring. Same vanilla JS architecture.</w:t>
      </w:r>
    </w:p>
    <w:p>
      <w:pPr>
        <w:spacing w:after="160" w:line="276"/>
        <w:jc w:val="both"/>
      </w:pPr>
      <w:r>
        <w:rPr>
          <w:rFonts w:ascii="Arial" w:cs="Arial" w:eastAsia="Arial" w:hAnsi="Arial"/>
          <w:b w:val="false"/>
          <w:bCs w:val="false"/>
          <w:i w:val="false"/>
          <w:iCs w:val="false"/>
          <w:color w:val="333333"/>
          <w:sz w:val="21"/>
          <w:szCs w:val="21"/>
        </w:rPr>
        <w:t xml:space="preserve">Both frontends implement a centralised escapeHtml() utility function (172 calls total) for XSS protection on all dynamic content rendering.</w:t>
      </w:r>
    </w:p>
    <w:p>
      <w:pPr>
        <w:pStyle w:val="Heading2"/>
        <w:spacing w:before="240" w:after="200"/>
      </w:pPr>
      <w:r>
        <w:rPr>
          <w:rFonts w:ascii="Arial" w:cs="Arial" w:eastAsia="Arial" w:hAnsi="Arial"/>
          <w:b/>
          <w:bCs/>
          <w:color w:val="1B3A5C"/>
          <w:sz w:val="26"/>
          <w:szCs w:val="26"/>
        </w:rPr>
        <w:t xml:space="preserve">6.3 Database Schema</w:t>
      </w:r>
    </w:p>
    <w:p>
      <w:pPr>
        <w:spacing w:after="160" w:line="276"/>
        <w:jc w:val="both"/>
      </w:pPr>
      <w:r>
        <w:rPr>
          <w:rFonts w:ascii="Arial" w:cs="Arial" w:eastAsia="Arial" w:hAnsi="Arial"/>
          <w:b w:val="false"/>
          <w:bCs w:val="false"/>
          <w:i w:val="false"/>
          <w:iCs w:val="false"/>
          <w:color w:val="333333"/>
          <w:sz w:val="21"/>
          <w:szCs w:val="21"/>
        </w:rPr>
        <w:t xml:space="preserve">The database schema consists of 16 tables with proper foreign key relationships, indexes for query performance, and JSON/JSONB columns for flexible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users</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Compliance officers and administrators</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email, role (admin/sco/co/analyst), status</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clients</w:t>
            </w:r>
          </w:p>
        </w:tc>
        <w:tc>
          <w:tcPr>
            <w:tcW w:type="dxa" w:w="25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Applicant accounts</w:t>
            </w:r>
          </w:p>
        </w:tc>
        <w:tc>
          <w:tcPr>
            <w:tcW w:type="dxa" w:w="48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email, company_name, status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applications</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Core onboarding applications</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ref, client_id, status (13 states), risk_score, risk_level, prescreening_data (JSONB)</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directors</w:t>
            </w:r>
          </w:p>
        </w:tc>
        <w:tc>
          <w:tcPr>
            <w:tcW w:type="dxa" w:w="25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Application directors</w:t>
            </w:r>
          </w:p>
        </w:tc>
        <w:tc>
          <w:tcPr>
            <w:tcW w:type="dxa" w:w="48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full_name, nationality, is_pep, pep_declaration (JSONB)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ubos</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Ultimate beneficial owners</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full_name, nationality, ownership_pct, is_pep</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documents</w:t>
            </w:r>
          </w:p>
        </w:tc>
        <w:tc>
          <w:tcPr>
            <w:tcW w:type="dxa" w:w="25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Uploaded KYC/AML documents</w:t>
            </w:r>
          </w:p>
        </w:tc>
        <w:tc>
          <w:tcPr>
            <w:tcW w:type="dxa" w:w="48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doc_type, file_path, verification_status, verification_results (JSONB)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audit_log</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Immutable audit trail</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user_id, action, target, detail, ip_address, timestamp</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compliance_memos</w:t>
            </w:r>
          </w:p>
        </w:tc>
        <w:tc>
          <w:tcPr>
            <w:tcW w:type="dxa" w:w="25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AI-generated compliance memos</w:t>
            </w:r>
          </w:p>
        </w:tc>
        <w:tc>
          <w:tcPr>
            <w:tcW w:type="dxa" w:w="48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application_id, version, memo_data, ai_recommendation, review_status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sar_reports</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Suspicious activity reports</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sar_reference, report_type (SAR/STR/CTR/MLRO), filing_status, narrative</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monitoring_alerts</w:t>
            </w:r>
          </w:p>
        </w:tc>
        <w:tc>
          <w:tcPr>
            <w:tcW w:type="dxa" w:w="25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Continuous monitoring alerts</w:t>
            </w:r>
          </w:p>
        </w:tc>
        <w:tc>
          <w:tcPr>
            <w:tcW w:type="dxa" w:w="48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alert_type, severity, detected_by, ai_recommendation, status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periodic_reviews</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Scheduled compliance reviews</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trigger_type, risk_level changes, decision, due_date</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risk_config</w:t>
            </w:r>
          </w:p>
        </w:tc>
        <w:tc>
          <w:tcPr>
            <w:tcW w:type="dxa" w:w="25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Risk model parameters</w:t>
            </w:r>
          </w:p>
        </w:tc>
        <w:tc>
          <w:tcPr>
            <w:tcW w:type="dxa" w:w="48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dimensions (JSONB), thresholds (JSONB)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ai_agents</w:t>
            </w:r>
          </w:p>
        </w:tc>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AI agent configuration</w:t>
            </w:r>
          </w:p>
        </w:tc>
        <w:tc>
          <w:tcPr>
            <w:tcW w:type="dxa" w:w="4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agent_number, name, stage, enabled, checks (JSONB)</w:t>
            </w:r>
          </w:p>
        </w:tc>
      </w:tr>
    </w:tbl>
    <w:p>
      <w:pPr>
        <w:spacing w:after="200"/>
      </w:pPr>
    </w:p>
    <w:p>
      <w:pPr>
        <w:pStyle w:val="Heading2"/>
        <w:spacing w:before="240" w:after="200"/>
      </w:pPr>
      <w:r>
        <w:rPr>
          <w:rFonts w:ascii="Arial" w:cs="Arial" w:eastAsia="Arial" w:hAnsi="Arial"/>
          <w:b/>
          <w:bCs/>
          <w:color w:val="1B3A5C"/>
          <w:sz w:val="26"/>
          <w:szCs w:val="26"/>
        </w:rPr>
        <w:t xml:space="preserve">6.4 Storage</w:t>
      </w:r>
    </w:p>
    <w:p>
      <w:pPr>
        <w:spacing w:after="160" w:line="276"/>
        <w:jc w:val="both"/>
      </w:pPr>
      <w:r>
        <w:rPr>
          <w:rFonts w:ascii="Arial" w:cs="Arial" w:eastAsia="Arial" w:hAnsi="Arial"/>
          <w:b w:val="false"/>
          <w:bCs w:val="false"/>
          <w:i w:val="false"/>
          <w:iCs w:val="false"/>
          <w:color w:val="333333"/>
          <w:sz w:val="21"/>
          <w:szCs w:val="21"/>
        </w:rPr>
        <w:t xml:space="preserve">Document storage uses AWS S3 with a dedicated client module (s3_client.py, 550 lines). Documents are stored with a structured key pattern: clients/{client_id}/{doc_type}/{timestamp}_{filename}. All uploads include metadata tags (client_id, doc_type, upload timestamp). Access is controlled via presigned URLs with ownership validation — officers get full access with audit logging, while clients can only access documents associated with their own applications. Server-side encryption is enforced, and all presigned URLs expire after a configurable duration.</w:t>
      </w:r>
    </w:p>
    <w:p>
      <w:pPr>
        <w:pStyle w:val="Heading2"/>
        <w:spacing w:before="240" w:after="200"/>
      </w:pPr>
      <w:r>
        <w:rPr>
          <w:rFonts w:ascii="Arial" w:cs="Arial" w:eastAsia="Arial" w:hAnsi="Arial"/>
          <w:b/>
          <w:bCs/>
          <w:color w:val="1B3A5C"/>
          <w:sz w:val="26"/>
          <w:szCs w:val="26"/>
        </w:rPr>
        <w:t xml:space="preserve">6.5 AI Layer</w:t>
      </w:r>
    </w:p>
    <w:p>
      <w:pPr>
        <w:spacing w:after="160" w:line="276"/>
        <w:jc w:val="both"/>
      </w:pPr>
      <w:r>
        <w:rPr>
          <w:rFonts w:ascii="Arial" w:cs="Arial" w:eastAsia="Arial" w:hAnsi="Arial"/>
          <w:b w:val="false"/>
          <w:bCs w:val="false"/>
          <w:i w:val="false"/>
          <w:iCs w:val="false"/>
          <w:color w:val="333333"/>
          <w:sz w:val="21"/>
          <w:szCs w:val="21"/>
        </w:rPr>
        <w:t xml:space="preserve">The Claude integration module (claude_client.py, 1,388 lines) manages all AI interactions. Key architectural decisions include:</w:t>
      </w:r>
    </w:p>
    <w:p>
      <w:pPr>
        <w:pStyle w:val="ListParagraph"/>
        <w:numPr>
          <w:ilvl w:val="0"/>
          <w:numId w:val="2"/>
        </w:numPr>
        <w:spacing w:after="80" w:line="276"/>
      </w:pPr>
      <w:r>
        <w:rPr>
          <w:rFonts w:ascii="Arial" w:cs="Arial" w:eastAsia="Arial" w:hAnsi="Arial"/>
          <w:b/>
          <w:bCs/>
          <w:color w:val="333333"/>
          <w:sz w:val="21"/>
          <w:szCs w:val="21"/>
        </w:rPr>
        <w:t xml:space="preserve">Model selection: </w:t>
      </w:r>
      <w:r>
        <w:rPr>
          <w:rFonts w:ascii="Arial" w:cs="Arial" w:eastAsia="Arial" w:hAnsi="Arial"/>
          <w:color w:val="333333"/>
          <w:sz w:val="21"/>
          <w:szCs w:val="21"/>
        </w:rPr>
        <w:t xml:space="preserve">Claude Sonnet 4.6 for risk scoring and verification (speed/cost optimised), Claude Opus 4.6 available for complex analysis requiring deeper reasoning.</w:t>
      </w:r>
    </w:p>
    <w:p>
      <w:pPr>
        <w:pStyle w:val="ListParagraph"/>
        <w:numPr>
          <w:ilvl w:val="0"/>
          <w:numId w:val="2"/>
        </w:numPr>
        <w:spacing w:after="80" w:line="276"/>
      </w:pPr>
      <w:r>
        <w:rPr>
          <w:rFonts w:ascii="Arial" w:cs="Arial" w:eastAsia="Arial" w:hAnsi="Arial"/>
          <w:b/>
          <w:bCs/>
          <w:color w:val="333333"/>
          <w:sz w:val="21"/>
          <w:szCs w:val="21"/>
        </w:rPr>
        <w:t xml:space="preserve">Budget enforcement: </w:t>
      </w:r>
      <w:r>
        <w:rPr>
          <w:rFonts w:ascii="Arial" w:cs="Arial" w:eastAsia="Arial" w:hAnsi="Arial"/>
          <w:color w:val="333333"/>
          <w:sz w:val="21"/>
          <w:szCs w:val="21"/>
        </w:rPr>
        <w:t xml:space="preserve">UsageTracker class with per-model pricing tables, monthly budget cap (default $50), and automatic warnings when budget is exceeded.</w:t>
      </w:r>
    </w:p>
    <w:p>
      <w:pPr>
        <w:pStyle w:val="ListParagraph"/>
        <w:numPr>
          <w:ilvl w:val="0"/>
          <w:numId w:val="2"/>
        </w:numPr>
        <w:spacing w:after="80" w:line="276"/>
      </w:pPr>
      <w:r>
        <w:rPr>
          <w:rFonts w:ascii="Arial" w:cs="Arial" w:eastAsia="Arial" w:hAnsi="Arial"/>
          <w:b/>
          <w:bCs/>
          <w:color w:val="333333"/>
          <w:sz w:val="21"/>
          <w:szCs w:val="21"/>
        </w:rPr>
        <w:t xml:space="preserve">Prompt injection defense: </w:t>
      </w:r>
      <w:r>
        <w:rPr>
          <w:rFonts w:ascii="Arial" w:cs="Arial" w:eastAsia="Arial" w:hAnsi="Arial"/>
          <w:color w:val="333333"/>
          <w:sz w:val="21"/>
          <w:szCs w:val="21"/>
        </w:rPr>
        <w:t xml:space="preserve">6-pass recursive sanitisation on all user data before inclusion in prompts: HTML/XML stripping, Unicode control character removal, whitelist-based character filtering, structural injection pattern detection, whitespace normalisation, and length limiting.</w:t>
      </w:r>
    </w:p>
    <w:p>
      <w:pPr>
        <w:pStyle w:val="ListParagraph"/>
        <w:numPr>
          <w:ilvl w:val="0"/>
          <w:numId w:val="2"/>
        </w:numPr>
        <w:spacing w:after="80" w:line="276"/>
      </w:pPr>
      <w:r>
        <w:rPr>
          <w:rFonts w:ascii="Arial" w:cs="Arial" w:eastAsia="Arial" w:hAnsi="Arial"/>
          <w:b/>
          <w:bCs/>
          <w:color w:val="333333"/>
          <w:sz w:val="21"/>
          <w:szCs w:val="21"/>
        </w:rPr>
        <w:t xml:space="preserve">Mock mode: </w:t>
      </w:r>
      <w:r>
        <w:rPr>
          <w:rFonts w:ascii="Arial" w:cs="Arial" w:eastAsia="Arial" w:hAnsi="Arial"/>
          <w:color w:val="333333"/>
          <w:sz w:val="21"/>
          <w:szCs w:val="21"/>
        </w:rPr>
        <w:t xml:space="preserve">Full mock response generators for all 5 agents, enabling testing and demonstration without API costs. Mock mode is explicitly blocked in production via environment safety guards.</w:t>
      </w:r>
    </w:p>
    <w:p>
      <w:pPr>
        <w:pStyle w:val="Heading2"/>
        <w:spacing w:before="240" w:after="200"/>
      </w:pPr>
      <w:r>
        <w:rPr>
          <w:rFonts w:ascii="Arial" w:cs="Arial" w:eastAsia="Arial" w:hAnsi="Arial"/>
          <w:b/>
          <w:bCs/>
          <w:color w:val="1B3A5C"/>
          <w:sz w:val="26"/>
          <w:szCs w:val="26"/>
        </w:rPr>
        <w:t xml:space="preserve">6.6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60"/>
        <w:gridCol w:w="20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Integration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Provider</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KYC/Identity Verification</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Sumsub</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Applicant creation, document upload, AML screening, verification status, webhook callbacks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Live (sandbox + production)</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Sanctions / PEP / Watchlists</w:t>
            </w:r>
          </w:p>
        </w:tc>
        <w:tc>
          <w:tcPr>
            <w:tcW w:type="dxa" w:w="16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OpenSanctions</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Real-time sanctions, PEP, and watchlist screening via API</w:t>
            </w:r>
          </w:p>
        </w:tc>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Sanctions / PEP / AML</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Sumsub AML</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Secondary AML screening with HMAC-authenticated API</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Corporate Registry</w:t>
            </w:r>
          </w:p>
        </w:tc>
        <w:tc>
          <w:tcPr>
            <w:tcW w:type="dxa" w:w="16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OpenCorporates</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Company lookup, director verification, registry cross-reference</w:t>
            </w:r>
          </w:p>
        </w:tc>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IP Geolocation</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ipapi.co</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Client IP risk assessment and country mapping</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Live (free tier)</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AI / LLM</w:t>
            </w:r>
          </w:p>
        </w:tc>
        <w:tc>
          <w:tcPr>
            <w:tcW w:type="dxa" w:w="16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Anthropic Claude</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5 compliance AI agents (scoring, verification, structure, screening, memo)</w:t>
            </w:r>
          </w:p>
        </w:tc>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Live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Document Storage</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AWS S3</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Encrypted document storage with presigned URL access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Live</w:t>
            </w:r>
          </w:p>
        </w:tc>
      </w:tr>
    </w:tbl>
    <w:p>
      <w:pPr>
        <w:spacing w:after="200"/>
      </w:pPr>
    </w:p>
    <w:p>
      <w:pPr>
        <w:pStyle w:val="Heading2"/>
        <w:spacing w:before="240" w:after="200"/>
      </w:pPr>
      <w:r>
        <w:rPr>
          <w:rFonts w:ascii="Arial" w:cs="Arial" w:eastAsia="Arial" w:hAnsi="Arial"/>
          <w:b/>
          <w:bCs/>
          <w:color w:val="1B3A5C"/>
          <w:sz w:val="26"/>
          <w:szCs w:val="26"/>
        </w:rPr>
        <w:t xml:space="preserve">6.7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Render.com with dual-service Blueprint deployment (arie-finance-live + arie-finance-demo)</w:t>
            </w:r>
          </w:p>
        </w:tc>
      </w:tr>
      <w:tr>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Production Service</w:t>
            </w:r>
          </w:p>
        </w:tc>
        <w:tc>
          <w:tcPr>
            <w:tcW w:type="dxa" w:w="6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Python runtime, Starter plan, 1GB persistent disk, manual deploy, auto-scaling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Demo Service</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Same stack, auto-deploy on push, simulated APIs, demo data seeding</w:t>
            </w:r>
          </w:p>
        </w:tc>
      </w:tr>
      <w:tr>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Database (Production)</w:t>
            </w:r>
          </w:p>
        </w:tc>
        <w:tc>
          <w:tcPr>
            <w:tcW w:type="dxa" w:w="6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PostgreSQL with connection pooling (ThreadedConnectionPool, 2–10 connections, SSL required)</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Database (Dev/Demo)</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SQLite with automatic schema creation</w:t>
            </w:r>
          </w:p>
        </w:tc>
      </w:tr>
      <w:tr>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Reverse Proxy</w:t>
            </w:r>
          </w:p>
        </w:tc>
        <w:tc>
          <w:tcPr>
            <w:tcW w:type="dxa" w:w="6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Nginx configuration provided for production deployment behind load balancer</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TLS</w:t>
            </w:r>
          </w:p>
        </w:tc>
        <w:tc>
          <w:tcPr>
            <w:tcW w:type="dxa" w:w="6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HSTS enforced in production (max-age: 31536000, includeSubDomains, preload)</w:t>
            </w:r>
          </w:p>
        </w:tc>
      </w:tr>
      <w:tr>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Monitoring</w:t>
            </w:r>
          </w:p>
        </w:tc>
        <w:tc>
          <w:tcPr>
            <w:tcW w:type="dxa" w:w="6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Prometheus metrics endpoint (/metrics) for request counts, latency, and application gauges</w:t>
            </w:r>
          </w:p>
        </w:tc>
      </w:tr>
    </w:tbl>
    <w:p>
      <w:r>
        <w:br w:type="page"/>
      </w:r>
    </w:p>
    <w:p>
      <w:pPr>
        <w:pStyle w:val="Heading1"/>
        <w:spacing w:before="360" w:after="200"/>
      </w:pPr>
      <w:r>
        <w:rPr>
          <w:rFonts w:ascii="Arial" w:cs="Arial" w:eastAsia="Arial" w:hAnsi="Arial"/>
          <w:b/>
          <w:bCs/>
          <w:color w:val="1B3A5C"/>
          <w:sz w:val="32"/>
          <w:szCs w:val="32"/>
        </w:rPr>
        <w:t xml:space="preserve">7. Security &amp; Compliance Design</w:t>
      </w:r>
    </w:p>
    <w:p>
      <w:pPr>
        <w:spacing w:after="160" w:line="276"/>
        <w:jc w:val="both"/>
      </w:pPr>
      <w:r>
        <w:rPr>
          <w:rFonts w:ascii="Arial" w:cs="Arial" w:eastAsia="Arial" w:hAnsi="Arial"/>
          <w:b w:val="false"/>
          <w:bCs w:val="false"/>
          <w:i w:val="false"/>
          <w:iCs w:val="false"/>
          <w:color w:val="333333"/>
          <w:sz w:val="21"/>
          <w:szCs w:val="21"/>
        </w:rPr>
        <w:t xml:space="preserve">Security architecture is a core differentiator. The platform has undergone a comprehensive audit covering 12 findings (7 Critical, 5 High), all of which have been remediated and re-validated. This section details the security controls in place.</w:t>
      </w:r>
    </w:p>
    <w:p>
      <w:pPr>
        <w:pStyle w:val="Heading2"/>
        <w:spacing w:before="240" w:after="200"/>
      </w:pPr>
      <w:r>
        <w:rPr>
          <w:rFonts w:ascii="Arial" w:cs="Arial" w:eastAsia="Arial" w:hAnsi="Arial"/>
          <w:b/>
          <w:bCs/>
          <w:color w:val="1B3A5C"/>
          <w:sz w:val="26"/>
          <w:szCs w:val="26"/>
        </w:rPr>
        <w:t xml:space="preserve">7.1 Frontend Security</w:t>
      </w:r>
    </w:p>
    <w:p>
      <w:pPr>
        <w:pStyle w:val="ListParagraph"/>
        <w:numPr>
          <w:ilvl w:val="0"/>
          <w:numId w:val="2"/>
        </w:numPr>
        <w:spacing w:after="80" w:line="276"/>
      </w:pPr>
      <w:r>
        <w:rPr>
          <w:rFonts w:ascii="Arial" w:cs="Arial" w:eastAsia="Arial" w:hAnsi="Arial"/>
          <w:b/>
          <w:bCs/>
          <w:color w:val="333333"/>
          <w:sz w:val="21"/>
          <w:szCs w:val="21"/>
        </w:rPr>
        <w:t xml:space="preserve">XSS Protection: </w:t>
      </w:r>
      <w:r>
        <w:rPr>
          <w:rFonts w:ascii="Arial" w:cs="Arial" w:eastAsia="Arial" w:hAnsi="Arial"/>
          <w:color w:val="333333"/>
          <w:sz w:val="21"/>
          <w:szCs w:val="21"/>
        </w:rPr>
        <w:t xml:space="preserve">172 escapeHtml() calls across both frontends (121 backoffice, 51 portal). All dynamic content rendering passes through a centralised escape function that neutralises &amp;, &lt;, &gt;, ", and ’ characters. All helper functions (riskBadge, statusBadge) use escaped inputs.</w:t>
      </w:r>
    </w:p>
    <w:p>
      <w:pPr>
        <w:pStyle w:val="ListParagraph"/>
        <w:numPr>
          <w:ilvl w:val="0"/>
          <w:numId w:val="2"/>
        </w:numPr>
        <w:spacing w:after="80" w:line="276"/>
      </w:pPr>
      <w:r>
        <w:rPr>
          <w:rFonts w:ascii="Arial" w:cs="Arial" w:eastAsia="Arial" w:hAnsi="Arial"/>
          <w:b/>
          <w:bCs/>
          <w:color w:val="333333"/>
          <w:sz w:val="21"/>
          <w:szCs w:val="21"/>
        </w:rPr>
        <w:t xml:space="preserve">Content Security Policy: </w:t>
      </w:r>
      <w:r>
        <w:rPr>
          <w:rFonts w:ascii="Arial" w:cs="Arial" w:eastAsia="Arial" w:hAnsi="Arial"/>
          <w:color w:val="333333"/>
          <w:sz w:val="21"/>
          <w:szCs w:val="21"/>
        </w:rPr>
        <w:t xml:space="preserve">CSP headers enforced on all responses: default-src ‘self’, restricted script-src, font-src, connect-src, and frame-ancestors ‘none’.</w:t>
      </w:r>
    </w:p>
    <w:p>
      <w:pPr>
        <w:pStyle w:val="ListParagraph"/>
        <w:numPr>
          <w:ilvl w:val="0"/>
          <w:numId w:val="2"/>
        </w:numPr>
        <w:spacing w:after="80" w:line="276"/>
      </w:pPr>
      <w:r>
        <w:rPr>
          <w:rFonts w:ascii="Arial" w:cs="Arial" w:eastAsia="Arial" w:hAnsi="Arial"/>
          <w:b/>
          <w:bCs/>
          <w:color w:val="333333"/>
          <w:sz w:val="21"/>
          <w:szCs w:val="21"/>
        </w:rPr>
        <w:t xml:space="preserve">Security Headers: </w:t>
      </w:r>
      <w:r>
        <w:rPr>
          <w:rFonts w:ascii="Arial" w:cs="Arial" w:eastAsia="Arial" w:hAnsi="Arial"/>
          <w:color w:val="333333"/>
          <w:sz w:val="21"/>
          <w:szCs w:val="21"/>
        </w:rPr>
        <w:t xml:space="preserve">X-Content-Type-Options: nosniff, X-Frame-Options: DENY, X-XSS-Protection: 1; mode=block, Referrer-Policy: strict-origin-when-cross-origin, Permissions-Policy blocking camera/microphone/geolocation/payment.</w:t>
      </w:r>
    </w:p>
    <w:p>
      <w:pPr>
        <w:pStyle w:val="Heading2"/>
        <w:spacing w:before="240" w:after="200"/>
      </w:pPr>
      <w:r>
        <w:rPr>
          <w:rFonts w:ascii="Arial" w:cs="Arial" w:eastAsia="Arial" w:hAnsi="Arial"/>
          <w:b/>
          <w:bCs/>
          <w:color w:val="1B3A5C"/>
          <w:sz w:val="26"/>
          <w:szCs w:val="26"/>
        </w:rPr>
        <w:t xml:space="preserve">7.2 Authentication &amp; Session Security</w:t>
      </w:r>
    </w:p>
    <w:p>
      <w:pPr>
        <w:pStyle w:val="ListParagraph"/>
        <w:numPr>
          <w:ilvl w:val="0"/>
          <w:numId w:val="2"/>
        </w:numPr>
        <w:spacing w:after="80" w:line="276"/>
      </w:pPr>
      <w:r>
        <w:rPr>
          <w:rFonts w:ascii="Arial" w:cs="Arial" w:eastAsia="Arial" w:hAnsi="Arial"/>
          <w:b/>
          <w:bCs/>
          <w:color w:val="333333"/>
          <w:sz w:val="21"/>
          <w:szCs w:val="21"/>
        </w:rPr>
        <w:t xml:space="preserve">JWT Tokens: </w:t>
      </w:r>
      <w:r>
        <w:rPr>
          <w:rFonts w:ascii="Arial" w:cs="Arial" w:eastAsia="Arial" w:hAnsi="Arial"/>
          <w:color w:val="333333"/>
          <w:sz w:val="21"/>
          <w:szCs w:val="21"/>
        </w:rPr>
        <w:t xml:space="preserve">HS256-signed tokens with mandatory exp, iat, sub, and nbf claims. Issuer verification (iss: arie-finance). 24-hour expiry. Unique session binding via jti claim.</w:t>
      </w:r>
    </w:p>
    <w:p>
      <w:pPr>
        <w:pStyle w:val="ListParagraph"/>
        <w:numPr>
          <w:ilvl w:val="0"/>
          <w:numId w:val="2"/>
        </w:numPr>
        <w:spacing w:after="80" w:line="276"/>
      </w:pPr>
      <w:r>
        <w:rPr>
          <w:rFonts w:ascii="Arial" w:cs="Arial" w:eastAsia="Arial" w:hAnsi="Arial"/>
          <w:b/>
          <w:bCs/>
          <w:color w:val="333333"/>
          <w:sz w:val="21"/>
          <w:szCs w:val="21"/>
        </w:rPr>
        <w:t xml:space="preserve">Token Revocation: </w:t>
      </w:r>
      <w:r>
        <w:rPr>
          <w:rFonts w:ascii="Arial" w:cs="Arial" w:eastAsia="Arial" w:hAnsi="Arial"/>
          <w:color w:val="333333"/>
          <w:sz w:val="21"/>
          <w:szCs w:val="21"/>
        </w:rPr>
        <w:t xml:space="preserve">In-memory revocation list checked on every request. Revoked tokens are immediately rejected regardless of expiry time.</w:t>
      </w:r>
    </w:p>
    <w:p>
      <w:pPr>
        <w:pStyle w:val="ListParagraph"/>
        <w:numPr>
          <w:ilvl w:val="0"/>
          <w:numId w:val="2"/>
        </w:numPr>
        <w:spacing w:after="80" w:line="276"/>
      </w:pPr>
      <w:r>
        <w:rPr>
          <w:rFonts w:ascii="Arial" w:cs="Arial" w:eastAsia="Arial" w:hAnsi="Arial"/>
          <w:b/>
          <w:bCs/>
          <w:color w:val="333333"/>
          <w:sz w:val="21"/>
          <w:szCs w:val="21"/>
        </w:rPr>
        <w:t xml:space="preserve">CSRF Protection: </w:t>
      </w:r>
      <w:r>
        <w:rPr>
          <w:rFonts w:ascii="Arial" w:cs="Arial" w:eastAsia="Arial" w:hAnsi="Arial"/>
          <w:color w:val="333333"/>
          <w:sz w:val="21"/>
          <w:szCs w:val="21"/>
        </w:rPr>
        <w:t xml:space="preserve">Double-submit cookie pattern. State-changing requests (POST/PUT/PATCH/DELETE) require matching csrf_token cookie and X-CSRF-Token header. Bearer token requests are exempt (inherently CSRF-safe).</w:t>
      </w:r>
    </w:p>
    <w:p>
      <w:pPr>
        <w:pStyle w:val="ListParagraph"/>
        <w:numPr>
          <w:ilvl w:val="0"/>
          <w:numId w:val="2"/>
        </w:numPr>
        <w:spacing w:after="80" w:line="276"/>
      </w:pPr>
      <w:r>
        <w:rPr>
          <w:rFonts w:ascii="Arial" w:cs="Arial" w:eastAsia="Arial" w:hAnsi="Arial"/>
          <w:b/>
          <w:bCs/>
          <w:color w:val="333333"/>
          <w:sz w:val="21"/>
          <w:szCs w:val="21"/>
        </w:rPr>
        <w:t xml:space="preserve">Password Policy: </w:t>
      </w:r>
      <w:r>
        <w:rPr>
          <w:rFonts w:ascii="Arial" w:cs="Arial" w:eastAsia="Arial" w:hAnsi="Arial"/>
          <w:color w:val="333333"/>
          <w:sz w:val="21"/>
          <w:szCs w:val="21"/>
        </w:rPr>
        <w:t xml:space="preserve">Enforced via PasswordPolicy module in security_hardening.py. Minimum length, complexity requirements, and bcrypt hashing.</w:t>
      </w:r>
    </w:p>
    <w:p>
      <w:pPr>
        <w:pStyle w:val="Heading2"/>
        <w:spacing w:before="240" w:after="200"/>
      </w:pPr>
      <w:r>
        <w:rPr>
          <w:rFonts w:ascii="Arial" w:cs="Arial" w:eastAsia="Arial" w:hAnsi="Arial"/>
          <w:b/>
          <w:bCs/>
          <w:color w:val="1B3A5C"/>
          <w:sz w:val="26"/>
          <w:szCs w:val="26"/>
        </w:rPr>
        <w:t xml:space="preserve">7.3 Workflow &amp; Data Integrity</w:t>
      </w:r>
    </w:p>
    <w:p>
      <w:pPr>
        <w:pStyle w:val="ListParagraph"/>
        <w:numPr>
          <w:ilvl w:val="0"/>
          <w:numId w:val="2"/>
        </w:numPr>
        <w:spacing w:after="80" w:line="276"/>
      </w:pPr>
      <w:r>
        <w:rPr>
          <w:rFonts w:ascii="Arial" w:cs="Arial" w:eastAsia="Arial" w:hAnsi="Arial"/>
          <w:b/>
          <w:bCs/>
          <w:color w:val="333333"/>
          <w:sz w:val="21"/>
          <w:szCs w:val="21"/>
        </w:rPr>
        <w:t xml:space="preserve">Terminal-State Idempotency: </w:t>
      </w:r>
      <w:r>
        <w:rPr>
          <w:rFonts w:ascii="Arial" w:cs="Arial" w:eastAsia="Arial" w:hAnsi="Arial"/>
          <w:color w:val="333333"/>
          <w:sz w:val="21"/>
          <w:szCs w:val="21"/>
        </w:rPr>
        <w:t xml:space="preserve">Applications in terminal states (approved, rejected) cannot be re-decided. Attempts return 409 Conflict. This prevents decision replay attacks.</w:t>
      </w:r>
    </w:p>
    <w:p>
      <w:pPr>
        <w:pStyle w:val="ListParagraph"/>
        <w:numPr>
          <w:ilvl w:val="0"/>
          <w:numId w:val="2"/>
        </w:numPr>
        <w:spacing w:after="80" w:line="276"/>
      </w:pPr>
      <w:r>
        <w:rPr>
          <w:rFonts w:ascii="Arial" w:cs="Arial" w:eastAsia="Arial" w:hAnsi="Arial"/>
          <w:b/>
          <w:bCs/>
          <w:color w:val="333333"/>
          <w:sz w:val="21"/>
          <w:szCs w:val="21"/>
        </w:rPr>
        <w:t xml:space="preserve">Screening Data Immutability: </w:t>
      </w:r>
      <w:r>
        <w:rPr>
          <w:rFonts w:ascii="Arial" w:cs="Arial" w:eastAsia="Arial" w:hAnsi="Arial"/>
          <w:color w:val="333333"/>
          <w:sz w:val="21"/>
          <w:szCs w:val="21"/>
        </w:rPr>
        <w:t xml:space="preserve">Once an application leaves draft status, prescreening_data and screening_mode are immutable. Attempts to modify return 403 Forbidden.</w:t>
      </w:r>
    </w:p>
    <w:p>
      <w:pPr>
        <w:pStyle w:val="ListParagraph"/>
        <w:numPr>
          <w:ilvl w:val="0"/>
          <w:numId w:val="2"/>
        </w:numPr>
        <w:spacing w:after="80" w:line="276"/>
      </w:pPr>
      <w:r>
        <w:rPr>
          <w:rFonts w:ascii="Arial" w:cs="Arial" w:eastAsia="Arial" w:hAnsi="Arial"/>
          <w:b/>
          <w:bCs/>
          <w:color w:val="333333"/>
          <w:sz w:val="21"/>
          <w:szCs w:val="21"/>
        </w:rPr>
        <w:t xml:space="preserve">Compliance Memo Enforcement: </w:t>
      </w:r>
      <w:r>
        <w:rPr>
          <w:rFonts w:ascii="Arial" w:cs="Arial" w:eastAsia="Arial" w:hAnsi="Arial"/>
          <w:color w:val="333333"/>
          <w:sz w:val="21"/>
          <w:szCs w:val="21"/>
        </w:rPr>
        <w:t xml:space="preserve">Applications cannot be approved without a compliance memo. Server-side DB lookup confirms memo existence before allowing approval.</w:t>
      </w:r>
    </w:p>
    <w:p>
      <w:pPr>
        <w:pStyle w:val="ListParagraph"/>
        <w:numPr>
          <w:ilvl w:val="0"/>
          <w:numId w:val="2"/>
        </w:numPr>
        <w:spacing w:after="80" w:line="276"/>
      </w:pPr>
      <w:r>
        <w:rPr>
          <w:rFonts w:ascii="Arial" w:cs="Arial" w:eastAsia="Arial" w:hAnsi="Arial"/>
          <w:b/>
          <w:bCs/>
          <w:color w:val="333333"/>
          <w:sz w:val="21"/>
          <w:szCs w:val="21"/>
        </w:rPr>
        <w:t xml:space="preserve">State Machine Enforcement: </w:t>
      </w:r>
      <w:r>
        <w:rPr>
          <w:rFonts w:ascii="Arial" w:cs="Arial" w:eastAsia="Arial" w:hAnsi="Arial"/>
          <w:color w:val="333333"/>
          <w:sz w:val="21"/>
          <w:szCs w:val="21"/>
        </w:rPr>
        <w:t xml:space="preserve">All status transitions are validated server-side. Invalid transitions are rejected with descriptive error messages.</w:t>
      </w:r>
    </w:p>
    <w:p>
      <w:pPr>
        <w:pStyle w:val="ListParagraph"/>
        <w:numPr>
          <w:ilvl w:val="0"/>
          <w:numId w:val="2"/>
        </w:numPr>
        <w:spacing w:after="80" w:line="276"/>
      </w:pPr>
      <w:r>
        <w:rPr>
          <w:rFonts w:ascii="Arial" w:cs="Arial" w:eastAsia="Arial" w:hAnsi="Arial"/>
          <w:b/>
          <w:bCs/>
          <w:color w:val="333333"/>
          <w:sz w:val="21"/>
          <w:szCs w:val="21"/>
        </w:rPr>
        <w:t xml:space="preserve">Dual Approval for High Risk: </w:t>
      </w:r>
      <w:r>
        <w:rPr>
          <w:rFonts w:ascii="Arial" w:cs="Arial" w:eastAsia="Arial" w:hAnsi="Arial"/>
          <w:color w:val="333333"/>
          <w:sz w:val="21"/>
          <w:szCs w:val="21"/>
        </w:rPr>
        <w:t xml:space="preserve">HIGH and VERY_HIGH risk applications must pass through compliance review (under_review or edd_required status) before any approval can be granted.</w:t>
      </w:r>
    </w:p>
    <w:p>
      <w:pPr>
        <w:pStyle w:val="Heading2"/>
        <w:spacing w:before="240" w:after="200"/>
      </w:pPr>
      <w:r>
        <w:rPr>
          <w:rFonts w:ascii="Arial" w:cs="Arial" w:eastAsia="Arial" w:hAnsi="Arial"/>
          <w:b/>
          <w:bCs/>
          <w:color w:val="1B3A5C"/>
          <w:sz w:val="26"/>
          <w:szCs w:val="26"/>
        </w:rPr>
        <w:t xml:space="preserve">7.4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Limit</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Window</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Screening</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20 requests</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60 seconds</w:t>
            </w:r>
          </w:p>
        </w:tc>
      </w:tr>
      <w:tr>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AI Verification</w:t>
            </w:r>
          </w:p>
        </w:tc>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10 requests</w:t>
            </w:r>
          </w:p>
        </w:tc>
        <w:tc>
          <w:tcPr>
            <w:tcW w:type="dxa" w:w="2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60 seconds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Application Decision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10 requests</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60 seconds</w:t>
            </w:r>
          </w:p>
        </w:tc>
      </w:tr>
      <w:tr>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Application Submit</w:t>
            </w:r>
          </w:p>
        </w:tc>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5 requests</w:t>
            </w:r>
          </w:p>
        </w:tc>
        <w:tc>
          <w:tcPr>
            <w:tcW w:type="dxa" w:w="2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60 seconds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Document Upload</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30 requests</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60 seconds</w:t>
            </w:r>
          </w:p>
        </w:tc>
      </w:tr>
      <w:tr>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Compliance Memo</w:t>
            </w:r>
          </w:p>
        </w:tc>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10 requests</w:t>
            </w:r>
          </w:p>
        </w:tc>
        <w:tc>
          <w:tcPr>
            <w:tcW w:type="dxa" w:w="2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60 seconds</w:t>
            </w:r>
          </w:p>
        </w:tc>
      </w:tr>
    </w:tbl>
    <w:p>
      <w:pPr>
        <w:spacing w:after="200"/>
      </w:pPr>
    </w:p>
    <w:p>
      <w:pPr>
        <w:spacing w:after="160" w:line="276"/>
        <w:jc w:val="both"/>
      </w:pPr>
      <w:r>
        <w:rPr>
          <w:rFonts w:ascii="Arial" w:cs="Arial" w:eastAsia="Arial" w:hAnsi="Arial"/>
          <w:b w:val="false"/>
          <w:bCs w:val="false"/>
          <w:i w:val="false"/>
          <w:iCs w:val="false"/>
          <w:color w:val="333333"/>
          <w:sz w:val="21"/>
          <w:szCs w:val="21"/>
        </w:rPr>
        <w:t xml:space="preserve">Rate limiting is applied per-IP and per-authenticated-user using a sliding window algorithm. Exceeded limits return 429 Too Many Requests with a retry_after value.</w:t>
      </w:r>
    </w:p>
    <w:p>
      <w:pPr>
        <w:pStyle w:val="Heading2"/>
        <w:spacing w:before="240" w:after="200"/>
      </w:pPr>
      <w:r>
        <w:rPr>
          <w:rFonts w:ascii="Arial" w:cs="Arial" w:eastAsia="Arial" w:hAnsi="Arial"/>
          <w:b/>
          <w:bCs/>
          <w:color w:val="1B3A5C"/>
          <w:sz w:val="26"/>
          <w:szCs w:val="26"/>
        </w:rPr>
        <w:t xml:space="preserve">7.5 Data Protection</w:t>
      </w:r>
    </w:p>
    <w:p>
      <w:pPr>
        <w:pStyle w:val="ListParagraph"/>
        <w:numPr>
          <w:ilvl w:val="0"/>
          <w:numId w:val="2"/>
        </w:numPr>
        <w:spacing w:after="80" w:line="276"/>
      </w:pPr>
      <w:r>
        <w:rPr>
          <w:rFonts w:ascii="Arial" w:cs="Arial" w:eastAsia="Arial" w:hAnsi="Arial"/>
          <w:b/>
          <w:bCs/>
          <w:color w:val="333333"/>
          <w:sz w:val="21"/>
          <w:szCs w:val="21"/>
        </w:rPr>
        <w:t xml:space="preserve">PII Encryption at Rest: </w:t>
      </w:r>
      <w:r>
        <w:rPr>
          <w:rFonts w:ascii="Arial" w:cs="Arial" w:eastAsia="Arial" w:hAnsi="Arial"/>
          <w:color w:val="333333"/>
          <w:sz w:val="21"/>
          <w:szCs w:val="21"/>
        </w:rPr>
        <w:t xml:space="preserve">Field-level Fernet encryption for sensitive PII fields (passport numbers, nationalities, ID numbers) via the PIIEncryptor class. Encryption key is required in production; auto-generated in development.</w:t>
      </w:r>
    </w:p>
    <w:p>
      <w:pPr>
        <w:pStyle w:val="ListParagraph"/>
        <w:numPr>
          <w:ilvl w:val="0"/>
          <w:numId w:val="2"/>
        </w:numPr>
        <w:spacing w:after="80" w:line="276"/>
      </w:pPr>
      <w:r>
        <w:rPr>
          <w:rFonts w:ascii="Arial" w:cs="Arial" w:eastAsia="Arial" w:hAnsi="Arial"/>
          <w:b/>
          <w:bCs/>
          <w:color w:val="333333"/>
          <w:sz w:val="21"/>
          <w:szCs w:val="21"/>
        </w:rPr>
        <w:t xml:space="preserve">S3 Document Security: </w:t>
      </w:r>
      <w:r>
        <w:rPr>
          <w:rFonts w:ascii="Arial" w:cs="Arial" w:eastAsia="Arial" w:hAnsi="Arial"/>
          <w:color w:val="333333"/>
          <w:sz w:val="21"/>
          <w:szCs w:val="21"/>
        </w:rPr>
        <w:t xml:space="preserve">Server-side encryption, presigned URL access with ownership validation, filename sanitisation (regex-based, max 255 characters), and audit logging for all document access.</w:t>
      </w:r>
    </w:p>
    <w:p>
      <w:pPr>
        <w:pStyle w:val="ListParagraph"/>
        <w:numPr>
          <w:ilvl w:val="0"/>
          <w:numId w:val="2"/>
        </w:numPr>
        <w:spacing w:after="80" w:line="276"/>
      </w:pPr>
      <w:r>
        <w:rPr>
          <w:rFonts w:ascii="Arial" w:cs="Arial" w:eastAsia="Arial" w:hAnsi="Arial"/>
          <w:b/>
          <w:bCs/>
          <w:color w:val="333333"/>
          <w:sz w:val="21"/>
          <w:szCs w:val="21"/>
        </w:rPr>
        <w:t xml:space="preserve">Production Safety Guards: </w:t>
      </w:r>
      <w:r>
        <w:rPr>
          <w:rFonts w:ascii="Arial" w:cs="Arial" w:eastAsia="Arial" w:hAnsi="Arial"/>
          <w:color w:val="333333"/>
          <w:sz w:val="21"/>
          <w:szCs w:val="21"/>
        </w:rPr>
        <w:t xml:space="preserve">10 feature flags are explicitly forbidden in production (demo mode, mock fallbacks, simulated screening, debug endpoints, shortcut login, etc.). 5 environment variables are required. Startup is blocked if any guard fails.</w:t>
      </w:r>
    </w:p>
    <w:p>
      <w:pPr>
        <w:pStyle w:val="ListParagraph"/>
        <w:numPr>
          <w:ilvl w:val="0"/>
          <w:numId w:val="2"/>
        </w:numPr>
        <w:spacing w:after="80" w:line="276"/>
      </w:pPr>
      <w:r>
        <w:rPr>
          <w:rFonts w:ascii="Arial" w:cs="Arial" w:eastAsia="Arial" w:hAnsi="Arial"/>
          <w:b/>
          <w:bCs/>
          <w:color w:val="333333"/>
          <w:sz w:val="21"/>
          <w:szCs w:val="21"/>
        </w:rPr>
        <w:t xml:space="preserve">Error Handling: </w:t>
      </w:r>
      <w:r>
        <w:rPr>
          <w:rFonts w:ascii="Arial" w:cs="Arial" w:eastAsia="Arial" w:hAnsi="Arial"/>
          <w:color w:val="333333"/>
          <w:sz w:val="21"/>
          <w:szCs w:val="21"/>
        </w:rPr>
        <w:t xml:space="preserve">Production error responses contain no stack traces. Development mode includes limited debug information for troubleshooting.</w:t>
      </w:r>
    </w:p>
    <w:p>
      <w:r>
        <w:br w:type="page"/>
      </w:r>
    </w:p>
    <w:p>
      <w:pPr>
        <w:pStyle w:val="Heading1"/>
        <w:spacing w:before="360" w:after="200"/>
      </w:pPr>
      <w:r>
        <w:rPr>
          <w:rFonts w:ascii="Arial" w:cs="Arial" w:eastAsia="Arial" w:hAnsi="Arial"/>
          <w:b/>
          <w:bCs/>
          <w:color w:val="1B3A5C"/>
          <w:sz w:val="32"/>
          <w:szCs w:val="32"/>
        </w:rPr>
        <w:t xml:space="preserve">8. Current Maturity &amp; Readiness</w:t>
      </w:r>
    </w:p>
    <w:p>
      <w:pPr>
        <w:pStyle w:val="Heading2"/>
        <w:spacing w:before="240" w:after="200"/>
      </w:pPr>
      <w:r>
        <w:rPr>
          <w:rFonts w:ascii="Arial" w:cs="Arial" w:eastAsia="Arial" w:hAnsi="Arial"/>
          <w:b/>
          <w:bCs/>
          <w:color w:val="1B3A5C"/>
          <w:sz w:val="26"/>
          <w:szCs w:val="26"/>
        </w:rPr>
        <w:t xml:space="preserve">8.1 Pilot Readiness</w:t>
      </w:r>
    </w:p>
    <w:p>
      <w:pPr>
        <w:spacing w:after="160" w:line="276"/>
        <w:jc w:val="both"/>
      </w:pPr>
      <w:r>
        <w:rPr>
          <w:rFonts w:ascii="Arial" w:cs="Arial" w:eastAsia="Arial" w:hAnsi="Arial"/>
          <w:b w:val="false"/>
          <w:bCs w:val="false"/>
          <w:i w:val="false"/>
          <w:iCs w:val="false"/>
          <w:color w:val="333333"/>
          <w:sz w:val="21"/>
          <w:szCs w:val="21"/>
        </w:rPr>
        <w:t xml:space="preserve">The platform is assessed at CONDITIONAL GO for controlled pilot deployment. All 12 Critical and High audit findings have been remediated, the security architecture has been validated, and dual-environment deployment is operational. The system is ready for use with a limited number of real clients under controlled conditions.</w:t>
      </w:r>
    </w:p>
    <w:p>
      <w:pPr>
        <w:pStyle w:val="Heading2"/>
        <w:spacing w:before="240" w:after="200"/>
      </w:pPr>
      <w:r>
        <w:rPr>
          <w:rFonts w:ascii="Arial" w:cs="Arial" w:eastAsia="Arial" w:hAnsi="Arial"/>
          <w:b/>
          <w:bCs/>
          <w:color w:val="1B3A5C"/>
          <w:sz w:val="26"/>
          <w:szCs w:val="26"/>
        </w:rPr>
        <w:t xml:space="preserve">8.2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Limitation</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In-memory rate limiter</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Rate limit state lost on server restart; not shared across multiple instances</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Acceptable for single-instance pilot. Redis-backed limiter required for horizontal scaling.</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CSP allows unsafe-inline</w:t>
            </w:r>
          </w:p>
        </w:tc>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Some inline scripts/styles permitted by Content Security Policy</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Required for current SPA architecture. Nonce-based CSP planned for production hardening.</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SQLite in development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No concurrent write support in dev/demo mode</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PostgreSQL enforced in production via safety guard. SQLite blocked in production environments.</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Single-server architecture</w:t>
            </w:r>
          </w:p>
        </w:tc>
        <w:tc>
          <w:tcPr>
            <w:tcW w:type="dxa" w:w="3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No horizontal scaling or load balancing</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Sufficient for pilot volumes. Render auto-scaling and multi-instance deployment planned.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In-memory token revocation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Revoked tokens not persisted across restarts</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Acceptable for pilot. Redis or database-backed revocation planned.</w:t>
            </w:r>
          </w:p>
        </w:tc>
      </w:tr>
    </w:tbl>
    <w:p>
      <w:pPr>
        <w:spacing w:after="200"/>
      </w:pPr>
    </w:p>
    <w:p>
      <w:pPr>
        <w:pStyle w:val="Heading2"/>
        <w:spacing w:before="240" w:after="200"/>
      </w:pPr>
      <w:r>
        <w:rPr>
          <w:rFonts w:ascii="Arial" w:cs="Arial" w:eastAsia="Arial" w:hAnsi="Arial"/>
          <w:b/>
          <w:bCs/>
          <w:color w:val="1B3A5C"/>
          <w:sz w:val="26"/>
          <w:szCs w:val="26"/>
        </w:rPr>
        <w:t xml:space="preserve">8.3 Controlled Pilot Conditions</w:t>
      </w:r>
    </w:p>
    <w:p>
      <w:pPr>
        <w:pStyle w:val="ListParagraph"/>
        <w:numPr>
          <w:ilvl w:val="0"/>
          <w:numId w:val="2"/>
        </w:numPr>
        <w:spacing w:after="80" w:line="276"/>
      </w:pPr>
      <w:r>
        <w:rPr>
          <w:rFonts w:ascii="Arial" w:cs="Arial" w:eastAsia="Arial" w:hAnsi="Arial"/>
          <w:color w:val="333333"/>
          <w:sz w:val="21"/>
          <w:szCs w:val="21"/>
        </w:rPr>
        <w:t xml:space="preserve">Maximum 50 concurrent client applications recommended for initial pilot</w:t>
      </w:r>
    </w:p>
    <w:p>
      <w:pPr>
        <w:pStyle w:val="ListParagraph"/>
        <w:numPr>
          <w:ilvl w:val="0"/>
          <w:numId w:val="2"/>
        </w:numPr>
        <w:spacing w:after="80" w:line="276"/>
      </w:pPr>
      <w:r>
        <w:rPr>
          <w:rFonts w:ascii="Arial" w:cs="Arial" w:eastAsia="Arial" w:hAnsi="Arial"/>
          <w:color w:val="333333"/>
          <w:sz w:val="21"/>
          <w:szCs w:val="21"/>
        </w:rPr>
        <w:t xml:space="preserve">Single Render instance with 1GB persistent disk</w:t>
      </w:r>
    </w:p>
    <w:p>
      <w:pPr>
        <w:pStyle w:val="ListParagraph"/>
        <w:numPr>
          <w:ilvl w:val="0"/>
          <w:numId w:val="2"/>
        </w:numPr>
        <w:spacing w:after="80" w:line="276"/>
      </w:pPr>
      <w:r>
        <w:rPr>
          <w:rFonts w:ascii="Arial" w:cs="Arial" w:eastAsia="Arial" w:hAnsi="Arial"/>
          <w:color w:val="333333"/>
          <w:sz w:val="21"/>
          <w:szCs w:val="21"/>
        </w:rPr>
        <w:t xml:space="preserve">All API integrations (Sumsub, OpenSanctions, OpenCorporates) must be provisioned with production credentials</w:t>
      </w:r>
    </w:p>
    <w:p>
      <w:pPr>
        <w:pStyle w:val="ListParagraph"/>
        <w:numPr>
          <w:ilvl w:val="0"/>
          <w:numId w:val="2"/>
        </w:numPr>
        <w:spacing w:after="80" w:line="276"/>
      </w:pPr>
      <w:r>
        <w:rPr>
          <w:rFonts w:ascii="Arial" w:cs="Arial" w:eastAsia="Arial" w:hAnsi="Arial"/>
          <w:color w:val="333333"/>
          <w:sz w:val="21"/>
          <w:szCs w:val="21"/>
        </w:rPr>
        <w:t xml:space="preserve">PostgreSQL database required (SQLite blocked in production)</w:t>
      </w:r>
    </w:p>
    <w:p>
      <w:pPr>
        <w:pStyle w:val="ListParagraph"/>
        <w:numPr>
          <w:ilvl w:val="0"/>
          <w:numId w:val="2"/>
        </w:numPr>
        <w:spacing w:after="80" w:line="276"/>
      </w:pPr>
      <w:r>
        <w:rPr>
          <w:rFonts w:ascii="Arial" w:cs="Arial" w:eastAsia="Arial" w:hAnsi="Arial"/>
          <w:color w:val="333333"/>
          <w:sz w:val="21"/>
          <w:szCs w:val="21"/>
        </w:rPr>
        <w:t xml:space="preserve">ANTHROPIC_API_KEY with sufficient budget allocation for AI agent usage</w:t>
      </w:r>
    </w:p>
    <w:p>
      <w:pPr>
        <w:pStyle w:val="ListParagraph"/>
        <w:numPr>
          <w:ilvl w:val="0"/>
          <w:numId w:val="2"/>
        </w:numPr>
        <w:spacing w:after="80" w:line="276"/>
      </w:pPr>
      <w:r>
        <w:rPr>
          <w:rFonts w:ascii="Arial" w:cs="Arial" w:eastAsia="Arial" w:hAnsi="Arial"/>
          <w:color w:val="333333"/>
          <w:sz w:val="21"/>
          <w:szCs w:val="21"/>
        </w:rPr>
        <w:t xml:space="preserve">Monitoring via Prometheus endpoint with external alerting recommended</w:t>
      </w:r>
    </w:p>
    <w:p>
      <w:r>
        <w:br w:type="page"/>
      </w:r>
    </w:p>
    <w:p>
      <w:pPr>
        <w:pStyle w:val="Heading1"/>
        <w:spacing w:before="360" w:after="200"/>
      </w:pPr>
      <w:r>
        <w:rPr>
          <w:rFonts w:ascii="Arial" w:cs="Arial" w:eastAsia="Arial" w:hAnsi="Arial"/>
          <w:b/>
          <w:bCs/>
          <w:color w:val="1B3A5C"/>
          <w:sz w:val="32"/>
          <w:szCs w:val="32"/>
        </w:rPr>
        <w:t xml:space="preserve">9. Roadmap (Future Functionalities)</w:t>
      </w:r>
    </w:p>
    <w:p>
      <w:pPr>
        <w:spacing w:after="160" w:line="276"/>
        <w:jc w:val="both"/>
      </w:pPr>
      <w:r>
        <w:rPr>
          <w:rFonts w:ascii="Arial" w:cs="Arial" w:eastAsia="Arial" w:hAnsi="Arial"/>
          <w:b w:val="false"/>
          <w:bCs w:val="false"/>
          <w:i w:val="false"/>
          <w:iCs w:val="false"/>
          <w:color w:val="333333"/>
          <w:sz w:val="21"/>
          <w:szCs w:val="21"/>
        </w:rPr>
        <w:t xml:space="preserve">The following items are planned but NOT yet implemented in the live system. They represent the product’s expansion trajectory and are clearly separated from live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1200"/>
        <w:gridCol w:w="22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Estimated Timeline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AI Agent Supervisor</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Meta-agent that orchestrates all 5 agents, detects contradictions across agent outputs, and provides consolidated assessment with contradiction resolution</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Full Regulatory Intelligence Engine</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Multi-jurisdiction regulatory document ingestion, automated obligation extraction, cross-jurisdiction conflict detection, and automated rule suggestion with approval workflow</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Q2–Q3 2026</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Transaction Monitoring</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Real-time and batch transaction monitoring with behavioural analytics, anomaly detection, and automated SAR triggers based on transaction patterns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Multi-Jurisdiction Rule Engine</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Configurable compliance rule sets per jurisdiction (Mauritius, EU, UK, Singapore, UAE), with automated jurisdiction-specific form generation and screening requirements</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Q3–Q4 2026</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Enhanced Document AI (Agent 3)</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Deep document analysis with OCR, cross-document consistency checking, forgery detection signals, and automated data extraction from corporate documents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Enterprise Screening Integrations</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World-Check (Refinitiv), LexisNexis, Dow Jones, and Moody’s integrations for enterprise-grade screening coverage</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Q4 2026</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Reporting &amp; Analytics</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Configurable compliance reports (PDF/Excel), trend analysis, officer productivity metrics, SLA tracking, and regulatory reporting templates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Client Self-Service Portal V2</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Multi-language support, mobile-responsive redesign, real-time application tracking with push notifications, and secure messaging with assigned officer</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Low</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Q4 2026</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Redis Infrastructure</w:t>
            </w:r>
          </w:p>
        </w:tc>
        <w:tc>
          <w:tcPr>
            <w:tcW w:type="dxa" w:w="3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Redis-backed rate limiting, session storage, token revocation, and caching layer for horizontal scaling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Nonce-Based CSP</w:t>
            </w:r>
          </w:p>
        </w:tc>
        <w:tc>
          <w:tcPr>
            <w:tcW w:type="dxa" w:w="39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Eliminate unsafe-inline from Content Security Policy using server-generated nonces per request</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Q2 2026</w:t>
            </w:r>
          </w:p>
        </w:tc>
      </w:tr>
    </w:tbl>
    <w:p>
      <w:r>
        <w:br w:type="page"/>
      </w:r>
    </w:p>
    <w:p>
      <w:pPr>
        <w:pStyle w:val="Heading1"/>
        <w:spacing w:before="360" w:after="200"/>
      </w:pPr>
      <w:r>
        <w:rPr>
          <w:rFonts w:ascii="Arial" w:cs="Arial" w:eastAsia="Arial" w:hAnsi="Arial"/>
          <w:b/>
          <w:bCs/>
          <w:color w:val="1B3A5C"/>
          <w:sz w:val="32"/>
          <w:szCs w:val="32"/>
        </w:rPr>
        <w:t xml:space="preserve">10. Differentiation vs Market</w:t>
      </w:r>
    </w:p>
    <w:p>
      <w:pPr>
        <w:spacing w:after="160" w:line="276"/>
        <w:jc w:val="both"/>
      </w:pPr>
      <w:r>
        <w:rPr>
          <w:rFonts w:ascii="Arial" w:cs="Arial" w:eastAsia="Arial" w:hAnsi="Arial"/>
          <w:b w:val="false"/>
          <w:bCs w:val="false"/>
          <w:i w:val="false"/>
          <w:iCs w:val="false"/>
          <w:color w:val="333333"/>
          <w:sz w:val="21"/>
          <w:szCs w:val="21"/>
        </w:rPr>
        <w:t xml:space="preserve">The compliance onboarding market is served by established players including Fenergo (enterprise CLM), ComplyAdvantage (transaction monitoring and screening), and a range of standard KYC tools (Onfido, Jumio, iDenfy). Onboarda differentiates on four axes:</w:t>
      </w:r>
    </w:p>
    <w:p>
      <w:pPr>
        <w:pStyle w:val="Heading2"/>
        <w:spacing w:before="240" w:after="200"/>
      </w:pPr>
      <w:r>
        <w:rPr>
          <w:rFonts w:ascii="Arial" w:cs="Arial" w:eastAsia="Arial" w:hAnsi="Arial"/>
          <w:b/>
          <w:bCs/>
          <w:color w:val="1B3A5C"/>
          <w:sz w:val="26"/>
          <w:szCs w:val="26"/>
        </w:rPr>
        <w:t xml:space="preserve">10.1 AI Explainability</w:t>
      </w:r>
    </w:p>
    <w:p>
      <w:pPr>
        <w:spacing w:after="160" w:line="276"/>
        <w:jc w:val="both"/>
      </w:pPr>
      <w:r>
        <w:rPr>
          <w:rFonts w:ascii="Arial" w:cs="Arial" w:eastAsia="Arial" w:hAnsi="Arial"/>
          <w:b w:val="false"/>
          <w:bCs w:val="false"/>
          <w:i w:val="false"/>
          <w:iCs w:val="false"/>
          <w:color w:val="333333"/>
          <w:sz w:val="21"/>
          <w:szCs w:val="21"/>
        </w:rPr>
        <w:t xml:space="preserve">Most compliance AI tools operate as black boxes — they return a risk score or a pass/fail without exposing the reasoning. Onboarda’s five-agent architecture decomposes every assessment into named dimensions with specific contributing factors, confidence scores, and structured recommendations. Every AI output is schema-validated and auditable. This is not a cosmetic transparency layer — it is architecturally enforced through Pydantic validation, confidence thresholds, and mandatory human review for uncertain outputs.</w:t>
      </w:r>
    </w:p>
    <w:p>
      <w:pPr>
        <w:pStyle w:val="Heading2"/>
        <w:spacing w:before="240" w:after="200"/>
      </w:pPr>
      <w:r>
        <w:rPr>
          <w:rFonts w:ascii="Arial" w:cs="Arial" w:eastAsia="Arial" w:hAnsi="Arial"/>
          <w:b/>
          <w:bCs/>
          <w:color w:val="1B3A5C"/>
          <w:sz w:val="26"/>
          <w:szCs w:val="26"/>
        </w:rPr>
        <w:t xml:space="preserve">10.2 Automation Depth</w:t>
      </w:r>
    </w:p>
    <w:p>
      <w:pPr>
        <w:spacing w:after="160" w:line="276"/>
        <w:jc w:val="both"/>
      </w:pPr>
      <w:r>
        <w:rPr>
          <w:rFonts w:ascii="Arial" w:cs="Arial" w:eastAsia="Arial" w:hAnsi="Arial"/>
          <w:b w:val="false"/>
          <w:bCs w:val="false"/>
          <w:i w:val="false"/>
          <w:iCs w:val="false"/>
          <w:color w:val="333333"/>
          <w:sz w:val="21"/>
          <w:szCs w:val="21"/>
        </w:rPr>
        <w:t xml:space="preserve">Standard KYC tools automate identity verification. Onboarda automates the entire onboarding lifecycle: pre-screening, multi-source screening (sanctions, PEP, corporate registry, IP geolocation), risk scoring, pricing, document verification, compliance memo generation, EDD routing, approval workflow, monitoring, and SAR filing. The platform eliminates the fragmented toolchain that most compliance teams operate with today — separate tools for screening, document management, risk scoring, and case management — replacing it with a single integrated workflow.</w:t>
      </w:r>
    </w:p>
    <w:p>
      <w:pPr>
        <w:pStyle w:val="Heading2"/>
        <w:spacing w:before="240" w:after="200"/>
      </w:pPr>
      <w:r>
        <w:rPr>
          <w:rFonts w:ascii="Arial" w:cs="Arial" w:eastAsia="Arial" w:hAnsi="Arial"/>
          <w:b/>
          <w:bCs/>
          <w:color w:val="1B3A5C"/>
          <w:sz w:val="26"/>
          <w:szCs w:val="26"/>
        </w:rPr>
        <w:t xml:space="preserve">10.3 Onboarding Speed</w:t>
      </w:r>
    </w:p>
    <w:p>
      <w:pPr>
        <w:spacing w:after="160" w:line="276"/>
        <w:jc w:val="both"/>
      </w:pPr>
      <w:r>
        <w:rPr>
          <w:rFonts w:ascii="Arial" w:cs="Arial" w:eastAsia="Arial" w:hAnsi="Arial"/>
          <w:b w:val="false"/>
          <w:bCs w:val="false"/>
          <w:i w:val="false"/>
          <w:iCs w:val="false"/>
          <w:color w:val="333333"/>
          <w:sz w:val="21"/>
          <w:szCs w:val="21"/>
        </w:rPr>
        <w:t xml:space="preserve">By automating screening, risk scoring, and compliance memo generation, Onboarda reduces the elapsed time for a standard-risk onboarding from the industry average of 2–4 weeks to potentially same-day for low-risk applications (Fast Lane). High-risk applications still require human EDD review, but the AI pre-analysis significantly reduces officer time per case.</w:t>
      </w:r>
    </w:p>
    <w:p>
      <w:pPr>
        <w:pStyle w:val="Heading2"/>
        <w:spacing w:before="240" w:after="200"/>
      </w:pPr>
      <w:r>
        <w:rPr>
          <w:rFonts w:ascii="Arial" w:cs="Arial" w:eastAsia="Arial" w:hAnsi="Arial"/>
          <w:b/>
          <w:bCs/>
          <w:color w:val="1B3A5C"/>
          <w:sz w:val="26"/>
          <w:szCs w:val="26"/>
        </w:rPr>
        <w:t xml:space="preserve">10.4 Compliance Defensibility</w:t>
      </w:r>
    </w:p>
    <w:p>
      <w:pPr>
        <w:spacing w:after="160" w:line="276"/>
        <w:jc w:val="both"/>
      </w:pPr>
      <w:r>
        <w:rPr>
          <w:rFonts w:ascii="Arial" w:cs="Arial" w:eastAsia="Arial" w:hAnsi="Arial"/>
          <w:b w:val="false"/>
          <w:bCs w:val="false"/>
          <w:i w:val="false"/>
          <w:iCs w:val="false"/>
          <w:color w:val="333333"/>
          <w:sz w:val="21"/>
          <w:szCs w:val="21"/>
        </w:rPr>
        <w:t xml:space="preserve">The platform is designed with regulatory examination in mind. The immutable audit trail, structured AI explainability, terminal-state idempotency, screening data immutability, and compliance memo enforcement create a regulatory paper trail that demonstrates due diligence at every step. This is particularly valuable for institutions subject to frequent regulatory examination or operating in higher-risk jurisdictions.</w:t>
      </w:r>
    </w:p>
    <w:p>
      <w:pPr>
        <w:pStyle w:val="Heading2"/>
        <w:spacing w:before="240" w:after="200"/>
      </w:pPr>
      <w:r>
        <w:rPr>
          <w:rFonts w:ascii="Arial" w:cs="Arial" w:eastAsia="Arial" w:hAnsi="Arial"/>
          <w:b/>
          <w:bCs/>
          <w:color w:val="1B3A5C"/>
          <w:sz w:val="26"/>
          <w:szCs w:val="26"/>
        </w:rPr>
        <w:t xml:space="preserve">10.5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800"/>
        <w:gridCol w:w="14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Onboarda</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Fenergo</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ComplyAdvantage</w:t>
            </w:r>
          </w:p>
        </w:tc>
        <w:tc>
          <w:tcPr>
            <w:tcW w:type="dxa" w:w="1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 KYC Tools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AI-Powered Risk Scoring</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5-dimension, explainable, schema-validated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Rule-based</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ML-based, limited explainability</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Basic scoring</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Full Lifecycle Automation</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Application to monitoring to SAR</w:t>
            </w:r>
          </w:p>
        </w:tc>
        <w:tc>
          <w:tcPr>
            <w:tcW w:type="dxa" w:w="1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Lifecycle management</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Screening &amp; monitoring only</w:t>
            </w:r>
          </w:p>
        </w:tc>
        <w:tc>
          <w:tcPr>
            <w:tcW w:type="dxa" w:w="14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Identity verification only</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Compliance Memo Generation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AI-generated, structured, auditable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Manual</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Not available</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Not available</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Multi-Source Screening</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Sumsub + OpenSanctions + OpenCorporates + IP</w:t>
            </w:r>
          </w:p>
        </w:tc>
        <w:tc>
          <w:tcPr>
            <w:tcW w:type="dxa" w:w="1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Third-party integrations</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Proprietary database</w:t>
            </w:r>
          </w:p>
        </w:tc>
        <w:tc>
          <w:tcPr>
            <w:tcW w:type="dxa" w:w="14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Single source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Self-Service Client Portal</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Full onboarding, doc upload, tracking</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Not available</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Identity flow only</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Deployment Flexibility</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Cloud SaaS, demo mode, feature flags</w:t>
            </w:r>
          </w:p>
        </w:tc>
        <w:tc>
          <w:tcPr>
            <w:tcW w:type="dxa" w:w="1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On-premise + cloud</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SaaS only</w:t>
            </w:r>
          </w:p>
        </w:tc>
        <w:tc>
          <w:tcPr>
            <w:tcW w:type="dxa" w:w="14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SaaS only</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Target Market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PSPs, CSPs, management companies</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Large banks, asset managers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Banks, fintechs</w:t>
            </w:r>
          </w:p>
        </w:tc>
        <w:tc>
          <w:tcPr>
            <w:tcW w:type="dxa" w:w="1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Any identity verification</w:t>
            </w:r>
          </w:p>
        </w:tc>
      </w:tr>
      <w:tr>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Price Point</w:t>
            </w:r>
          </w:p>
        </w:tc>
        <w:tc>
          <w:tcPr>
            <w:tcW w:type="dxa" w:w="2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Low (startup)</w:t>
            </w:r>
          </w:p>
        </w:tc>
        <w:tc>
          <w:tcPr>
            <w:tcW w:type="dxa" w:w="17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High (enterprise)</w:t>
            </w:r>
          </w:p>
        </w:tc>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14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Low–Medium</w:t>
            </w:r>
          </w:p>
        </w:tc>
      </w:tr>
    </w:tbl>
    <w:p>
      <w:r>
        <w:br w:type="page"/>
      </w:r>
    </w:p>
    <w:p>
      <w:pPr>
        <w:pStyle w:val="Heading1"/>
        <w:spacing w:before="360" w:after="200"/>
      </w:pPr>
      <w:r>
        <w:rPr>
          <w:rFonts w:ascii="Arial" w:cs="Arial" w:eastAsia="Arial" w:hAnsi="Arial"/>
          <w:b/>
          <w:bCs/>
          <w:color w:val="1B3A5C"/>
          <w:sz w:val="32"/>
          <w:szCs w:val="32"/>
        </w:rPr>
        <w:t xml:space="preserve">11. Commercial Use Cases</w:t>
      </w:r>
    </w:p>
    <w:p>
      <w:pPr>
        <w:pStyle w:val="Heading2"/>
        <w:spacing w:before="240" w:after="200"/>
      </w:pPr>
      <w:r>
        <w:rPr>
          <w:rFonts w:ascii="Arial" w:cs="Arial" w:eastAsia="Arial" w:hAnsi="Arial"/>
          <w:b/>
          <w:bCs/>
          <w:color w:val="1B3A5C"/>
          <w:sz w:val="26"/>
          <w:szCs w:val="26"/>
        </w:rPr>
        <w:t xml:space="preserve">11.1 PSP Onboarding</w:t>
      </w:r>
    </w:p>
    <w:p>
      <w:pPr>
        <w:spacing w:after="160" w:line="276"/>
        <w:jc w:val="both"/>
      </w:pPr>
      <w:r>
        <w:rPr>
          <w:rFonts w:ascii="Arial" w:cs="Arial" w:eastAsia="Arial" w:hAnsi="Arial"/>
          <w:b w:val="false"/>
          <w:bCs w:val="false"/>
          <w:i w:val="false"/>
          <w:iCs w:val="false"/>
          <w:color w:val="333333"/>
          <w:sz w:val="21"/>
          <w:szCs w:val="21"/>
        </w:rPr>
        <w:t xml:space="preserve">Payment service providers under FSC Mauritius or equivalent regulatory frameworks can use Onboarda to onboard merchant clients with automated KYC/AML screening, risk-based pricing, and regulatory-defensible compliance memos. The platform’s multi-source screening (sanctions, PEP, corporate registry, IP geolocation) satisfies the screening requirements of PSP licensing conditions.</w:t>
      </w:r>
    </w:p>
    <w:p>
      <w:pPr>
        <w:pStyle w:val="Heading2"/>
        <w:spacing w:before="240" w:after="200"/>
      </w:pPr>
      <w:r>
        <w:rPr>
          <w:rFonts w:ascii="Arial" w:cs="Arial" w:eastAsia="Arial" w:hAnsi="Arial"/>
          <w:b/>
          <w:bCs/>
          <w:color w:val="1B3A5C"/>
          <w:sz w:val="26"/>
          <w:szCs w:val="26"/>
        </w:rPr>
        <w:t xml:space="preserve">11.2 CSP Onboarding</w:t>
      </w:r>
    </w:p>
    <w:p>
      <w:pPr>
        <w:spacing w:after="160" w:line="276"/>
        <w:jc w:val="both"/>
      </w:pPr>
      <w:r>
        <w:rPr>
          <w:rFonts w:ascii="Arial" w:cs="Arial" w:eastAsia="Arial" w:hAnsi="Arial"/>
          <w:b w:val="false"/>
          <w:bCs w:val="false"/>
          <w:i w:val="false"/>
          <w:iCs w:val="false"/>
          <w:color w:val="333333"/>
          <w:sz w:val="21"/>
          <w:szCs w:val="21"/>
        </w:rPr>
        <w:t xml:space="preserve">Corporate service providers managing Global Business Companies (GBC1, GBC2, Authorised Companies) in Mauritius can use the platform for client onboarding, UBO mapping through complex multi-layered structures, ongoing monitoring, and SAR filing. The AI’s ability to detect nominee structures and secrecy jurisdiction intermediaries is particularly relevant for CSP workflows.</w:t>
      </w:r>
    </w:p>
    <w:p>
      <w:pPr>
        <w:pStyle w:val="Heading2"/>
        <w:spacing w:before="240" w:after="200"/>
      </w:pPr>
      <w:r>
        <w:rPr>
          <w:rFonts w:ascii="Arial" w:cs="Arial" w:eastAsia="Arial" w:hAnsi="Arial"/>
          <w:b/>
          <w:bCs/>
          <w:color w:val="1B3A5C"/>
          <w:sz w:val="26"/>
          <w:szCs w:val="26"/>
        </w:rPr>
        <w:t xml:space="preserve">11.3 Multi-Jurisdiction Compliance</w:t>
      </w:r>
    </w:p>
    <w:p>
      <w:pPr>
        <w:spacing w:after="160" w:line="276"/>
        <w:jc w:val="both"/>
      </w:pPr>
      <w:r>
        <w:rPr>
          <w:rFonts w:ascii="Arial" w:cs="Arial" w:eastAsia="Arial" w:hAnsi="Arial"/>
          <w:b w:val="false"/>
          <w:bCs w:val="false"/>
          <w:i w:val="false"/>
          <w:iCs w:val="false"/>
          <w:color w:val="333333"/>
          <w:sz w:val="21"/>
          <w:szCs w:val="21"/>
        </w:rPr>
        <w:t xml:space="preserve">The platform’s risk scoring engine already incorporates FATF grey/blacklists, secrecy jurisdiction databases, and country-specific risk classifications. The planned multi-jurisdiction rule engine will extend this to support jurisdiction-specific compliance rule sets, enabling a single platform deployment to serve clients operating across multiple regulatory frameworks.</w:t>
      </w:r>
    </w:p>
    <w:p>
      <w:pPr>
        <w:pStyle w:val="Heading2"/>
        <w:spacing w:before="240" w:after="200"/>
      </w:pPr>
      <w:r>
        <w:rPr>
          <w:rFonts w:ascii="Arial" w:cs="Arial" w:eastAsia="Arial" w:hAnsi="Arial"/>
          <w:b/>
          <w:bCs/>
          <w:color w:val="1B3A5C"/>
          <w:sz w:val="26"/>
          <w:szCs w:val="26"/>
        </w:rPr>
        <w:t xml:space="preserve">11.4 Onboarding-as-a-Service (OaaS)</w:t>
      </w:r>
    </w:p>
    <w:p>
      <w:pPr>
        <w:spacing w:after="160" w:line="276"/>
        <w:jc w:val="both"/>
      </w:pPr>
      <w:r>
        <w:rPr>
          <w:rFonts w:ascii="Arial" w:cs="Arial" w:eastAsia="Arial" w:hAnsi="Arial"/>
          <w:b w:val="false"/>
          <w:bCs w:val="false"/>
          <w:i w:val="false"/>
          <w:iCs w:val="false"/>
          <w:color w:val="333333"/>
          <w:sz w:val="21"/>
          <w:szCs w:val="21"/>
        </w:rPr>
        <w:t xml:space="preserve">The dual-environment architecture (live + demo) and feature flag system make Onboarda suitable for white-label deployment as an Onboarding-as-a-Service offering. A regulated institution could deploy the platform for its own compliance team, while the demo environment provides a client-facing sales tool. The API-first architecture supports integration with existing core banking or payment systems.</w:t>
      </w:r>
    </w:p>
    <w:p>
      <w:r>
        <w:br w:type="page"/>
      </w:r>
    </w:p>
    <w:p>
      <w:pPr>
        <w:pStyle w:val="Heading1"/>
        <w:spacing w:before="360" w:after="200"/>
      </w:pPr>
      <w:r>
        <w:rPr>
          <w:rFonts w:ascii="Arial" w:cs="Arial" w:eastAsia="Arial" w:hAnsi="Arial"/>
          <w:b/>
          <w:bCs/>
          <w:color w:val="1B3A5C"/>
          <w:sz w:val="32"/>
          <w:szCs w:val="32"/>
        </w:rPr>
        <w:t xml:space="preserve">12. Scalability &amp; Expansion Potential</w:t>
      </w:r>
    </w:p>
    <w:p>
      <w:pPr>
        <w:pStyle w:val="Heading2"/>
        <w:spacing w:before="240" w:after="200"/>
      </w:pPr>
      <w:r>
        <w:rPr>
          <w:rFonts w:ascii="Arial" w:cs="Arial" w:eastAsia="Arial" w:hAnsi="Arial"/>
          <w:b/>
          <w:bCs/>
          <w:color w:val="1B3A5C"/>
          <w:sz w:val="26"/>
          <w:szCs w:val="26"/>
        </w:rPr>
        <w:t xml:space="preserve">12.1 Technical Scalability</w:t>
      </w:r>
    </w:p>
    <w:p>
      <w:pPr>
        <w:pStyle w:val="ListParagraph"/>
        <w:numPr>
          <w:ilvl w:val="0"/>
          <w:numId w:val="2"/>
        </w:numPr>
        <w:spacing w:after="80" w:line="276"/>
      </w:pPr>
      <w:r>
        <w:rPr>
          <w:rFonts w:ascii="Arial" w:cs="Arial" w:eastAsia="Arial" w:hAnsi="Arial"/>
          <w:b/>
          <w:bCs/>
          <w:color w:val="333333"/>
          <w:sz w:val="21"/>
          <w:szCs w:val="21"/>
        </w:rPr>
        <w:t xml:space="preserve">Database: </w:t>
      </w:r>
      <w:r>
        <w:rPr>
          <w:rFonts w:ascii="Arial" w:cs="Arial" w:eastAsia="Arial" w:hAnsi="Arial"/>
          <w:color w:val="333333"/>
          <w:sz w:val="21"/>
          <w:szCs w:val="21"/>
        </w:rPr>
        <w:t xml:space="preserve">SQLite for development, PostgreSQL for production with connection pooling. Schema supports JSONB columns for flexible data evolution without migrations.</w:t>
      </w:r>
    </w:p>
    <w:p>
      <w:pPr>
        <w:pStyle w:val="ListParagraph"/>
        <w:numPr>
          <w:ilvl w:val="0"/>
          <w:numId w:val="2"/>
        </w:numPr>
        <w:spacing w:after="80" w:line="276"/>
      </w:pPr>
      <w:r>
        <w:rPr>
          <w:rFonts w:ascii="Arial" w:cs="Arial" w:eastAsia="Arial" w:hAnsi="Arial"/>
          <w:b/>
          <w:bCs/>
          <w:color w:val="333333"/>
          <w:sz w:val="21"/>
          <w:szCs w:val="21"/>
        </w:rPr>
        <w:t xml:space="preserve">Compute: </w:t>
      </w:r>
      <w:r>
        <w:rPr>
          <w:rFonts w:ascii="Arial" w:cs="Arial" w:eastAsia="Arial" w:hAnsi="Arial"/>
          <w:color w:val="333333"/>
          <w:sz w:val="21"/>
          <w:szCs w:val="21"/>
        </w:rPr>
        <w:t xml:space="preserve">Tornado’s async architecture supports concurrent request handling. Render.com’s auto-scaling can add instances as load grows. Redis infrastructure (planned) will enable shared state across instances.</w:t>
      </w:r>
    </w:p>
    <w:p>
      <w:pPr>
        <w:pStyle w:val="ListParagraph"/>
        <w:numPr>
          <w:ilvl w:val="0"/>
          <w:numId w:val="2"/>
        </w:numPr>
        <w:spacing w:after="80" w:line="276"/>
      </w:pPr>
      <w:r>
        <w:rPr>
          <w:rFonts w:ascii="Arial" w:cs="Arial" w:eastAsia="Arial" w:hAnsi="Arial"/>
          <w:b/>
          <w:bCs/>
          <w:color w:val="333333"/>
          <w:sz w:val="21"/>
          <w:szCs w:val="21"/>
        </w:rPr>
        <w:t xml:space="preserve">Storage: </w:t>
      </w:r>
      <w:r>
        <w:rPr>
          <w:rFonts w:ascii="Arial" w:cs="Arial" w:eastAsia="Arial" w:hAnsi="Arial"/>
          <w:color w:val="333333"/>
          <w:sz w:val="21"/>
          <w:szCs w:val="21"/>
        </w:rPr>
        <w:t xml:space="preserve">S3 scales automatically with no capacity planning required. Document access via presigned URLs offloads bandwidth from the application server.</w:t>
      </w:r>
    </w:p>
    <w:p>
      <w:pPr>
        <w:pStyle w:val="ListParagraph"/>
        <w:numPr>
          <w:ilvl w:val="0"/>
          <w:numId w:val="2"/>
        </w:numPr>
        <w:spacing w:after="80" w:line="276"/>
      </w:pPr>
      <w:r>
        <w:rPr>
          <w:rFonts w:ascii="Arial" w:cs="Arial" w:eastAsia="Arial" w:hAnsi="Arial"/>
          <w:b/>
          <w:bCs/>
          <w:color w:val="333333"/>
          <w:sz w:val="21"/>
          <w:szCs w:val="21"/>
        </w:rPr>
        <w:t xml:space="preserve">AI: </w:t>
      </w:r>
      <w:r>
        <w:rPr>
          <w:rFonts w:ascii="Arial" w:cs="Arial" w:eastAsia="Arial" w:hAnsi="Arial"/>
          <w:color w:val="333333"/>
          <w:sz w:val="21"/>
          <w:szCs w:val="21"/>
        </w:rPr>
        <w:t xml:space="preserve">Claude API scales on-demand. Budget tracking prevents cost overruns. Model selection (Sonnet vs Opus) allows cost/quality optimisation per agent.</w:t>
      </w:r>
    </w:p>
    <w:p>
      <w:pPr>
        <w:pStyle w:val="Heading2"/>
        <w:spacing w:before="240" w:after="200"/>
      </w:pPr>
      <w:r>
        <w:rPr>
          <w:rFonts w:ascii="Arial" w:cs="Arial" w:eastAsia="Arial" w:hAnsi="Arial"/>
          <w:b/>
          <w:bCs/>
          <w:color w:val="1B3A5C"/>
          <w:sz w:val="26"/>
          <w:szCs w:val="26"/>
        </w:rPr>
        <w:t xml:space="preserve">12.2 SaaS Potential</w:t>
      </w:r>
    </w:p>
    <w:p>
      <w:pPr>
        <w:spacing w:after="160" w:line="276"/>
        <w:jc w:val="both"/>
      </w:pPr>
      <w:r>
        <w:rPr>
          <w:rFonts w:ascii="Arial" w:cs="Arial" w:eastAsia="Arial" w:hAnsi="Arial"/>
          <w:b w:val="false"/>
          <w:bCs w:val="false"/>
          <w:i w:val="false"/>
          <w:iCs w:val="false"/>
          <w:color w:val="333333"/>
          <w:sz w:val="21"/>
          <w:szCs w:val="21"/>
        </w:rPr>
        <w:t xml:space="preserve">The platform’s environment and feature flag architecture already supports multi-tenant concepts. Each deployment can be configured independently via environment variables. A true multi-tenant SaaS offering would require: tenant isolation at the database level (schema-per-tenant or row-level security), tenant-specific branding, usage-based billing, and an administrative portal for tenant management. These are engineering efforts, not architectural changes — the current design accommodates them.</w:t>
      </w:r>
    </w:p>
    <w:p>
      <w:pPr>
        <w:pStyle w:val="Heading2"/>
        <w:spacing w:before="240" w:after="200"/>
      </w:pPr>
      <w:r>
        <w:rPr>
          <w:rFonts w:ascii="Arial" w:cs="Arial" w:eastAsia="Arial" w:hAnsi="Arial"/>
          <w:b/>
          <w:bCs/>
          <w:color w:val="1B3A5C"/>
          <w:sz w:val="26"/>
          <w:szCs w:val="26"/>
        </w:rPr>
        <w:t xml:space="preserve">12.3 API Productisation</w:t>
      </w:r>
    </w:p>
    <w:p>
      <w:pPr>
        <w:spacing w:after="160" w:line="276"/>
        <w:jc w:val="both"/>
      </w:pPr>
      <w:r>
        <w:rPr>
          <w:rFonts w:ascii="Arial" w:cs="Arial" w:eastAsia="Arial" w:hAnsi="Arial"/>
          <w:b w:val="false"/>
          <w:bCs w:val="false"/>
          <w:i w:val="false"/>
          <w:iCs w:val="false"/>
          <w:color w:val="333333"/>
          <w:sz w:val="21"/>
          <w:szCs w:val="21"/>
        </w:rPr>
        <w:t xml:space="preserve">The 55+ RESTful endpoints are already well-structured and documented. Exposing a subset as a public API (risk scoring, screening, document verification) would enable third parties to integrate Onboarda’s compliance capabilities into their own workflows. This would require: API key management, usage metering, rate limiting (already implemented), and API documentation (OpenAPI/Swagger).</w:t>
      </w:r>
    </w:p>
    <w:p>
      <w:pPr>
        <w:pStyle w:val="Heading2"/>
        <w:spacing w:before="240" w:after="200"/>
      </w:pPr>
      <w:r>
        <w:rPr>
          <w:rFonts w:ascii="Arial" w:cs="Arial" w:eastAsia="Arial" w:hAnsi="Arial"/>
          <w:b/>
          <w:bCs/>
          <w:color w:val="1B3A5C"/>
          <w:sz w:val="26"/>
          <w:szCs w:val="26"/>
        </w:rPr>
        <w:t xml:space="preserve">12.4 Cross-Jurisdiction Expansion</w:t>
      </w:r>
    </w:p>
    <w:p>
      <w:pPr>
        <w:spacing w:after="160" w:line="276"/>
        <w:jc w:val="both"/>
      </w:pPr>
      <w:r>
        <w:rPr>
          <w:rFonts w:ascii="Arial" w:cs="Arial" w:eastAsia="Arial" w:hAnsi="Arial"/>
          <w:b w:val="false"/>
          <w:bCs w:val="false"/>
          <w:i w:val="false"/>
          <w:iCs w:val="false"/>
          <w:color w:val="333333"/>
          <w:sz w:val="21"/>
          <w:szCs w:val="21"/>
        </w:rPr>
        <w:t xml:space="preserve">The risk scoring engine’s country classification database and sector risk mapping are configurable. Expanding to additional jurisdictions requires: adding jurisdiction-specific risk parameters, integrating local screening databases, configuring jurisdiction-specific document requirements, and mapping local regulatory obligations. The platform’s architecture supports this via the risk_config table and AI agent prompt customisation.</w:t>
      </w:r>
    </w:p>
    <w:p>
      <w:r>
        <w:br w:type="page"/>
      </w:r>
    </w:p>
    <w:p>
      <w:pPr>
        <w:pStyle w:val="Heading1"/>
        <w:spacing w:before="360" w:after="200"/>
      </w:pPr>
      <w:r>
        <w:rPr>
          <w:rFonts w:ascii="Arial" w:cs="Arial" w:eastAsia="Arial" w:hAnsi="Arial"/>
          <w:b/>
          <w:bCs/>
          <w:color w:val="1B3A5C"/>
          <w:sz w:val="32"/>
          <w:szCs w:val="32"/>
        </w:rPr>
        <w:t xml:space="preserve">13. Risks &amp; Limitations</w:t>
      </w:r>
    </w:p>
    <w:p>
      <w:pPr>
        <w:spacing w:after="160" w:line="276"/>
        <w:jc w:val="both"/>
      </w:pPr>
      <w:r>
        <w:rPr>
          <w:rFonts w:ascii="Arial" w:cs="Arial" w:eastAsia="Arial" w:hAnsi="Arial"/>
          <w:b w:val="false"/>
          <w:bCs w:val="false"/>
          <w:i w:val="false"/>
          <w:iCs w:val="false"/>
          <w:color w:val="333333"/>
          <w:sz w:val="21"/>
          <w:szCs w:val="21"/>
        </w:rPr>
        <w:t xml:space="preserve">This section provides an honest assessment of current risks and limitations, as would be expected in a technical due diligence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200"/>
        <w:gridCol w:w="28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Area</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 Path</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AI Dependency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Core compliance functions depend on Anthropic’s Claude API. API outage or pricing changes directly impact platform operations.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Mock fallback mode in demo/dev. Production requires live API. Multi-provider LLM support planned.</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Single-Instance Architecture</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Current deployment runs on a single Render instance per environment. No horizontal scaling or failover.</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Sufficient for pilot. Redis + multi-instance deployment planned for scale.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In-Memory State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Rate limiting, token revocation, and session data stored in memory. Lost on restart.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Low–Medium</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Redis migration planned. Current state is acceptable for controlled pilot.</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Regulatory AI Risk</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AI-generated compliance memos and risk scores, while human-reviewed, may face regulatory scrutiny regarding AI use in compliance decisions.</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Explainability layer, confidence thresholds, and mandatory human approval mitigate this. Regulatory guidance on AI in compliance is evolving.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Single Developer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Platform built by a single developer/small team. Bus factor risk.</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Comprehensive codebase documentation, clean architecture, and standard tech stack mitigate onboarding risk.</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Limited Production History</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No production deployment history or performance data under real load.</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Controlled pilot deployment will generate production data. Load testing recommended before scaling.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CSP Inline Scripts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Content Security Policy allows unsafe-inline for scripts and styles.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20"/>
                <w:szCs w:val="20"/>
              </w:rPr>
              <w:t xml:space="preserve">Required for current SPA architecture. Nonce-based CSP planned.</w:t>
            </w:r>
          </w:p>
        </w:tc>
      </w:tr>
      <w:tr>
        <w:tc>
          <w:tcPr>
            <w:tcW w:type="dxa" w:w="1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No Automated Test Suite</w:t>
            </w:r>
          </w:p>
        </w:tc>
        <w:tc>
          <w:tcPr>
            <w:tcW w:type="dxa" w:w="356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Limited automated test coverage. Manual testing and audit-driven validation.</w:t>
            </w:r>
          </w:p>
        </w:tc>
        <w:tc>
          <w:tcPr>
            <w:tcW w:type="dxa" w:w="12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5F8FC" w:val="clear"/>
            <w:tcMar>
              <w:top w:type="dxa" w:w="50"/>
              <w:left w:type="dxa" w:w="100"/>
              <w:bottom w:type="dxa" w:w="50"/>
              <w:right w:type="dxa" w:w="100"/>
            </w:tcMar>
          </w:tcPr>
          <w:p>
            <w:r>
              <w:rPr>
                <w:rFonts w:ascii="Arial" w:cs="Arial" w:eastAsia="Arial" w:hAnsi="Arial"/>
                <w:color w:val="333333"/>
                <w:sz w:val="20"/>
                <w:szCs w:val="20"/>
              </w:rPr>
              <w:t xml:space="preserve">Pytest framework configured. Test suite expansion is a priority for production readiness.</w:t>
            </w:r>
          </w:p>
        </w:tc>
      </w:tr>
    </w:tbl>
    <w:p>
      <w:r>
        <w:br w:type="page"/>
      </w:r>
    </w:p>
    <w:p>
      <w:pPr>
        <w:pStyle w:val="Heading1"/>
        <w:spacing w:before="360" w:after="200"/>
      </w:pPr>
      <w:r>
        <w:rPr>
          <w:rFonts w:ascii="Arial" w:cs="Arial" w:eastAsia="Arial" w:hAnsi="Arial"/>
          <w:b/>
          <w:bCs/>
          <w:color w:val="1B3A5C"/>
          <w:sz w:val="32"/>
          <w:szCs w:val="32"/>
        </w:rPr>
        <w:t xml:space="preserve">14. Summary for Valuation</w:t>
      </w:r>
    </w:p>
    <w:p>
      <w:pPr>
        <w:pStyle w:val="Heading2"/>
        <w:spacing w:before="240" w:after="200"/>
      </w:pPr>
      <w:r>
        <w:rPr>
          <w:rFonts w:ascii="Arial" w:cs="Arial" w:eastAsia="Arial" w:hAnsi="Arial"/>
          <w:b/>
          <w:bCs/>
          <w:color w:val="1B3A5C"/>
          <w:sz w:val="26"/>
          <w:szCs w:val="26"/>
        </w:rPr>
        <w:t xml:space="preserve">14.1 Why This is a Valuable Asset</w:t>
      </w:r>
    </w:p>
    <w:p>
      <w:pPr>
        <w:spacing w:after="160" w:line="276"/>
        <w:jc w:val="both"/>
      </w:pPr>
      <w:r>
        <w:rPr>
          <w:rFonts w:ascii="Arial" w:cs="Arial" w:eastAsia="Arial" w:hAnsi="Arial"/>
          <w:b w:val="false"/>
          <w:bCs w:val="false"/>
          <w:i w:val="false"/>
          <w:iCs w:val="false"/>
          <w:color w:val="333333"/>
          <w:sz w:val="21"/>
          <w:szCs w:val="21"/>
        </w:rPr>
        <w:t xml:space="preserve">Onboarda represents a functionally complete, vertically integrated compliance onboarding platform that addresses a genuine market gap: the fragmented, manual, and opaque nature of compliance onboarding at regulated financial institutions. The platform’s value derives from three primary sources:</w:t>
      </w:r>
    </w:p>
    <w:p>
      <w:pPr>
        <w:pStyle w:val="ListParagraph"/>
        <w:numPr>
          <w:ilvl w:val="0"/>
          <w:numId w:val="2"/>
        </w:numPr>
        <w:spacing w:after="80" w:line="276"/>
      </w:pPr>
      <w:r>
        <w:rPr>
          <w:rFonts w:ascii="Arial" w:cs="Arial" w:eastAsia="Arial" w:hAnsi="Arial"/>
          <w:b/>
          <w:bCs/>
          <w:color w:val="333333"/>
          <w:sz w:val="21"/>
          <w:szCs w:val="21"/>
        </w:rPr>
        <w:t xml:space="preserve">Intellectual Property: </w:t>
      </w:r>
      <w:r>
        <w:rPr>
          <w:rFonts w:ascii="Arial" w:cs="Arial" w:eastAsia="Arial" w:hAnsi="Arial"/>
          <w:color w:val="333333"/>
          <w:sz w:val="21"/>
          <w:szCs w:val="21"/>
        </w:rPr>
        <w:t xml:space="preserve">24,341 lines of purpose-built compliance technology including 5 AI agents with structured validation, a 5-dimension risk scoring engine, multi-source screening integration, and a complete case management workflow. This is not a thin wrapper around third-party APIs — it is a domain-specific platform with significant embedded compliance knowledge.</w:t>
      </w:r>
    </w:p>
    <w:p>
      <w:pPr>
        <w:pStyle w:val="ListParagraph"/>
        <w:numPr>
          <w:ilvl w:val="0"/>
          <w:numId w:val="2"/>
        </w:numPr>
        <w:spacing w:after="80" w:line="276"/>
      </w:pPr>
      <w:r>
        <w:rPr>
          <w:rFonts w:ascii="Arial" w:cs="Arial" w:eastAsia="Arial" w:hAnsi="Arial"/>
          <w:b/>
          <w:bCs/>
          <w:color w:val="333333"/>
          <w:sz w:val="21"/>
          <w:szCs w:val="21"/>
        </w:rPr>
        <w:t xml:space="preserve">Market Position: </w:t>
      </w:r>
      <w:r>
        <w:rPr>
          <w:rFonts w:ascii="Arial" w:cs="Arial" w:eastAsia="Arial" w:hAnsi="Arial"/>
          <w:color w:val="333333"/>
          <w:sz w:val="21"/>
          <w:szCs w:val="21"/>
        </w:rPr>
        <w:t xml:space="preserve">Targets an underserved segment (PSPs, CSPs, management companies) that is typically too small for enterprise solutions like Fenergo but too regulated for basic KYC tools. The platform’s price point and deployment flexibility make it accessible to this market.</w:t>
      </w:r>
    </w:p>
    <w:p>
      <w:pPr>
        <w:pStyle w:val="ListParagraph"/>
        <w:numPr>
          <w:ilvl w:val="0"/>
          <w:numId w:val="2"/>
        </w:numPr>
        <w:spacing w:after="80" w:line="276"/>
      </w:pPr>
      <w:r>
        <w:rPr>
          <w:rFonts w:ascii="Arial" w:cs="Arial" w:eastAsia="Arial" w:hAnsi="Arial"/>
          <w:b/>
          <w:bCs/>
          <w:color w:val="333333"/>
          <w:sz w:val="21"/>
          <w:szCs w:val="21"/>
        </w:rPr>
        <w:t xml:space="preserve">Regulatory Readiness: </w:t>
      </w:r>
      <w:r>
        <w:rPr>
          <w:rFonts w:ascii="Arial" w:cs="Arial" w:eastAsia="Arial" w:hAnsi="Arial"/>
          <w:color w:val="333333"/>
          <w:sz w:val="21"/>
          <w:szCs w:val="21"/>
        </w:rPr>
        <w:t xml:space="preserve">The platform’s security architecture, audit trail, AI explainability, and compliance workflow enforcement are not afterthoughts — they are core architectural features. This is a significant differentiator versus competitors that bolt compliance features onto general-purpose platforms.</w:t>
      </w:r>
    </w:p>
    <w:p>
      <w:pPr>
        <w:pStyle w:val="Heading2"/>
        <w:spacing w:before="240" w:after="200"/>
      </w:pPr>
      <w:r>
        <w:rPr>
          <w:rFonts w:ascii="Arial" w:cs="Arial" w:eastAsia="Arial" w:hAnsi="Arial"/>
          <w:b/>
          <w:bCs/>
          <w:color w:val="1B3A5C"/>
          <w:sz w:val="26"/>
          <w:szCs w:val="26"/>
        </w:rPr>
        <w:t xml:space="preserve">14.2 Current Stage</w:t>
      </w:r>
    </w:p>
    <w:p>
      <w:pPr>
        <w:spacing w:after="160" w:line="276"/>
        <w:jc w:val="both"/>
      </w:pPr>
      <w:r>
        <w:rPr>
          <w:rFonts w:ascii="Arial" w:cs="Arial" w:eastAsia="Arial" w:hAnsi="Arial"/>
          <w:b w:val="false"/>
          <w:bCs w:val="false"/>
          <w:i w:val="false"/>
          <w:iCs w:val="false"/>
          <w:color w:val="333333"/>
          <w:sz w:val="21"/>
          <w:szCs w:val="21"/>
        </w:rPr>
        <w:t xml:space="preserve">The platform is at pilot-ready stage with a CONDITIONAL GO certification following comprehensive security audit. All critical and high-severity findings have been remediated. Dual-environment deployment (production + demo) is operational. The system is ready for controlled pilot deployment with a limited number of real clients.</w:t>
      </w:r>
    </w:p>
    <w:p>
      <w:pPr>
        <w:pStyle w:val="Heading2"/>
        <w:spacing w:before="240" w:after="200"/>
      </w:pPr>
      <w:r>
        <w:rPr>
          <w:rFonts w:ascii="Arial" w:cs="Arial" w:eastAsia="Arial" w:hAnsi="Arial"/>
          <w:b/>
          <w:bCs/>
          <w:color w:val="1B3A5C"/>
          <w:sz w:val="26"/>
          <w:szCs w:val="26"/>
        </w:rPr>
        <w:t xml:space="preserve">14.3 Value Acceleration Factors</w:t>
      </w:r>
    </w:p>
    <w:p>
      <w:pPr>
        <w:spacing w:after="160" w:line="276"/>
        <w:jc w:val="both"/>
      </w:pPr>
      <w:r>
        <w:rPr>
          <w:rFonts w:ascii="Arial" w:cs="Arial" w:eastAsia="Arial" w:hAnsi="Arial"/>
          <w:b w:val="false"/>
          <w:bCs w:val="false"/>
          <w:i w:val="false"/>
          <w:iCs w:val="false"/>
          <w:color w:val="333333"/>
          <w:sz w:val="21"/>
          <w:szCs w:val="21"/>
        </w:rPr>
        <w:t xml:space="preserve">The following actions would increase the platform’s valuation:</w:t>
      </w:r>
    </w:p>
    <w:p>
      <w:pPr>
        <w:pStyle w:val="ListParagraph"/>
        <w:numPr>
          <w:ilvl w:val="0"/>
          <w:numId w:val="2"/>
        </w:numPr>
        <w:spacing w:after="80" w:line="276"/>
      </w:pPr>
      <w:r>
        <w:rPr>
          <w:rFonts w:ascii="Arial" w:cs="Arial" w:eastAsia="Arial" w:hAnsi="Arial"/>
          <w:color w:val="333333"/>
          <w:sz w:val="21"/>
          <w:szCs w:val="21"/>
        </w:rPr>
        <w:t xml:space="preserve">Successful pilot deployment: demonstrating real-world usage with actual regulated entities validates the product-market fit and de-risks the technology.</w:t>
      </w:r>
    </w:p>
    <w:p>
      <w:pPr>
        <w:pStyle w:val="ListParagraph"/>
        <w:numPr>
          <w:ilvl w:val="0"/>
          <w:numId w:val="2"/>
        </w:numPr>
        <w:spacing w:after="80" w:line="276"/>
      </w:pPr>
      <w:r>
        <w:rPr>
          <w:rFonts w:ascii="Arial" w:cs="Arial" w:eastAsia="Arial" w:hAnsi="Arial"/>
          <w:color w:val="333333"/>
          <w:sz w:val="21"/>
          <w:szCs w:val="21"/>
        </w:rPr>
        <w:t xml:space="preserve">Enterprise screening integrations: World-Check, LexisNexis, and Dow Jones integrations would significantly expand the addressable market to larger institutions.</w:t>
      </w:r>
    </w:p>
    <w:p>
      <w:pPr>
        <w:pStyle w:val="ListParagraph"/>
        <w:numPr>
          <w:ilvl w:val="0"/>
          <w:numId w:val="2"/>
        </w:numPr>
        <w:spacing w:after="80" w:line="276"/>
      </w:pPr>
      <w:r>
        <w:rPr>
          <w:rFonts w:ascii="Arial" w:cs="Arial" w:eastAsia="Arial" w:hAnsi="Arial"/>
          <w:color w:val="333333"/>
          <w:sz w:val="21"/>
          <w:szCs w:val="21"/>
        </w:rPr>
        <w:t xml:space="preserve">Multi-jurisdiction expansion: supporting EU (AMLD6), UK (MLR 2017), and Singapore (MAS) regulatory frameworks multiplies the total addressable market.</w:t>
      </w:r>
    </w:p>
    <w:p>
      <w:pPr>
        <w:pStyle w:val="ListParagraph"/>
        <w:numPr>
          <w:ilvl w:val="0"/>
          <w:numId w:val="2"/>
        </w:numPr>
        <w:spacing w:after="80" w:line="276"/>
      </w:pPr>
      <w:r>
        <w:rPr>
          <w:rFonts w:ascii="Arial" w:cs="Arial" w:eastAsia="Arial" w:hAnsi="Arial"/>
          <w:color w:val="333333"/>
          <w:sz w:val="21"/>
          <w:szCs w:val="21"/>
        </w:rPr>
        <w:t xml:space="preserve">Automated test suite: comprehensive test coverage would increase acquirer confidence in code quality and reduce integration risk.</w:t>
      </w:r>
    </w:p>
    <w:p>
      <w:pPr>
        <w:pStyle w:val="ListParagraph"/>
        <w:numPr>
          <w:ilvl w:val="0"/>
          <w:numId w:val="2"/>
        </w:numPr>
        <w:spacing w:after="80" w:line="276"/>
      </w:pPr>
      <w:r>
        <w:rPr>
          <w:rFonts w:ascii="Arial" w:cs="Arial" w:eastAsia="Arial" w:hAnsi="Arial"/>
          <w:color w:val="333333"/>
          <w:sz w:val="21"/>
          <w:szCs w:val="21"/>
        </w:rPr>
        <w:t xml:space="preserve">Production performance data: demonstrating throughput, uptime, and AI accuracy metrics under real load provides evidence-based valuation support.</w:t>
      </w:r>
    </w:p>
    <w:p>
      <w:pPr>
        <w:pStyle w:val="ListParagraph"/>
        <w:numPr>
          <w:ilvl w:val="0"/>
          <w:numId w:val="2"/>
        </w:numPr>
        <w:spacing w:after="80" w:line="276"/>
      </w:pPr>
      <w:r>
        <w:rPr>
          <w:rFonts w:ascii="Arial" w:cs="Arial" w:eastAsia="Arial" w:hAnsi="Arial"/>
          <w:color w:val="333333"/>
          <w:sz w:val="21"/>
          <w:szCs w:val="21"/>
        </w:rPr>
        <w:t xml:space="preserve">Recurring revenue: converting pilot clients to annual monitoring subscriptions ($250–$3,500 per client per year) establishes a recurring revenue base.</w:t>
      </w:r>
    </w:p>
    <w:p>
      <w:pPr>
        <w:spacing w:after="400"/>
      </w:pPr>
    </w:p>
    <w:p>
      <w:pPr>
        <w:pBdr>
          <w:bottom w:val="single" w:color="2E75B6" w:sz="6" w:space="1"/>
        </w:pBdr>
        <w:spacing w:before="200" w:after="200"/>
      </w:pPr>
    </w:p>
    <w:p>
      <w:pPr>
        <w:spacing w:before="200"/>
        <w:jc w:val="center"/>
      </w:pPr>
      <w:r>
        <w:rPr>
          <w:rFonts w:ascii="Arial" w:cs="Arial" w:eastAsia="Arial" w:hAnsi="Arial"/>
          <w:i/>
          <w:iCs/>
          <w:color w:val="666666"/>
          <w:sz w:val="20"/>
          <w:szCs w:val="20"/>
        </w:rPr>
        <w:t xml:space="preserve">End of Document</w:t>
      </w:r>
    </w:p>
    <w:p>
      <w:pPr>
        <w:spacing w:after="100"/>
        <w:jc w:val="center"/>
      </w:pPr>
      <w:r>
        <w:rPr>
          <w:rFonts w:ascii="Arial" w:cs="Arial" w:eastAsia="Arial" w:hAnsi="Arial"/>
          <w:color w:val="666666"/>
          <w:sz w:val="18"/>
          <w:szCs w:val="18"/>
        </w:rPr>
        <w:t xml:space="preserve">ARIE Finance Ltd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6"/>
        <w:szCs w:val="16"/>
      </w:rPr>
      <w:t xml:space="preserve">Onboarda — Technical &amp; Product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2026-03-17T12:41:34.940Z</dcterms:created>
  <dcterms:modified xsi:type="dcterms:W3CDTF">2026-03-17T12:41:34.946Z</dcterms:modified>
</cp:coreProperties>
</file>

<file path=docProps/custom.xml><?xml version="1.0" encoding="utf-8"?>
<Properties xmlns="http://schemas.openxmlformats.org/officeDocument/2006/custom-properties" xmlns:vt="http://schemas.openxmlformats.org/officeDocument/2006/docPropsVTypes"/>
</file>