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line="276"/>
        <w:jc w:val="center"/>
      </w:pPr>
      <w:r>
        <w:rPr>
          <w:rFonts w:ascii="Arial" w:cs="Arial" w:eastAsia="Arial" w:hAnsi="Arial"/>
          <w:b/>
          <w:bCs/>
          <w:i w:val="false"/>
          <w:iCs w:val="false"/>
          <w:color w:val="B71C1C"/>
          <w:sz w:val="21"/>
          <w:szCs w:val="21"/>
        </w:rPr>
        <w:t xml:space="preserve">STRICTLY CONFIDENTIAL</w:t>
      </w:r>
    </w:p>
    <w:p>
      <w:pPr>
        <w:spacing w:after="600"/>
      </w:pPr>
    </w:p>
    <w:p>
      <w:pPr>
        <w:spacing w:after="100"/>
        <w:jc w:val="center"/>
      </w:pPr>
      <w:r>
        <w:rPr>
          <w:rFonts w:ascii="Arial" w:cs="Arial" w:eastAsia="Arial" w:hAnsi="Arial"/>
          <w:b/>
          <w:bCs/>
          <w:color w:val="1B3A5C"/>
          <w:sz w:val="60"/>
          <w:szCs w:val="60"/>
        </w:rPr>
        <w:t xml:space="preserve">ONBOARDA</w:t>
      </w:r>
    </w:p>
    <w:p>
      <w:pPr>
        <w:spacing w:after="60"/>
        <w:jc w:val="center"/>
      </w:pPr>
      <w:r>
        <w:rPr>
          <w:rFonts w:ascii="Arial" w:cs="Arial" w:eastAsia="Arial" w:hAnsi="Arial"/>
          <w:color w:val="2E75B6"/>
          <w:sz w:val="26"/>
          <w:szCs w:val="26"/>
        </w:rPr>
        <w:t xml:space="preserve">AI-Powered Compliance Onboarding Platform</w:t>
      </w:r>
    </w:p>
    <w:p>
      <w:pPr>
        <w:pBdr>
          <w:bottom w:val="single" w:color="2E75B6" w:sz="6" w:space="1"/>
        </w:pBdr>
        <w:spacing w:before="200" w:after="200"/>
      </w:pPr>
    </w:p>
    <w:p>
      <w:pPr>
        <w:spacing w:after="500"/>
        <w:jc w:val="center"/>
      </w:pPr>
      <w:r>
        <w:rPr>
          <w:rFonts w:ascii="Arial" w:cs="Arial" w:eastAsia="Arial" w:hAnsi="Arial"/>
          <w:b/>
          <w:bCs/>
          <w:color w:val="1B3A5C"/>
          <w:sz w:val="40"/>
          <w:szCs w:val="40"/>
        </w:rPr>
        <w:t xml:space="preserve">Valuation &amp; Investment Pack</w:t>
      </w:r>
    </w:p>
    <w:p>
      <w:pPr>
        <w:spacing w:after="300"/>
      </w:pPr>
    </w:p>
    <w:p>
      <w:pPr>
        <w:spacing w:after="160" w:line="276"/>
        <w:jc w:val="center"/>
      </w:pPr>
      <w:r>
        <w:rPr>
          <w:rFonts w:ascii="Arial" w:cs="Arial" w:eastAsia="Arial" w:hAnsi="Arial"/>
          <w:b w:val="false"/>
          <w:bCs w:val="false"/>
          <w:i w:val="false"/>
          <w:iCs w:val="false"/>
          <w:color w:val="555555"/>
          <w:sz w:val="21"/>
          <w:szCs w:val="21"/>
        </w:rPr>
        <w:t xml:space="preserve">Prepared for: Prospective Investors, Strategic Acquirers &amp; Due Diligence Teams</w:t>
      </w:r>
    </w:p>
    <w:p>
      <w:pPr>
        <w:spacing w:after="160" w:line="276"/>
        <w:jc w:val="center"/>
      </w:pPr>
      <w:r>
        <w:rPr>
          <w:rFonts w:ascii="Arial" w:cs="Arial" w:eastAsia="Arial" w:hAnsi="Arial"/>
          <w:b w:val="false"/>
          <w:bCs w:val="false"/>
          <w:i w:val="false"/>
          <w:iCs w:val="false"/>
          <w:color w:val="555555"/>
          <w:sz w:val="21"/>
          <w:szCs w:val="21"/>
        </w:rPr>
        <w:t xml:space="preserve">Classification: Strictly Confidential — Not for Distribution</w:t>
      </w:r>
    </w:p>
    <w:p>
      <w:pPr>
        <w:spacing w:after="160" w:line="276"/>
        <w:jc w:val="center"/>
      </w:pPr>
      <w:r>
        <w:rPr>
          <w:rFonts w:ascii="Arial" w:cs="Arial" w:eastAsia="Arial" w:hAnsi="Arial"/>
          <w:b w:val="false"/>
          <w:bCs w:val="false"/>
          <w:i w:val="false"/>
          <w:iCs w:val="false"/>
          <w:color w:val="555555"/>
          <w:sz w:val="21"/>
          <w:szCs w:val="21"/>
        </w:rPr>
        <w:t xml:space="preserve">Version 1.0  |  March 2026</w:t>
      </w:r>
    </w:p>
    <w:p>
      <w:pPr>
        <w:spacing w:after="160" w:line="276"/>
        <w:jc w:val="center"/>
      </w:pPr>
      <w:r>
        <w:rPr>
          <w:rFonts w:ascii="Arial" w:cs="Arial" w:eastAsia="Arial" w:hAnsi="Arial"/>
          <w:b w:val="false"/>
          <w:bCs w:val="false"/>
          <w:i w:val="false"/>
          <w:iCs w:val="false"/>
          <w:color w:val="555555"/>
          <w:sz w:val="21"/>
          <w:szCs w:val="21"/>
        </w:rPr>
        <w:t xml:space="preserve">ARIE Finance Ltd  |  Mauritius</w:t>
      </w:r>
    </w:p>
    <w:p>
      <w:pPr>
        <w:spacing w:after="800"/>
      </w:pPr>
    </w:p>
    <w:p>
      <w:pPr>
        <w:spacing w:after="60"/>
        <w:jc w:val="center"/>
      </w:pPr>
      <w:r>
        <w:rPr>
          <w:rFonts w:ascii="Arial" w:cs="Arial" w:eastAsia="Arial" w:hAnsi="Arial"/>
          <w:i/>
          <w:iCs/>
          <w:color w:val="555555"/>
          <w:sz w:val="18"/>
          <w:szCs w:val="18"/>
        </w:rPr>
        <w:t xml:space="preserve">Advisory Framework: Big 4 Strategy &amp; Valuation Methodology</w:t>
      </w:r>
    </w:p>
    <w:p>
      <w:pPr>
        <w:sectPr>
          <w:pgSz w:w="12240" w:h="15840" w:orient="portrait"/>
          <w:pgMar w:top="1440" w:right="1440" w:bottom="1440" w:left="1440" w:header="708" w:footer="708" w:gutter="0"/>
          <w:pgNumType/>
          <w:docGrid w:linePitch="360"/>
        </w:sectPr>
      </w:pPr>
    </w:p>
    <w:p>
      <w:pPr>
        <w:pStyle w:val="Heading1"/>
        <w:spacing w:before="400" w:after="22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600" w:after="100"/>
        <w:jc w:val="center"/>
      </w:pPr>
      <w:r>
        <w:rPr>
          <w:rFonts w:ascii="Arial" w:cs="Arial" w:eastAsia="Arial" w:hAnsi="Arial"/>
          <w:b/>
          <w:bCs/>
          <w:color w:val="2E75B6"/>
          <w:sz w:val="36"/>
          <w:szCs w:val="36"/>
        </w:rPr>
        <w:t xml:space="preserve">PART I</w:t>
      </w:r>
    </w:p>
    <w:p>
      <w:pPr>
        <w:spacing w:after="400"/>
        <w:jc w:val="center"/>
      </w:pPr>
      <w:r>
        <w:rPr>
          <w:rFonts w:ascii="Arial" w:cs="Arial" w:eastAsia="Arial" w:hAnsi="Arial"/>
          <w:color w:val="1B3A5C"/>
          <w:sz w:val="28"/>
          <w:szCs w:val="28"/>
        </w:rPr>
        <w:t xml:space="preserve">Commercial &amp; Strategic Assessment</w:t>
      </w:r>
    </w:p>
    <w:p>
      <w:pPr>
        <w:pBdr>
          <w:bottom w:val="single" w:color="2E75B6" w:sz="6" w:space="1"/>
        </w:pBdr>
        <w:spacing w:before="200" w:after="200"/>
      </w:pPr>
    </w:p>
    <w:p>
      <w:pPr>
        <w:pStyle w:val="Heading1"/>
        <w:spacing w:before="400" w:after="220"/>
      </w:pPr>
      <w:r>
        <w:rPr>
          <w:rFonts w:ascii="Arial" w:cs="Arial" w:eastAsia="Arial" w:hAnsi="Arial"/>
          <w:b/>
          <w:bCs/>
          <w:color w:val="1B3A5C"/>
          <w:sz w:val="32"/>
          <w:szCs w:val="32"/>
        </w:rPr>
        <w:t xml:space="preserve">1. Investment Highlights</w:t>
      </w:r>
    </w:p>
    <w:p>
      <w:pPr>
        <w:spacing w:after="160" w:line="276"/>
        <w:jc w:val="both"/>
      </w:pPr>
      <w:r>
        <w:rPr>
          <w:rFonts w:ascii="Arial" w:cs="Arial" w:eastAsia="Arial" w:hAnsi="Arial"/>
          <w:b w:val="false"/>
          <w:bCs w:val="false"/>
          <w:i w:val="false"/>
          <w:iCs w:val="false"/>
          <w:color w:val="222222"/>
          <w:sz w:val="21"/>
          <w:szCs w:val="21"/>
        </w:rPr>
        <w:t xml:space="preserve">Onboarda is an AI-powered compliance onboarding platform targeting a rapidly growing, regulation-driven market. The following highlights summarise the core investment thesis.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1.  FULL-LIFECYCLE AUTOMATION  —  Only platform covering application → screening → AI risk scoring → compliance memo → approval → monitoring → SAR filing in a single integrated workflow. Eliminates the 4–6 tool fragmentation typical of compliance teams.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2.  AI EXPLAINABILITY AS DEFENSIBILITY  —  Five specialised AI agents with Pydantic schema validation, confidence thresholds, and structured output decomposition. This is not a black-box score — it is regulator-auditable AI, a requirement that competitors have not yet solved.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3.  UNDERSERVED MARKET SEGMENT  —  PSPs, CSPs, and management companies are too regulated for basic KYC tools and too small for Fenergo. Onboarda occupies this white space with an accessible price point and rapid deployment model.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4.  PILOT-READY WITH SECURITY CERTIFICATION  —  12/12 Critical and High audit findings remediated. CONDITIONAL GO certification issued. Dual-environment deployment (live + demo) operational on Render.com. Ready for revenue-generating pilot.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5.  RECURRING REVENUE MODEL  —  Risk-tiered pricing with $500–$5,000 onboarding fees and $250–$3,500 annual monitoring subscriptions. Built-in upsell from one-time onboarding to ongoing compliance monitoring.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6.  REGULATORY TAILWIND  —  Global AML enforcement is intensifying (AMLD6, FATF mutual evaluations, increased penalties). Every enforcement action increases demand for defensible onboarding systems. The platform is positioned to capture compliance spend driven by regulatory pressure.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7.  LOW COST BASE, HIGH IP VALUE  —  24,341 lines of purpose-built compliance code with 5 AI agents, 66 automated checks, and a 5-dimension risk engine. Estimated rebuild cost exceeds $1.8M. Current operational cost base is minimal (single developer, cloud infrastructure).</w:t>
            </w:r>
          </w:p>
        </w:tc>
      </w:tr>
    </w:tbl>
    <w:p>
      <w:r>
        <w:br w:type="page"/>
      </w:r>
    </w:p>
    <w:p>
      <w:pPr>
        <w:pStyle w:val="Heading1"/>
        <w:spacing w:before="400" w:after="220"/>
      </w:pPr>
      <w:r>
        <w:rPr>
          <w:rFonts w:ascii="Arial" w:cs="Arial" w:eastAsia="Arial" w:hAnsi="Arial"/>
          <w:b/>
          <w:bCs/>
          <w:color w:val="1B3A5C"/>
          <w:sz w:val="32"/>
          <w:szCs w:val="32"/>
        </w:rPr>
        <w:t xml:space="preserve">2. Market Opportunity</w:t>
      </w:r>
    </w:p>
    <w:p>
      <w:pPr>
        <w:pStyle w:val="Heading2"/>
        <w:spacing w:before="300" w:after="180"/>
      </w:pPr>
      <w:r>
        <w:rPr>
          <w:rFonts w:ascii="Arial" w:cs="Arial" w:eastAsia="Arial" w:hAnsi="Arial"/>
          <w:b/>
          <w:bCs/>
          <w:color w:val="1B3A5C"/>
          <w:sz w:val="26"/>
          <w:szCs w:val="26"/>
        </w:rPr>
        <w:t xml:space="preserve">2.1 Total Addressable Market (TAM)</w:t>
      </w:r>
    </w:p>
    <w:p>
      <w:pPr>
        <w:spacing w:after="160" w:line="276"/>
        <w:jc w:val="both"/>
      </w:pPr>
      <w:r>
        <w:rPr>
          <w:rFonts w:ascii="Arial" w:cs="Arial" w:eastAsia="Arial" w:hAnsi="Arial"/>
          <w:b w:val="false"/>
          <w:bCs w:val="false"/>
          <w:i w:val="false"/>
          <w:iCs w:val="false"/>
          <w:color w:val="222222"/>
          <w:sz w:val="21"/>
          <w:szCs w:val="21"/>
        </w:rPr>
        <w:t xml:space="preserve">The global RegTech market was valued at approximately $12.8 billion in 2024 and is projected to reach $45–60 billion by 2030 (CAGR ~28%). Within this, compliance onboarding and KYC/AML automation represents an estimated $6–8 billion sub-segment. This includes identity verification, screening, risk assessment, case management, and ongoing monitoring — all of which Onboarda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Market Segment</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2024 Est.</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2030 Proj.</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CAGR</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Global RegTech</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$12.8B</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$45–60B</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~28%</w:t>
            </w:r>
          </w:p>
        </w:tc>
      </w:tr>
      <w:tr>
        <w:tc>
          <w:tcPr>
            <w:tcW w:type="dxa" w:w="3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KYC/AML Onboarding</w:t>
            </w:r>
          </w:p>
        </w:tc>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$6–8B</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$18–25B</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~22%</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Compliance Automation (PSPs/CSPs)</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$1.5–2B</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$5–7B</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~25%</w:t>
            </w:r>
          </w:p>
        </w:tc>
      </w:tr>
    </w:tbl>
    <w:p>
      <w:pPr>
        <w:spacing w:after="200"/>
      </w:pPr>
    </w:p>
    <w:p>
      <w:pPr>
        <w:spacing w:after="160" w:line="276"/>
        <w:jc w:val="both"/>
      </w:pPr>
      <w:r>
        <w:rPr>
          <w:rFonts w:ascii="Arial" w:cs="Arial" w:eastAsia="Arial" w:hAnsi="Arial"/>
          <w:b w:val="false"/>
          <w:bCs w:val="false"/>
          <w:i/>
          <w:iCs/>
          <w:color w:val="555555"/>
          <w:sz w:val="21"/>
          <w:szCs w:val="21"/>
        </w:rPr>
        <w:t xml:space="preserve">Source: industry estimates based on Juniper Research, Grand View Research, and MarketsandMarkets RegTech forecasts. Figures are approximate and reflect multiple overlapping analyst estimates.</w:t>
      </w:r>
    </w:p>
    <w:p>
      <w:pPr>
        <w:pStyle w:val="Heading2"/>
        <w:spacing w:before="300" w:after="180"/>
      </w:pPr>
      <w:r>
        <w:rPr>
          <w:rFonts w:ascii="Arial" w:cs="Arial" w:eastAsia="Arial" w:hAnsi="Arial"/>
          <w:b/>
          <w:bCs/>
          <w:color w:val="1B3A5C"/>
          <w:sz w:val="26"/>
          <w:szCs w:val="26"/>
        </w:rPr>
        <w:t xml:space="preserve">2.2 Serviceable Addressable Market (SAM)</w:t>
      </w:r>
    </w:p>
    <w:p>
      <w:pPr>
        <w:spacing w:after="160" w:line="276"/>
        <w:jc w:val="both"/>
      </w:pPr>
      <w:r>
        <w:rPr>
          <w:rFonts w:ascii="Arial" w:cs="Arial" w:eastAsia="Arial" w:hAnsi="Arial"/>
          <w:b w:val="false"/>
          <w:bCs w:val="false"/>
          <w:i w:val="false"/>
          <w:iCs w:val="false"/>
          <w:color w:val="222222"/>
          <w:sz w:val="21"/>
          <w:szCs w:val="21"/>
        </w:rPr>
        <w:t xml:space="preserve">Onboarda’s SAM is defined as the compliance onboarding spend by PSPs, CSPs, management companies, and mid-tier regulated financial institutions in markets where the platform can be deployed without significant regulatory customisation.</w:t>
      </w:r>
    </w:p>
    <w:p>
      <w:pPr>
        <w:pStyle w:val="ListParagraph"/>
        <w:numPr>
          <w:ilvl w:val="0"/>
          <w:numId w:val="2"/>
        </w:numPr>
        <w:spacing w:after="80" w:line="276"/>
      </w:pPr>
      <w:r>
        <w:rPr>
          <w:rFonts w:ascii="Arial" w:cs="Arial" w:eastAsia="Arial" w:hAnsi="Arial"/>
          <w:color w:val="222222"/>
          <w:sz w:val="21"/>
          <w:szCs w:val="21"/>
        </w:rPr>
        <w:t xml:space="preserve">Payment Service Providers: ~4,200 licensed PSPs globally (EMI/PI licenses in EU, FSC Mauritius, DFSA Dubai, MAS Singapore). Average annual compliance spend: $80K–$250K.</w:t>
      </w:r>
    </w:p>
    <w:p>
      <w:pPr>
        <w:pStyle w:val="ListParagraph"/>
        <w:numPr>
          <w:ilvl w:val="0"/>
          <w:numId w:val="2"/>
        </w:numPr>
        <w:spacing w:after="80" w:line="276"/>
      </w:pPr>
      <w:r>
        <w:rPr>
          <w:rFonts w:ascii="Arial" w:cs="Arial" w:eastAsia="Arial" w:hAnsi="Arial"/>
          <w:color w:val="222222"/>
          <w:sz w:val="21"/>
          <w:szCs w:val="21"/>
        </w:rPr>
        <w:t xml:space="preserve">Corporate Service Providers: ~2,800 licensed CSPs in key offshore/mid-shore jurisdictions (Mauritius, BVI, Cayman, Jersey, Singapore, Luxembourg, Dubai). Average compliance spend: $60K–$180K.</w:t>
      </w:r>
    </w:p>
    <w:p>
      <w:pPr>
        <w:pStyle w:val="ListParagraph"/>
        <w:numPr>
          <w:ilvl w:val="0"/>
          <w:numId w:val="2"/>
        </w:numPr>
        <w:spacing w:after="80" w:line="276"/>
      </w:pPr>
      <w:r>
        <w:rPr>
          <w:rFonts w:ascii="Arial" w:cs="Arial" w:eastAsia="Arial" w:hAnsi="Arial"/>
          <w:color w:val="222222"/>
          <w:sz w:val="21"/>
          <w:szCs w:val="21"/>
        </w:rPr>
        <w:t xml:space="preserve">Management Companies: ~1,500 licensed management companies in Mauritius, Luxembourg, Ireland, and Singapore.</w:t>
      </w:r>
    </w:p>
    <w:p>
      <w:pPr>
        <w:spacing w:after="160" w:line="276"/>
        <w:jc w:val="both"/>
      </w:pPr>
      <w:r>
        <w:rPr>
          <w:rFonts w:ascii="Arial" w:cs="Arial" w:eastAsia="Arial" w:hAnsi="Arial"/>
          <w:b w:val="false"/>
          <w:bCs w:val="false"/>
          <w:i w:val="false"/>
          <w:iCs w:val="false"/>
          <w:color w:val="222222"/>
          <w:sz w:val="21"/>
          <w:szCs w:val="21"/>
        </w:rPr>
        <w:t xml:space="preserve">Estimated SAM: $800M–$1.2B annually, representing the compliance onboarding software and services spend of ~8,500 target institutions.</w:t>
      </w:r>
    </w:p>
    <w:p>
      <w:pPr>
        <w:pStyle w:val="Heading2"/>
        <w:spacing w:before="300" w:after="180"/>
      </w:pPr>
      <w:r>
        <w:rPr>
          <w:rFonts w:ascii="Arial" w:cs="Arial" w:eastAsia="Arial" w:hAnsi="Arial"/>
          <w:b/>
          <w:bCs/>
          <w:color w:val="1B3A5C"/>
          <w:sz w:val="26"/>
          <w:szCs w:val="26"/>
        </w:rPr>
        <w:t xml:space="preserve">2.3 Serviceable Obtainable Market (SOM)</w:t>
      </w:r>
    </w:p>
    <w:p>
      <w:pPr>
        <w:spacing w:after="160" w:line="276"/>
        <w:jc w:val="both"/>
      </w:pPr>
      <w:r>
        <w:rPr>
          <w:rFonts w:ascii="Arial" w:cs="Arial" w:eastAsia="Arial" w:hAnsi="Arial"/>
          <w:b w:val="false"/>
          <w:bCs w:val="false"/>
          <w:i w:val="false"/>
          <w:iCs w:val="false"/>
          <w:color w:val="222222"/>
          <w:sz w:val="21"/>
          <w:szCs w:val="21"/>
        </w:rPr>
        <w:t xml:space="preserve">Near-term SOM focuses on Mauritius, Dubai (DIFC/ADGM), and East Africa — jurisdictions where ARIE Finance has established presence and regulatory familiarity.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 Institutions</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Penetration (Yr 1–3)</w:t>
            </w:r>
          </w:p>
        </w:tc>
        <w:tc>
          <w:tcPr>
            <w:tcW w:type="dxa" w:w="1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 SOM</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Mauritius (FSC-regulated)</w:t>
            </w:r>
          </w:p>
        </w:tc>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~120 PSPs, ~200 CSPs, ~150 MCs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5–15%</w:t>
            </w:r>
          </w:p>
        </w:tc>
        <w:tc>
          <w:tcPr>
            <w:tcW w:type="dxa" w:w="1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$1.5M–$4.5M</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Dubai (DIFC/ADGM)</w:t>
            </w:r>
          </w:p>
        </w:tc>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~300 regulated entities</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2–8%</w:t>
            </w:r>
          </w:p>
        </w:tc>
        <w:tc>
          <w:tcPr>
            <w:tcW w:type="dxa" w:w="19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$0.8M–$3.0M</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East Africa (Kenya, Tanzania)</w:t>
            </w:r>
          </w:p>
        </w:tc>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~150 licensed fintechs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2–5%</w:t>
            </w:r>
          </w:p>
        </w:tc>
        <w:tc>
          <w:tcPr>
            <w:tcW w:type="dxa" w:w="1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$0.3M–$0.9M</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Total SOM (Year 1–3)</w:t>
            </w:r>
          </w:p>
        </w:tc>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
            </w:r>
          </w:p>
        </w:tc>
        <w:tc>
          <w:tcPr>
            <w:tcW w:type="dxa" w:w="19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$2.6M–$8.4M</w:t>
            </w:r>
          </w:p>
        </w:tc>
      </w:tr>
    </w:tbl>
    <w:p>
      <w:r>
        <w:br w:type="page"/>
      </w:r>
    </w:p>
    <w:p>
      <w:pPr>
        <w:pStyle w:val="Heading1"/>
        <w:spacing w:before="400" w:after="220"/>
      </w:pPr>
      <w:r>
        <w:rPr>
          <w:rFonts w:ascii="Arial" w:cs="Arial" w:eastAsia="Arial" w:hAnsi="Arial"/>
          <w:b/>
          <w:bCs/>
          <w:color w:val="1B3A5C"/>
          <w:sz w:val="32"/>
          <w:szCs w:val="32"/>
        </w:rPr>
        <w:t xml:space="preserve">3. Business Model &amp; Revenue Potential</w:t>
      </w:r>
    </w:p>
    <w:p>
      <w:pPr>
        <w:pStyle w:val="Heading2"/>
        <w:spacing w:before="300" w:after="180"/>
      </w:pPr>
      <w:r>
        <w:rPr>
          <w:rFonts w:ascii="Arial" w:cs="Arial" w:eastAsia="Arial" w:hAnsi="Arial"/>
          <w:b/>
          <w:bCs/>
          <w:color w:val="1B3A5C"/>
          <w:sz w:val="26"/>
          <w:szCs w:val="26"/>
        </w:rPr>
        <w:t xml:space="preserve">3.1 Pricing Architecture</w:t>
      </w:r>
    </w:p>
    <w:p>
      <w:pPr>
        <w:spacing w:after="160" w:line="276"/>
        <w:jc w:val="both"/>
      </w:pPr>
      <w:r>
        <w:rPr>
          <w:rFonts w:ascii="Arial" w:cs="Arial" w:eastAsia="Arial" w:hAnsi="Arial"/>
          <w:b w:val="false"/>
          <w:bCs w:val="false"/>
          <w:i w:val="false"/>
          <w:iCs w:val="false"/>
          <w:color w:val="222222"/>
          <w:sz w:val="21"/>
          <w:szCs w:val="21"/>
        </w:rPr>
        <w:t xml:space="preserve">Revenue is generated through two streams: a one-time onboarding fee (charged per client application processed) and an annual recurring monitoring subscription. Both are tiered by the AI-computed risk level of the onboarded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 Tier</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Onboarding Fee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Annual Monitoring</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Blended ARPC</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LOW</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$250</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$750</w:t>
            </w:r>
          </w:p>
        </w:tc>
      </w:tr>
      <w:tr>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MEDIUM</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$1,500</w:t>
            </w:r>
          </w:p>
        </w:tc>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$750</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$2,250</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HIGH</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$3,500</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$2,000</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$5,500</w:t>
            </w:r>
          </w:p>
        </w:tc>
      </w:tr>
      <w:tr>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VERY HIGH</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$5,000</w:t>
            </w:r>
          </w:p>
        </w:tc>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$3,500</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$8,500</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Blended Average Revenue Per Client (ARPC): $2,800–$3,200 (based on estimated risk distribution of 40% Low, 35% Medium, 20% High, 5% Very High across a typical PSP/CSP client base).</w:t>
      </w:r>
    </w:p>
    <w:p>
      <w:pPr>
        <w:pStyle w:val="Heading2"/>
        <w:spacing w:before="300" w:after="180"/>
      </w:pPr>
      <w:r>
        <w:rPr>
          <w:rFonts w:ascii="Arial" w:cs="Arial" w:eastAsia="Arial" w:hAnsi="Arial"/>
          <w:b/>
          <w:bCs/>
          <w:color w:val="1B3A5C"/>
          <w:sz w:val="26"/>
          <w:szCs w:val="26"/>
        </w:rPr>
        <w:t xml:space="preserve">3.2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600"/>
        <w:gridCol w:w="1760"/>
      </w:tblGrid>
      <w:tr>
        <w:trPr>
          <w:tblHeader/>
        </w:trP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Clients (Yr 1)</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Onboarding</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Monitoring</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Year 1 Revenue</w:t>
            </w:r>
          </w:p>
        </w:tc>
        <w:tc>
          <w:tcPr>
            <w:tcW w:type="dxa" w:w="1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Year 2 Recurring</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Conservative</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$1,800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$900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$135K</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$45K + new</w:t>
            </w:r>
          </w:p>
        </w:tc>
      </w:tr>
      <w:tr>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Base Case</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150</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$1,800</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$900</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$405K</w:t>
            </w:r>
          </w:p>
        </w:tc>
        <w:tc>
          <w:tcPr>
            <w:tcW w:type="dxa" w:w="1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$135K + new</w:t>
            </w:r>
          </w:p>
        </w:tc>
      </w:tr>
      <w:tr>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Upside</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$2,000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$1,100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$1.55M</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$550K + new</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Year 2 recurring revenue assumes 100% retention of Year 1 clients on annual monitoring subscriptions, plus new client acquisitions. By Year 3, the base case projects $600K–$800K in recurring monitoring revenue alone, creating a predictable revenue base that significantly enhances valuation.</w:t>
      </w:r>
    </w:p>
    <w:p>
      <w:pPr>
        <w:spacing w:after="160" w:line="276"/>
        <w:jc w:val="both"/>
      </w:pPr>
      <w:r>
        <w:rPr>
          <w:rFonts w:ascii="Arial" w:cs="Arial" w:eastAsia="Arial" w:hAnsi="Arial"/>
          <w:b w:val="false"/>
          <w:bCs w:val="false"/>
          <w:i w:val="false"/>
          <w:iCs w:val="false"/>
          <w:color w:val="222222"/>
          <w:sz w:val="21"/>
          <w:szCs w:val="21"/>
        </w:rPr>
        <w:t xml:space="preserve">Assumptions: conservative scenario reflects pilot-phase acquisition in Mauritius only. Base case reflects expansion into Dubai. Upside assumes successful multi-jurisdiction deployment with channel partnerships.</w:t>
      </w:r>
    </w:p>
    <w:p>
      <w:pPr>
        <w:pStyle w:val="Heading2"/>
        <w:spacing w:before="300" w:after="180"/>
      </w:pPr>
      <w:r>
        <w:rPr>
          <w:rFonts w:ascii="Arial" w:cs="Arial" w:eastAsia="Arial" w:hAnsi="Arial"/>
          <w:b/>
          <w:bCs/>
          <w:color w:val="1B3A5C"/>
          <w:sz w:val="26"/>
          <w:szCs w:val="26"/>
        </w:rPr>
        <w:t xml:space="preserve">3.3 Revenue Composition (Base Case,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3160"/>
      </w:tblGrid>
      <w:tr>
        <w:trPr>
          <w:tblHeader/>
        </w:trP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Revenue Stream</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Nature</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New Client Onboarding Fees</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$360K</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40%</w:t>
            </w: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Transactional</w:t>
            </w:r>
          </w:p>
        </w:tc>
      </w:tr>
      <w:tr>
        <w:tc>
          <w:tcPr>
            <w:tcW w:type="dxa" w:w="3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Annual Monitoring Subscriptions</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$405K</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45%</w:t>
            </w:r>
          </w:p>
        </w:tc>
        <w:tc>
          <w:tcPr>
            <w:tcW w:type="dxa" w:w="3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Recurring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Platform Licensing / White-Label</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$135K</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w:t>
            </w: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Recurring</w:t>
            </w:r>
          </w:p>
        </w:tc>
      </w:tr>
      <w:tr>
        <w:tc>
          <w:tcPr>
            <w:tcW w:type="dxa" w:w="3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Total Projected Revenue (Year 3)</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$900K</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100%</w:t>
            </w:r>
          </w:p>
        </w:tc>
        <w:tc>
          <w:tcPr>
            <w:tcW w:type="dxa" w:w="3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60% Recurring</w:t>
            </w:r>
          </w:p>
        </w:tc>
      </w:tr>
    </w:tbl>
    <w:p>
      <w:r>
        <w:br w:type="page"/>
      </w:r>
    </w:p>
    <w:p>
      <w:pPr>
        <w:pStyle w:val="Heading1"/>
        <w:spacing w:before="400" w:after="220"/>
      </w:pPr>
      <w:r>
        <w:rPr>
          <w:rFonts w:ascii="Arial" w:cs="Arial" w:eastAsia="Arial" w:hAnsi="Arial"/>
          <w:b/>
          <w:bCs/>
          <w:color w:val="1B3A5C"/>
          <w:sz w:val="32"/>
          <w:szCs w:val="32"/>
        </w:rPr>
        <w:t xml:space="preserve">4. Unit Economics</w:t>
      </w:r>
    </w:p>
    <w:p>
      <w:pPr>
        <w:pStyle w:val="Heading2"/>
        <w:spacing w:before="300" w:after="180"/>
      </w:pPr>
      <w:r>
        <w:rPr>
          <w:rFonts w:ascii="Arial" w:cs="Arial" w:eastAsia="Arial" w:hAnsi="Arial"/>
          <w:b/>
          <w:bCs/>
          <w:color w:val="1B3A5C"/>
          <w:sz w:val="26"/>
          <w:szCs w:val="26"/>
        </w:rPr>
        <w:t xml:space="preserve">4.1 Cost per Client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Component</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 Client</w:t>
            </w:r>
          </w:p>
        </w:tc>
        <w:tc>
          <w:tcPr>
            <w:tcW w:type="dxa" w:w="4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AI API Cost (Claude)</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$1.50–$3.00</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 agents per application, Sonnet-tier pricing, ~15K tokens/agent</w:t>
            </w:r>
          </w:p>
        </w:tc>
      </w:tr>
      <w:tr>
        <w:tc>
          <w:tcPr>
            <w:tcW w:type="dxa" w:w="3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Screening APIs (Sumsub + OpenSanctions)</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$3.00–$5.00</w:t>
            </w:r>
          </w:p>
        </w:tc>
        <w:tc>
          <w:tcPr>
            <w:tcW w:type="dxa" w:w="4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AML check ($1.50) + sanctions ($1.00) + company lookup ($0.50–$2.00)</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Infrastructure (Render.com)</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$0.30–$0.50</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Pro-rata server cost at 150 clients/month on Starter plan</w:t>
            </w:r>
          </w:p>
        </w:tc>
      </w:tr>
      <w:tr>
        <w:tc>
          <w:tcPr>
            <w:tcW w:type="dxa" w:w="3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S3 Storage</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$0.05–$0.10</w:t>
            </w:r>
          </w:p>
        </w:tc>
        <w:tc>
          <w:tcPr>
            <w:tcW w:type="dxa" w:w="4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~5MB documents per client, S3 Standard pricing</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Total Variable Cost</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$5.00–$9.00</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Per onboarding event</w:t>
            </w:r>
          </w:p>
        </w:tc>
      </w:tr>
    </w:tbl>
    <w:p>
      <w:pPr>
        <w:spacing w:after="200"/>
      </w:pPr>
    </w:p>
    <w:p>
      <w:pPr>
        <w:pStyle w:val="Heading2"/>
        <w:spacing w:before="300" w:after="180"/>
      </w:pPr>
      <w:r>
        <w:rPr>
          <w:rFonts w:ascii="Arial" w:cs="Arial" w:eastAsia="Arial" w:hAnsi="Arial"/>
          <w:b/>
          <w:bCs/>
          <w:color w:val="1B3A5C"/>
          <w:sz w:val="26"/>
          <w:szCs w:val="26"/>
        </w:rPr>
        <w:t xml:space="preserve">4.2 Gross Margin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216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Low Tier ($500)</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Medium Tier ($1,500)</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High Tier ($3,500)</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Blended</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Revenue per Client</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$1,500</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$3,500</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$1,800</w:t>
            </w:r>
          </w:p>
        </w:tc>
      </w:tr>
      <w:tr>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Variable Cost</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$7</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$8</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$7.50</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Gross Profit</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$493</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$1,492</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$3,491</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$1,792</w:t>
            </w:r>
          </w:p>
        </w:tc>
      </w:tr>
      <w:tr>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Gross Margin</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98.6%</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99.5%</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99.7%</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99.6%</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The near-zero marginal cost of software delivery produces gross margins exceeding 99%. This is characteristic of AI-augmented SaaS platforms where the primary cost components (AI APIs, screening APIs) are consumption-based and measured in single-digit dollars per transaction against triple-to-quadruple-digit revenue per client.</w:t>
      </w:r>
    </w:p>
    <w:p>
      <w:pPr>
        <w:pStyle w:val="Heading2"/>
        <w:spacing w:before="300" w:after="180"/>
      </w:pPr>
      <w:r>
        <w:rPr>
          <w:rFonts w:ascii="Arial" w:cs="Arial" w:eastAsia="Arial" w:hAnsi="Arial"/>
          <w:b/>
          <w:bCs/>
          <w:color w:val="1B3A5C"/>
          <w:sz w:val="26"/>
          <w:szCs w:val="26"/>
        </w:rPr>
        <w:t xml:space="preserve">4.3 Scalability Economics</w:t>
      </w:r>
    </w:p>
    <w:p>
      <w:pPr>
        <w:spacing w:after="160" w:line="276"/>
        <w:jc w:val="both"/>
      </w:pPr>
      <w:r>
        <w:rPr>
          <w:rFonts w:ascii="Arial" w:cs="Arial" w:eastAsia="Arial" w:hAnsi="Arial"/>
          <w:b w:val="false"/>
          <w:bCs w:val="false"/>
          <w:i w:val="false"/>
          <w:iCs w:val="false"/>
          <w:color w:val="222222"/>
          <w:sz w:val="21"/>
          <w:szCs w:val="21"/>
        </w:rPr>
        <w:t xml:space="preserve">Fixed costs (infrastructure, maintenance) remain approximately constant up to ~500 clients/month on the current architecture. Beyond that, horizontal scaling (additional Render instances, Redis infrastructure) adds incremental cost of ~$200–$500/month. The cost structure is fundamentally non-linear: revenue grows linearly with clients, while costs grow sub-linearly.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Scale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Monthly Fixed Cost</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Monthly Revenue</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Operating Margin</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 clients/month</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$7,500</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93%</w:t>
            </w:r>
          </w:p>
        </w:tc>
      </w:tr>
      <w:tr>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150 clients/month</w:t>
            </w:r>
          </w:p>
        </w:tc>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$500</w:t>
            </w:r>
          </w:p>
        </w:tc>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$22,500</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98%</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500 clients/month</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$1,000</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$75,000</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99%</w:t>
            </w:r>
          </w:p>
        </w:tc>
      </w:tr>
    </w:tbl>
    <w:p>
      <w:r>
        <w:br w:type="page"/>
      </w:r>
    </w:p>
    <w:p>
      <w:pPr>
        <w:pStyle w:val="Heading1"/>
        <w:spacing w:before="400" w:after="220"/>
      </w:pPr>
      <w:r>
        <w:rPr>
          <w:rFonts w:ascii="Arial" w:cs="Arial" w:eastAsia="Arial" w:hAnsi="Arial"/>
          <w:b/>
          <w:bCs/>
          <w:color w:val="1B3A5C"/>
          <w:sz w:val="32"/>
          <w:szCs w:val="32"/>
        </w:rPr>
        <w:t xml:space="preserve">5. Strategic Positioning: Why Now</w:t>
      </w:r>
    </w:p>
    <w:p>
      <w:pPr>
        <w:pStyle w:val="Heading2"/>
        <w:spacing w:before="300" w:after="180"/>
      </w:pPr>
      <w:r>
        <w:rPr>
          <w:rFonts w:ascii="Arial" w:cs="Arial" w:eastAsia="Arial" w:hAnsi="Arial"/>
          <w:b/>
          <w:bCs/>
          <w:color w:val="1B3A5C"/>
          <w:sz w:val="26"/>
          <w:szCs w:val="26"/>
        </w:rPr>
        <w:t xml:space="preserve">5.1 Regulatory Pressure Is Intensifying</w:t>
      </w:r>
    </w:p>
    <w:p>
      <w:pPr>
        <w:pStyle w:val="ListParagraph"/>
        <w:numPr>
          <w:ilvl w:val="0"/>
          <w:numId w:val="2"/>
        </w:numPr>
        <w:spacing w:after="80" w:line="276"/>
      </w:pPr>
      <w:r>
        <w:rPr>
          <w:rFonts w:ascii="Arial" w:cs="Arial" w:eastAsia="Arial" w:hAnsi="Arial"/>
          <w:color w:val="222222"/>
          <w:sz w:val="21"/>
          <w:szCs w:val="21"/>
        </w:rPr>
        <w:t xml:space="preserve">AMLD6 (EU): expands criminal liability for AML failures to legal persons and senior management. Effective 2026–2027.</w:t>
      </w:r>
    </w:p>
    <w:p>
      <w:pPr>
        <w:pStyle w:val="ListParagraph"/>
        <w:numPr>
          <w:ilvl w:val="0"/>
          <w:numId w:val="2"/>
        </w:numPr>
        <w:spacing w:after="80" w:line="276"/>
      </w:pPr>
      <w:r>
        <w:rPr>
          <w:rFonts w:ascii="Arial" w:cs="Arial" w:eastAsia="Arial" w:hAnsi="Arial"/>
          <w:color w:val="222222"/>
          <w:sz w:val="21"/>
          <w:szCs w:val="21"/>
        </w:rPr>
        <w:t xml:space="preserve">FATF Mutual Evaluations: Mauritius was greylisted in 2020, removed in 2021. Ongoing evaluations drive compliance investment across MEA.</w:t>
      </w:r>
    </w:p>
    <w:p>
      <w:pPr>
        <w:pStyle w:val="ListParagraph"/>
        <w:numPr>
          <w:ilvl w:val="0"/>
          <w:numId w:val="2"/>
        </w:numPr>
        <w:spacing w:after="80" w:line="276"/>
      </w:pPr>
      <w:r>
        <w:rPr>
          <w:rFonts w:ascii="Arial" w:cs="Arial" w:eastAsia="Arial" w:hAnsi="Arial"/>
          <w:color w:val="222222"/>
          <w:sz w:val="21"/>
          <w:szCs w:val="21"/>
        </w:rPr>
        <w:t xml:space="preserve">Enforcement penalties: global AML fines exceeded $5B in 2023. Individual officer liability is increasing — compliance is no longer a cost centre, it is a risk management priority.</w:t>
      </w:r>
    </w:p>
    <w:p>
      <w:pPr>
        <w:pStyle w:val="ListParagraph"/>
        <w:numPr>
          <w:ilvl w:val="0"/>
          <w:numId w:val="2"/>
        </w:numPr>
        <w:spacing w:after="80" w:line="276"/>
      </w:pPr>
      <w:r>
        <w:rPr>
          <w:rFonts w:ascii="Arial" w:cs="Arial" w:eastAsia="Arial" w:hAnsi="Arial"/>
          <w:color w:val="222222"/>
          <w:sz w:val="21"/>
          <w:szCs w:val="21"/>
        </w:rPr>
        <w:t xml:space="preserve">Digital asset regulation: MICA (EU), VASP licensing (Mauritius, Dubai) creates entirely new categories of entities requiring onboarding.</w:t>
      </w:r>
    </w:p>
    <w:p>
      <w:pPr>
        <w:pStyle w:val="Heading2"/>
        <w:spacing w:before="300" w:after="180"/>
      </w:pPr>
      <w:r>
        <w:rPr>
          <w:rFonts w:ascii="Arial" w:cs="Arial" w:eastAsia="Arial" w:hAnsi="Arial"/>
          <w:b/>
          <w:bCs/>
          <w:color w:val="1B3A5C"/>
          <w:sz w:val="26"/>
          <w:szCs w:val="26"/>
        </w:rPr>
        <w:t xml:space="preserve">5.2 Current Onboarding Is Broken</w:t>
      </w:r>
    </w:p>
    <w:p>
      <w:pPr>
        <w:spacing w:after="160" w:line="276"/>
        <w:jc w:val="both"/>
      </w:pPr>
      <w:r>
        <w:rPr>
          <w:rFonts w:ascii="Arial" w:cs="Arial" w:eastAsia="Arial" w:hAnsi="Arial"/>
          <w:b w:val="false"/>
          <w:bCs w:val="false"/>
          <w:i w:val="false"/>
          <w:iCs w:val="false"/>
          <w:color w:val="222222"/>
          <w:sz w:val="21"/>
          <w:szCs w:val="21"/>
        </w:rPr>
        <w:t xml:space="preserve">Most regulated institutions still onboard clients using a patchwork of spreadsheets, email chains, PDF forms, and manual screening lookups. A typical PSP compliance team uses 4–6 disconnected tools (identity verification, sanctions screening, case management, document storage, email, spreadsheets) with no workflow automation and no audit trail linking screening results to approval decisions.</w:t>
      </w:r>
    </w:p>
    <w:p>
      <w:pPr>
        <w:spacing w:after="160" w:line="276"/>
        <w:jc w:val="both"/>
      </w:pPr>
      <w:r>
        <w:rPr>
          <w:rFonts w:ascii="Arial" w:cs="Arial" w:eastAsia="Arial" w:hAnsi="Arial"/>
          <w:b w:val="false"/>
          <w:bCs w:val="false"/>
          <w:i w:val="false"/>
          <w:iCs w:val="false"/>
          <w:color w:val="222222"/>
          <w:sz w:val="21"/>
          <w:szCs w:val="21"/>
        </w:rPr>
        <w:t xml:space="preserve">Average onboarding time: 2–4 weeks for standard risk, 4–8 weeks for high risk. Rejection rates of 15–25% are common, often due to incomplete documentation that could have been caught at submission.</w:t>
      </w:r>
    </w:p>
    <w:p>
      <w:pPr>
        <w:pStyle w:val="Heading2"/>
        <w:spacing w:before="300" w:after="180"/>
      </w:pPr>
      <w:r>
        <w:rPr>
          <w:rFonts w:ascii="Arial" w:cs="Arial" w:eastAsia="Arial" w:hAnsi="Arial"/>
          <w:b/>
          <w:bCs/>
          <w:color w:val="1B3A5C"/>
          <w:sz w:val="26"/>
          <w:szCs w:val="26"/>
        </w:rPr>
        <w:t xml:space="preserve">5.3 AI Regulation Favours Explainable Systems</w:t>
      </w:r>
    </w:p>
    <w:p>
      <w:pPr>
        <w:spacing w:after="160" w:line="276"/>
        <w:jc w:val="both"/>
      </w:pPr>
      <w:r>
        <w:rPr>
          <w:rFonts w:ascii="Arial" w:cs="Arial" w:eastAsia="Arial" w:hAnsi="Arial"/>
          <w:b w:val="false"/>
          <w:bCs w:val="false"/>
          <w:i w:val="false"/>
          <w:iCs w:val="false"/>
          <w:color w:val="222222"/>
          <w:sz w:val="21"/>
          <w:szCs w:val="21"/>
        </w:rPr>
        <w:t xml:space="preserve">The EU AI Act (effective 2025–2026) classifies AI systems used in credit scoring and financial access decisions as “high-risk,” requiring transparency, human oversight, and technical documentation. Onboarda’s architecture — with schema-validated outputs, confidence thresholds, mandatory human approval, and structured audit trails — is designed to meet these requirements. Competitors using opaque ML models face significant re-engineering costs to comply.</w:t>
      </w:r>
    </w:p>
    <w:p>
      <w:r>
        <w:br w:type="page"/>
      </w:r>
    </w:p>
    <w:p>
      <w:pPr>
        <w:pStyle w:val="Heading1"/>
        <w:spacing w:before="400" w:after="220"/>
      </w:pPr>
      <w:r>
        <w:rPr>
          <w:rFonts w:ascii="Arial" w:cs="Arial" w:eastAsia="Arial" w:hAnsi="Arial"/>
          <w:b/>
          <w:bCs/>
          <w:color w:val="1B3A5C"/>
          <w:sz w:val="32"/>
          <w:szCs w:val="32"/>
        </w:rPr>
        <w:t xml:space="preserve">6. Buyer Landscape</w:t>
      </w:r>
    </w:p>
    <w:p>
      <w:pPr>
        <w:spacing w:after="160" w:line="276"/>
        <w:jc w:val="both"/>
      </w:pPr>
      <w:r>
        <w:rPr>
          <w:rFonts w:ascii="Arial" w:cs="Arial" w:eastAsia="Arial" w:hAnsi="Arial"/>
          <w:b w:val="false"/>
          <w:bCs w:val="false"/>
          <w:i w:val="false"/>
          <w:iCs w:val="false"/>
          <w:color w:val="222222"/>
          <w:sz w:val="21"/>
          <w:szCs w:val="21"/>
        </w:rPr>
        <w:t xml:space="preserve">Onboarda is positioned as a strategic acquisition target for four categories of buyers, each with distinct motivations.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rPr>
          <w:tblHeader/>
        </w:trP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Buyer Category</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Strategic Rationale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Estimated Interest Level</w:t>
            </w:r>
          </w:p>
        </w:tc>
      </w:tr>
      <w:tr>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Mid-Size PSPs</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Praxis Tech, Nuvei, Checkout.com (regional), Network International</w:t>
            </w:r>
          </w:p>
        </w:tc>
        <w:tc>
          <w:tcPr>
            <w:tcW w:type="dxa" w:w="3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Replace fragmented internal compliance tooling with integrated platform. Reduce onboarding time from weeks to days. Defend against increasing regulatory scrutiny.</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High</w:t>
            </w:r>
          </w:p>
        </w:tc>
      </w:tr>
      <w:tr>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CSP Networks</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Trident Trust, Apex Group, Amicorp, IQ-EQ, Ocorian</w:t>
            </w:r>
          </w:p>
        </w:tc>
        <w:tc>
          <w:tcPr>
            <w:tcW w:type="dxa" w:w="35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Standardise onboarding across multi-jurisdiction operations. AI-powered UBO mapping directly addresses their core workflow. Compliance memo generation reduces senior officer time.</w:t>
            </w:r>
          </w:p>
        </w:tc>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High</w:t>
            </w:r>
          </w:p>
        </w:tc>
      </w:tr>
      <w:tr>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RegTech Firms</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ComplyAdvantage, Sumsub (upstream), Ondato, Fenergo (bolt-on)</w:t>
            </w:r>
          </w:p>
        </w:tc>
        <w:tc>
          <w:tcPr>
            <w:tcW w:type="dxa" w:w="3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Acquire full-lifecycle onboarding capability to complement existing screening or identity products. Onboarda fills the workflow and decision layer that screening-only tools lack.</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Medium–High</w:t>
            </w:r>
          </w:p>
        </w:tc>
      </w:tr>
      <w:tr>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Banks (Innovation / Digital)</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Bank of Mauritius licensees, MCB, SBM, AfrAsia, digital-first banks</w:t>
            </w:r>
          </w:p>
        </w:tc>
        <w:tc>
          <w:tcPr>
            <w:tcW w:type="dxa" w:w="35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Deploy as white-label onboarding infrastructure for merchant/corporate client onboarding. Reduces compliance headcount and standardises risk assessment.</w:t>
            </w:r>
          </w:p>
        </w:tc>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Medium</w:t>
            </w:r>
          </w:p>
        </w:tc>
      </w:tr>
    </w:tbl>
    <w:p>
      <w:pPr>
        <w:spacing w:after="200"/>
      </w:pPr>
    </w:p>
    <w:p>
      <w:pPr>
        <w:pStyle w:val="Heading2"/>
        <w:spacing w:before="300" w:after="180"/>
      </w:pPr>
      <w:r>
        <w:rPr>
          <w:rFonts w:ascii="Arial" w:cs="Arial" w:eastAsia="Arial" w:hAnsi="Arial"/>
          <w:b/>
          <w:bCs/>
          <w:color w:val="1B3A5C"/>
          <w:sz w:val="26"/>
          <w:szCs w:val="26"/>
        </w:rPr>
        <w:t xml:space="preserve">6.1 Acquisition Synergies</w:t>
      </w:r>
    </w:p>
    <w:p>
      <w:pPr>
        <w:pStyle w:val="ListParagraph"/>
        <w:numPr>
          <w:ilvl w:val="0"/>
          <w:numId w:val="2"/>
        </w:numPr>
        <w:spacing w:after="80" w:line="276"/>
      </w:pPr>
      <w:r>
        <w:rPr>
          <w:rFonts w:ascii="Arial" w:cs="Arial" w:eastAsia="Arial" w:hAnsi="Arial"/>
          <w:b/>
          <w:bCs/>
          <w:color w:val="222222"/>
          <w:sz w:val="21"/>
          <w:szCs w:val="21"/>
        </w:rPr>
        <w:t xml:space="preserve">For PSPs: </w:t>
      </w:r>
      <w:r>
        <w:rPr>
          <w:rFonts w:ascii="Arial" w:cs="Arial" w:eastAsia="Arial" w:hAnsi="Arial"/>
          <w:color w:val="222222"/>
          <w:sz w:val="21"/>
          <w:szCs w:val="21"/>
        </w:rPr>
        <w:t xml:space="preserve">Immediate compliance cost reduction. A mid-size PSP spending $300K–$500K annually on manual compliance operations could replace 2–3 FTEs with Onboarda, generating 12–18 month payback on a $2–$3M acquisition.</w:t>
      </w:r>
    </w:p>
    <w:p>
      <w:pPr>
        <w:pStyle w:val="ListParagraph"/>
        <w:numPr>
          <w:ilvl w:val="0"/>
          <w:numId w:val="2"/>
        </w:numPr>
        <w:spacing w:after="80" w:line="276"/>
      </w:pPr>
      <w:r>
        <w:rPr>
          <w:rFonts w:ascii="Arial" w:cs="Arial" w:eastAsia="Arial" w:hAnsi="Arial"/>
          <w:b/>
          <w:bCs/>
          <w:color w:val="222222"/>
          <w:sz w:val="21"/>
          <w:szCs w:val="21"/>
        </w:rPr>
        <w:t xml:space="preserve">For CSPs: </w:t>
      </w:r>
      <w:r>
        <w:rPr>
          <w:rFonts w:ascii="Arial" w:cs="Arial" w:eastAsia="Arial" w:hAnsi="Arial"/>
          <w:color w:val="222222"/>
          <w:sz w:val="21"/>
          <w:szCs w:val="21"/>
        </w:rPr>
        <w:t xml:space="preserve">Multi-jurisdiction scalability. CSPs expanding into new jurisdictions face $100K–$200K per jurisdiction in compliance setup costs. Onboarda’s configurable risk engine reduces this to configuration rather than development.</w:t>
      </w:r>
    </w:p>
    <w:p>
      <w:pPr>
        <w:pStyle w:val="ListParagraph"/>
        <w:numPr>
          <w:ilvl w:val="0"/>
          <w:numId w:val="2"/>
        </w:numPr>
        <w:spacing w:after="80" w:line="276"/>
      </w:pPr>
      <w:r>
        <w:rPr>
          <w:rFonts w:ascii="Arial" w:cs="Arial" w:eastAsia="Arial" w:hAnsi="Arial"/>
          <w:b/>
          <w:bCs/>
          <w:color w:val="222222"/>
          <w:sz w:val="21"/>
          <w:szCs w:val="21"/>
        </w:rPr>
        <w:t xml:space="preserve">For RegTech firms: </w:t>
      </w:r>
      <w:r>
        <w:rPr>
          <w:rFonts w:ascii="Arial" w:cs="Arial" w:eastAsia="Arial" w:hAnsi="Arial"/>
          <w:color w:val="222222"/>
          <w:sz w:val="21"/>
          <w:szCs w:val="21"/>
        </w:rPr>
        <w:t xml:space="preserve">Product completeness. Screening-only firms (ComplyAdvantage, Ondato) lack the workflow, decision, and memo generation layers. Acquiring Onboarda provides an end-to-end solution at a fraction of build cost.</w:t>
      </w:r>
    </w:p>
    <w:p>
      <w:r>
        <w:br w:type="page"/>
      </w:r>
    </w:p>
    <w:p>
      <w:pPr>
        <w:pStyle w:val="Heading1"/>
        <w:spacing w:before="400" w:after="220"/>
      </w:pPr>
      <w:r>
        <w:rPr>
          <w:rFonts w:ascii="Arial" w:cs="Arial" w:eastAsia="Arial" w:hAnsi="Arial"/>
          <w:b/>
          <w:bCs/>
          <w:color w:val="1B3A5C"/>
          <w:sz w:val="32"/>
          <w:szCs w:val="32"/>
        </w:rPr>
        <w:t xml:space="preserve">7. Competitive Advantage &amp; Defensibility</w:t>
      </w:r>
    </w:p>
    <w:p>
      <w:pPr>
        <w:pStyle w:val="Heading2"/>
        <w:spacing w:before="300" w:after="180"/>
      </w:pPr>
      <w:r>
        <w:rPr>
          <w:rFonts w:ascii="Arial" w:cs="Arial" w:eastAsia="Arial" w:hAnsi="Arial"/>
          <w:b/>
          <w:bCs/>
          <w:color w:val="1B3A5C"/>
          <w:sz w:val="26"/>
          <w:szCs w:val="26"/>
        </w:rPr>
        <w:t xml:space="preserve">7.1 Workflow Lock-In</w:t>
      </w:r>
    </w:p>
    <w:p>
      <w:pPr>
        <w:spacing w:after="160" w:line="276"/>
        <w:jc w:val="both"/>
      </w:pPr>
      <w:r>
        <w:rPr>
          <w:rFonts w:ascii="Arial" w:cs="Arial" w:eastAsia="Arial" w:hAnsi="Arial"/>
          <w:b w:val="false"/>
          <w:bCs w:val="false"/>
          <w:i w:val="false"/>
          <w:iCs w:val="false"/>
          <w:color w:val="222222"/>
          <w:sz w:val="21"/>
          <w:szCs w:val="21"/>
        </w:rPr>
        <w:t xml:space="preserve">Once an institution deploys Onboarda, its compliance workflow, risk model configuration, screening rules, audit trail, and case history are embedded in the platform. Migration requires rebuilding the entire compliance process, re-validating with regulators, and accepting a gap in audit continuity. This creates significant switching costs that increase with usage duration.</w:t>
      </w:r>
    </w:p>
    <w:p>
      <w:pPr>
        <w:pStyle w:val="Heading2"/>
        <w:spacing w:before="300" w:after="180"/>
      </w:pPr>
      <w:r>
        <w:rPr>
          <w:rFonts w:ascii="Arial" w:cs="Arial" w:eastAsia="Arial" w:hAnsi="Arial"/>
          <w:b/>
          <w:bCs/>
          <w:color w:val="1B3A5C"/>
          <w:sz w:val="26"/>
          <w:szCs w:val="26"/>
        </w:rPr>
        <w:t xml:space="preserve">7.2 AI + Audit Trail Moat</w:t>
      </w:r>
    </w:p>
    <w:p>
      <w:pPr>
        <w:spacing w:after="160" w:line="276"/>
        <w:jc w:val="both"/>
      </w:pPr>
      <w:r>
        <w:rPr>
          <w:rFonts w:ascii="Arial" w:cs="Arial" w:eastAsia="Arial" w:hAnsi="Arial"/>
          <w:b w:val="false"/>
          <w:bCs w:val="false"/>
          <w:i w:val="false"/>
          <w:iCs w:val="false"/>
          <w:color w:val="222222"/>
          <w:sz w:val="21"/>
          <w:szCs w:val="21"/>
        </w:rPr>
        <w:t xml:space="preserve">The combination of explainable AI (5 agents with structured validation) and an immutable audit trail creates a compound defensibility that is difficult to replicate. Competitors would need to build not just the AI layer, but the entire validation framework (Pydantic schemas, confidence thresholds, rejection handling) and the audit infrastructure that links AI outputs to human decisions. This represents 18–24 months of specialised development.</w:t>
      </w:r>
    </w:p>
    <w:p>
      <w:pPr>
        <w:pStyle w:val="Heading2"/>
        <w:spacing w:before="300" w:after="180"/>
      </w:pPr>
      <w:r>
        <w:rPr>
          <w:rFonts w:ascii="Arial" w:cs="Arial" w:eastAsia="Arial" w:hAnsi="Arial"/>
          <w:b/>
          <w:bCs/>
          <w:color w:val="1B3A5C"/>
          <w:sz w:val="26"/>
          <w:szCs w:val="26"/>
        </w:rPr>
        <w:t xml:space="preserve">7.3 Integration Advantage</w:t>
      </w:r>
    </w:p>
    <w:p>
      <w:pPr>
        <w:spacing w:after="160" w:line="276"/>
        <w:jc w:val="both"/>
      </w:pPr>
      <w:r>
        <w:rPr>
          <w:rFonts w:ascii="Arial" w:cs="Arial" w:eastAsia="Arial" w:hAnsi="Arial"/>
          <w:b w:val="false"/>
          <w:bCs w:val="false"/>
          <w:i w:val="false"/>
          <w:iCs w:val="false"/>
          <w:color w:val="222222"/>
          <w:sz w:val="21"/>
          <w:szCs w:val="21"/>
        </w:rPr>
        <w:t xml:space="preserve">Onboarda already integrates with the primary compliance data sources (Sumsub for KYC/AML, OpenSanctions for sanctions, OpenCorporates for registry data, Claude for AI). Adding enterprise sources (World-Check, LexisNexis) is an integration effort, not an architectural change. Competitors building from scratch must solve integration, workflow, and AI simultaneously.</w:t>
      </w:r>
    </w:p>
    <w:p>
      <w:pPr>
        <w:pStyle w:val="Heading2"/>
        <w:spacing w:before="300" w:after="180"/>
      </w:pPr>
      <w:r>
        <w:rPr>
          <w:rFonts w:ascii="Arial" w:cs="Arial" w:eastAsia="Arial" w:hAnsi="Arial"/>
          <w:b/>
          <w:bCs/>
          <w:color w:val="1B3A5C"/>
          <w:sz w:val="26"/>
          <w:szCs w:val="26"/>
        </w:rPr>
        <w:t xml:space="preserve">7.4 Speed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Onboarda</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Manual Process</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Basic KYC Tool</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Low-Risk Onboarding</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Same day (Fast Lane)</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2–4 weeks</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 weeks (ID only)</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High-Risk Onboarding</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2–5 days (with EDD)</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4–8 weeks</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Not supported</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Compliance Memo Generation</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&lt; 60 seconds (AI)</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2–4 hours (manual)</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Not available</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Screening Consolidation</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Automated (Agent 4)</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Manual review (1–2 hrs)</w:t>
            </w:r>
          </w:p>
        </w:tc>
        <w:tc>
          <w:tcPr>
            <w:tcW w:type="dxa" w:w="2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Raw hits only</w:t>
            </w:r>
          </w:p>
        </w:tc>
      </w:tr>
    </w:tbl>
    <w:p>
      <w:r>
        <w:br w:type="page"/>
      </w:r>
    </w:p>
    <w:p>
      <w:pPr>
        <w:pStyle w:val="Heading1"/>
        <w:spacing w:before="400" w:after="220"/>
      </w:pPr>
      <w:r>
        <w:rPr>
          <w:rFonts w:ascii="Arial" w:cs="Arial" w:eastAsia="Arial" w:hAnsi="Arial"/>
          <w:b/>
          <w:bCs/>
          <w:color w:val="1B3A5C"/>
          <w:sz w:val="32"/>
          <w:szCs w:val="32"/>
        </w:rPr>
        <w:t xml:space="preserve">8. Valuation Analysis</w:t>
      </w:r>
    </w:p>
    <w:p>
      <w:pPr>
        <w:pStyle w:val="Heading2"/>
        <w:spacing w:before="300" w:after="180"/>
      </w:pPr>
      <w:r>
        <w:rPr>
          <w:rFonts w:ascii="Arial" w:cs="Arial" w:eastAsia="Arial" w:hAnsi="Arial"/>
          <w:b/>
          <w:bCs/>
          <w:color w:val="1B3A5C"/>
          <w:sz w:val="26"/>
          <w:szCs w:val="26"/>
        </w:rPr>
        <w:t xml:space="preserve">8.1 Approach 1: Replacement Cost</w:t>
      </w:r>
    </w:p>
    <w:p>
      <w:pPr>
        <w:spacing w:after="160" w:line="276"/>
        <w:jc w:val="both"/>
      </w:pPr>
      <w:r>
        <w:rPr>
          <w:rFonts w:ascii="Arial" w:cs="Arial" w:eastAsia="Arial" w:hAnsi="Arial"/>
          <w:b w:val="false"/>
          <w:bCs w:val="false"/>
          <w:i w:val="false"/>
          <w:iCs w:val="false"/>
          <w:color w:val="222222"/>
          <w:sz w:val="21"/>
          <w:szCs w:val="21"/>
        </w:rPr>
        <w:t xml:space="preserve">This approach estimates the cost to rebuild Onboarda’s technology from scratch, including the embedded domain knowledge, security hardening, and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Estimate</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Backend API server (4,571 lines, 55+ endpoints)</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4–6 senior developer-months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$120K–$180K</w:t>
            </w:r>
          </w:p>
        </w:tc>
      </w:tr>
      <w:tr>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AI integration module (5 agents, validation, prompt defense)</w:t>
            </w:r>
          </w:p>
        </w:tc>
        <w:tc>
          <w:tcPr>
            <w:tcW w:type="dxa" w:w="2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3–4 specialist months</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$120K–$160K</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Client portal (7,794 lines, multi-step onboarding)</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3–4 frontend developer-months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$90K–$120K</w:t>
            </w:r>
          </w:p>
        </w:tc>
      </w:tr>
      <w:tr>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Backoffice (6,278 lines, case management, dashboards)</w:t>
            </w:r>
          </w:p>
        </w:tc>
        <w:tc>
          <w:tcPr>
            <w:tcW w:type="dxa" w:w="2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3–4 frontend developer-months</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$90K–$120K</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Security hardening (1,318 lines, PII encryption, gates)</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2–3 security engineer-months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$80K–$120K</w:t>
            </w:r>
          </w:p>
        </w:tc>
      </w:tr>
      <w:tr>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Database layer, S3, Sumsub, environment config</w:t>
            </w:r>
          </w:p>
        </w:tc>
        <w:tc>
          <w:tcPr>
            <w:tcW w:type="dxa" w:w="2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2–3 developer-months</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$60K–$90K</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Resilience framework, monitoring, deployment</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 DevOps 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$40K–$60K</w:t>
            </w:r>
          </w:p>
        </w:tc>
      </w:tr>
      <w:tr>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Testing, security audit, remediation</w:t>
            </w:r>
          </w:p>
        </w:tc>
        <w:tc>
          <w:tcPr>
            <w:tcW w:type="dxa" w:w="2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2–3 months</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$60K–$90K</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Product design, UX, compliance domain expertise</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3–6 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$90K–$180K</w:t>
            </w:r>
          </w:p>
        </w:tc>
      </w:tr>
      <w:tr>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Project management, coordination</w:t>
            </w:r>
          </w:p>
        </w:tc>
        <w:tc>
          <w:tcPr>
            <w:tcW w:type="dxa" w:w="2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6–12 months</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$80K–$120K</w:t>
            </w:r>
          </w:p>
        </w:tc>
      </w:tr>
      <w:tr>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TOTAL REPLACEMENT COST</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12–18 months</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$830K–$1.24M</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Replacement cost represents the floor valuation. It does not account for opportunity cost (12–18 months of lost market access), the risk of failed development, or the embedded compliance domain knowledge that took significant trial-and-error to encode.</w:t>
      </w:r>
    </w:p>
    <w:p>
      <w:pPr>
        <w:spacing w:after="160" w:line="276"/>
        <w:jc w:val="both"/>
      </w:pPr>
      <w:r>
        <w:rPr>
          <w:rFonts w:ascii="Arial" w:cs="Arial" w:eastAsia="Arial" w:hAnsi="Arial"/>
          <w:b/>
          <w:bCs/>
          <w:i w:val="false"/>
          <w:iCs w:val="false"/>
          <w:color w:val="222222"/>
          <w:sz w:val="21"/>
          <w:szCs w:val="21"/>
        </w:rPr>
        <w:t xml:space="preserve">Replacement Cost Valuation (with opportunity premium): </w:t>
      </w:r>
      <w:r>
        <w:rPr>
          <w:rFonts w:ascii="Arial" w:cs="Arial" w:eastAsia="Arial" w:hAnsi="Arial"/>
          <w:b/>
          <w:bCs/>
          <w:i w:val="false"/>
          <w:iCs w:val="false"/>
          <w:color w:val="1B7340"/>
          <w:sz w:val="21"/>
          <w:szCs w:val="21"/>
        </w:rPr>
        <w:t xml:space="preserve">$1.5M–$2.2M</w:t>
      </w:r>
    </w:p>
    <w:p>
      <w:pPr>
        <w:pStyle w:val="Heading2"/>
        <w:spacing w:before="300" w:after="180"/>
      </w:pPr>
      <w:r>
        <w:rPr>
          <w:rFonts w:ascii="Arial" w:cs="Arial" w:eastAsia="Arial" w:hAnsi="Arial"/>
          <w:b/>
          <w:bCs/>
          <w:color w:val="1B3A5C"/>
          <w:sz w:val="26"/>
          <w:szCs w:val="26"/>
        </w:rPr>
        <w:t xml:space="preserve">8.2 Approach 2: Comparable RegTech Valuations</w:t>
      </w:r>
    </w:p>
    <w:p>
      <w:pPr>
        <w:spacing w:after="160" w:line="276"/>
        <w:jc w:val="both"/>
      </w:pPr>
      <w:r>
        <w:rPr>
          <w:rFonts w:ascii="Arial" w:cs="Arial" w:eastAsia="Arial" w:hAnsi="Arial"/>
          <w:b w:val="false"/>
          <w:bCs w:val="false"/>
          <w:i w:val="false"/>
          <w:iCs w:val="false"/>
          <w:color w:val="222222"/>
          <w:sz w:val="21"/>
          <w:szCs w:val="21"/>
        </w:rPr>
        <w:t xml:space="preserve">Early-stage RegTech companies typically attract valuations of 8–15x revenue at seed/Series A, and 3–8x revenue at pre-revenue stage based on technology assets, market position, and team. Comparable transactions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800"/>
        <w:gridCol w:w="27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Valuation</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Revenue Multiple</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Ondato (2022)</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Series A</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$10.5M</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~12x ARR</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KYC/AML platform, Lithuania</w:t>
            </w:r>
          </w:p>
        </w:tc>
      </w:tr>
      <w:tr>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Flagright (2023)</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Seed</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$4.2M</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Pre-revenue</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AML compliance, AI-first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Salv (2022)</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Series A</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$8.3M</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~10x ARR</w:t>
            </w:r>
          </w:p>
        </w:tc>
        <w:tc>
          <w:tcPr>
            <w:tcW w:type="dxa" w:w="2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AML screening, Estonia</w:t>
            </w:r>
          </w:p>
        </w:tc>
      </w:tr>
      <w:tr>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Lucinity (2022)</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Series A</w:t>
            </w:r>
          </w:p>
        </w:tc>
        <w:tc>
          <w:tcPr>
            <w:tcW w:type="dxa" w:w="16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$17M</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~15x ARR</w:t>
            </w:r>
          </w:p>
        </w:tc>
        <w:tc>
          <w:tcPr>
            <w:tcW w:type="dxa" w:w="2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AI AML, Iceland</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Applying a conservative 5–8x multiple to Onboarda’s projected Year 1 base-case revenue ($405K) yields a valuation range of $2.0M–$3.2M. At the upside revenue scenario ($1.55M), the same multiples yield $7.75M–$12.4M.</w:t>
      </w:r>
    </w:p>
    <w:p>
      <w:pPr>
        <w:spacing w:after="160" w:line="276"/>
        <w:jc w:val="both"/>
      </w:pPr>
      <w:r>
        <w:rPr>
          <w:rFonts w:ascii="Arial" w:cs="Arial" w:eastAsia="Arial" w:hAnsi="Arial"/>
          <w:b/>
          <w:bCs/>
          <w:i w:val="false"/>
          <w:iCs w:val="false"/>
          <w:color w:val="222222"/>
          <w:sz w:val="21"/>
          <w:szCs w:val="21"/>
        </w:rPr>
        <w:t xml:space="preserve">Comparable Valuation (Base Case): </w:t>
      </w:r>
      <w:r>
        <w:rPr>
          <w:rFonts w:ascii="Arial" w:cs="Arial" w:eastAsia="Arial" w:hAnsi="Arial"/>
          <w:b/>
          <w:bCs/>
          <w:i w:val="false"/>
          <w:iCs w:val="false"/>
          <w:color w:val="1B7340"/>
          <w:sz w:val="21"/>
          <w:szCs w:val="21"/>
        </w:rPr>
        <w:t xml:space="preserve">$2.0M–$3.2M</w:t>
      </w:r>
    </w:p>
    <w:p>
      <w:pPr>
        <w:pStyle w:val="Heading2"/>
        <w:spacing w:before="300" w:after="180"/>
      </w:pPr>
      <w:r>
        <w:rPr>
          <w:rFonts w:ascii="Arial" w:cs="Arial" w:eastAsia="Arial" w:hAnsi="Arial"/>
          <w:b/>
          <w:bCs/>
          <w:color w:val="1B3A5C"/>
          <w:sz w:val="26"/>
          <w:szCs w:val="26"/>
        </w:rPr>
        <w:t xml:space="preserve">8.3 Approach 3: Strategic Value to Acquirer</w:t>
      </w:r>
    </w:p>
    <w:p>
      <w:pPr>
        <w:spacing w:after="160" w:line="276"/>
        <w:jc w:val="both"/>
      </w:pPr>
      <w:r>
        <w:rPr>
          <w:rFonts w:ascii="Arial" w:cs="Arial" w:eastAsia="Arial" w:hAnsi="Arial"/>
          <w:b w:val="false"/>
          <w:bCs w:val="false"/>
          <w:i w:val="false"/>
          <w:iCs w:val="false"/>
          <w:color w:val="222222"/>
          <w:sz w:val="21"/>
          <w:szCs w:val="21"/>
        </w:rPr>
        <w:t xml:space="preserve">For a strategic acquirer (PSP, CSP network, or RegTech firm), the platform’s value extends beyond standalone revenue:</w:t>
      </w:r>
    </w:p>
    <w:p>
      <w:pPr>
        <w:pStyle w:val="ListParagraph"/>
        <w:numPr>
          <w:ilvl w:val="0"/>
          <w:numId w:val="2"/>
        </w:numPr>
        <w:spacing w:after="80" w:line="276"/>
      </w:pPr>
      <w:r>
        <w:rPr>
          <w:rFonts w:ascii="Arial" w:cs="Arial" w:eastAsia="Arial" w:hAnsi="Arial"/>
          <w:b/>
          <w:bCs/>
          <w:color w:val="222222"/>
          <w:sz w:val="21"/>
          <w:szCs w:val="21"/>
        </w:rPr>
        <w:t xml:space="preserve">Compliance cost displacement: </w:t>
      </w:r>
      <w:r>
        <w:rPr>
          <w:rFonts w:ascii="Arial" w:cs="Arial" w:eastAsia="Arial" w:hAnsi="Arial"/>
          <w:color w:val="222222"/>
          <w:sz w:val="21"/>
          <w:szCs w:val="21"/>
        </w:rPr>
        <w:t xml:space="preserve">A mid-size PSP with 500+ merchant clients spends $400K–$800K annually on compliance operations (3–5 FTEs, screening tools, legal review). Onboarda can reduce this by 40–60%, generating $160K–$480K in annual savings. Over 5 years: $800K–$2.4M in cost avoidance.</w:t>
      </w:r>
    </w:p>
    <w:p>
      <w:pPr>
        <w:pStyle w:val="ListParagraph"/>
        <w:numPr>
          <w:ilvl w:val="0"/>
          <w:numId w:val="2"/>
        </w:numPr>
        <w:spacing w:after="80" w:line="276"/>
      </w:pPr>
      <w:r>
        <w:rPr>
          <w:rFonts w:ascii="Arial" w:cs="Arial" w:eastAsia="Arial" w:hAnsi="Arial"/>
          <w:b/>
          <w:bCs/>
          <w:color w:val="222222"/>
          <w:sz w:val="21"/>
          <w:szCs w:val="21"/>
        </w:rPr>
        <w:t xml:space="preserve">Revenue enablement: </w:t>
      </w:r>
      <w:r>
        <w:rPr>
          <w:rFonts w:ascii="Arial" w:cs="Arial" w:eastAsia="Arial" w:hAnsi="Arial"/>
          <w:color w:val="222222"/>
          <w:sz w:val="21"/>
          <w:szCs w:val="21"/>
        </w:rPr>
        <w:t xml:space="preserve">Faster onboarding (days vs weeks) increases client conversion rates by an estimated 15–25%, generating incremental revenue for PSPs processing $500M+ in annual volume.</w:t>
      </w:r>
    </w:p>
    <w:p>
      <w:pPr>
        <w:pStyle w:val="ListParagraph"/>
        <w:numPr>
          <w:ilvl w:val="0"/>
          <w:numId w:val="2"/>
        </w:numPr>
        <w:spacing w:after="80" w:line="276"/>
      </w:pPr>
      <w:r>
        <w:rPr>
          <w:rFonts w:ascii="Arial" w:cs="Arial" w:eastAsia="Arial" w:hAnsi="Arial"/>
          <w:b/>
          <w:bCs/>
          <w:color w:val="222222"/>
          <w:sz w:val="21"/>
          <w:szCs w:val="21"/>
        </w:rPr>
        <w:t xml:space="preserve">Regulatory risk reduction: </w:t>
      </w:r>
      <w:r>
        <w:rPr>
          <w:rFonts w:ascii="Arial" w:cs="Arial" w:eastAsia="Arial" w:hAnsi="Arial"/>
          <w:color w:val="222222"/>
          <w:sz w:val="21"/>
          <w:szCs w:val="21"/>
        </w:rPr>
        <w:t xml:space="preserve">A single AML enforcement action can cost $1–50M in fines plus reputational damage. Onboarda’s audit trail and compliance defensibility significantly reduce this exposure.</w:t>
      </w:r>
    </w:p>
    <w:p>
      <w:pPr>
        <w:spacing w:after="160" w:line="276"/>
        <w:jc w:val="both"/>
      </w:pPr>
      <w:r>
        <w:rPr>
          <w:rFonts w:ascii="Arial" w:cs="Arial" w:eastAsia="Arial" w:hAnsi="Arial"/>
          <w:b/>
          <w:bCs/>
          <w:i w:val="false"/>
          <w:iCs w:val="false"/>
          <w:color w:val="222222"/>
          <w:sz w:val="21"/>
          <w:szCs w:val="21"/>
        </w:rPr>
        <w:t xml:space="preserve">Strategic Value (to acquirer): </w:t>
      </w:r>
      <w:r>
        <w:rPr>
          <w:rFonts w:ascii="Arial" w:cs="Arial" w:eastAsia="Arial" w:hAnsi="Arial"/>
          <w:b/>
          <w:bCs/>
          <w:i w:val="false"/>
          <w:iCs w:val="false"/>
          <w:color w:val="1B7340"/>
          <w:sz w:val="21"/>
          <w:szCs w:val="21"/>
        </w:rPr>
        <w:t xml:space="preserve">$3.5M–$6.0M</w:t>
      </w:r>
    </w:p>
    <w:p>
      <w:r>
        <w:br w:type="page"/>
      </w:r>
    </w:p>
    <w:p>
      <w:pPr>
        <w:pStyle w:val="Heading1"/>
        <w:spacing w:before="400" w:after="220"/>
      </w:pPr>
      <w:r>
        <w:rPr>
          <w:rFonts w:ascii="Arial" w:cs="Arial" w:eastAsia="Arial" w:hAnsi="Arial"/>
          <w:b/>
          <w:bCs/>
          <w:color w:val="1B3A5C"/>
          <w:sz w:val="32"/>
          <w:szCs w:val="32"/>
        </w:rPr>
        <w:t xml:space="preserve">9. Valuation Range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Valuation Range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Basis</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Conditions</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Floor (Replacement Cost)</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$1.5M–$2.2M</w:t>
            </w: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Cost to rebuild + opportunity premium</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Pre-pilot, technology asset only</w:t>
            </w:r>
          </w:p>
        </w:tc>
      </w:tr>
      <w:tr>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Base Case (Post-Pilot)</w:t>
            </w:r>
          </w:p>
        </w:tc>
        <w:tc>
          <w:tcPr>
            <w:tcW w:type="dxa" w:w="2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$2.5M–$4.0M</w:t>
            </w:r>
          </w:p>
        </w:tc>
        <w:tc>
          <w:tcPr>
            <w:tcW w:type="dxa" w:w="31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Revenue multiple (5–8x) on pilot revenue + strategic premium</w:t>
            </w:r>
          </w:p>
        </w:tc>
        <w:tc>
          <w:tcPr>
            <w:tcW w:type="dxa" w:w="2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Successful pilot with 50–150 clients, validated unit economics</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Strategic Premium</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$4.0M–$7.0M</w:t>
            </w:r>
          </w:p>
        </w:tc>
        <w:tc>
          <w:tcPr>
            <w:tcW w:type="dxa" w:w="3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Strategic value to acquirer (cost savings + revenue enablement + risk reduction)</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Strategic buyer with established client base, integration synergies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RECOMMENDED VALUATION RANGE:  $2.5M – $5.0M  (base case with strategic premium potential to $7.0M)</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The recommended range reflects the platform’s current maturity (pilot-ready, security-certified), the strength of the technology asset (24K+ lines, 5 AI agents, full security remediation), and the near-term revenue potential in Mauritius and Dubai. The upper bound is achievable with a strategic acquirer who can deploy the platform across an existing client base.</w:t>
      </w:r>
    </w:p>
    <w:p>
      <w:r>
        <w:br w:type="page"/>
      </w:r>
    </w:p>
    <w:p>
      <w:pPr>
        <w:pStyle w:val="Heading1"/>
        <w:spacing w:before="400" w:after="220"/>
      </w:pPr>
      <w:r>
        <w:rPr>
          <w:rFonts w:ascii="Arial" w:cs="Arial" w:eastAsia="Arial" w:hAnsi="Arial"/>
          <w:b/>
          <w:bCs/>
          <w:color w:val="1B3A5C"/>
          <w:sz w:val="32"/>
          <w:szCs w:val="32"/>
        </w:rPr>
        <w:t xml:space="preserve">10. Value Acceleration Plan</w:t>
      </w:r>
    </w:p>
    <w:p>
      <w:pPr>
        <w:spacing w:after="160" w:line="276"/>
        <w:jc w:val="both"/>
      </w:pPr>
      <w:r>
        <w:rPr>
          <w:rFonts w:ascii="Arial" w:cs="Arial" w:eastAsia="Arial" w:hAnsi="Arial"/>
          <w:b w:val="false"/>
          <w:bCs w:val="false"/>
          <w:i w:val="false"/>
          <w:iCs w:val="false"/>
          <w:color w:val="222222"/>
          <w:sz w:val="21"/>
          <w:szCs w:val="21"/>
        </w:rPr>
        <w:t xml:space="preserve">The following actions are prioritised by their impact on valuation. Each represents a discrete value inflection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Valuation Impact</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Successful Pilot (10–50 live clients)</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Q2–Q3 2026</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+$0.5–$1.0M</w:t>
            </w:r>
          </w:p>
        </w:tc>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Validates product-market fit, generates reference clients and case studies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Enterprise Screening Integration (World-Check / LexisNexis)</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Q3 2026</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+$0.5–$1.0M</w:t>
            </w:r>
          </w:p>
        </w:tc>
        <w:tc>
          <w:tcPr>
            <w:tcW w:type="dxa" w:w="3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Opens enterprise market, removes key buyer objection</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Multi-Jurisdiction Expansion (EU / UK rules)</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Q3–Q4 2026</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+$0.5–$1.5M</w:t>
            </w:r>
          </w:p>
        </w:tc>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Multiplies TAM by 3–5x, enables cross-border sales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Recurring Revenue Base ($200K+ ARR)</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Q4 2026</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+$1.0–$2.0M</w:t>
            </w:r>
          </w:p>
        </w:tc>
        <w:tc>
          <w:tcPr>
            <w:tcW w:type="dxa" w:w="3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Shifts valuation to SaaS multiples (8–15x ARR)</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Channel Partnerships (2–3 CSP networks)</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Q3–Q4 2026</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+$0.3–$0.8M</w:t>
            </w:r>
          </w:p>
        </w:tc>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Provides distribution leverage and credibility</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SOC 2 Type II Certification</w:t>
            </w:r>
          </w:p>
        </w:tc>
        <w:tc>
          <w:tcPr>
            <w:tcW w:type="dxa" w:w="1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Q4 2026</w:t>
            </w:r>
          </w:p>
        </w:tc>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+$0.2–$0.5M</w:t>
            </w:r>
          </w:p>
        </w:tc>
        <w:tc>
          <w:tcPr>
            <w:tcW w:type="dxa" w:w="3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Removes enterprise procurement blocker</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Automated Test Suite (&gt;80% coverage)</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Q2 2026</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+$0.1–$0.3M</w:t>
            </w:r>
          </w:p>
        </w:tc>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Increases acquirer confidence in code quality</w:t>
            </w:r>
          </w:p>
        </w:tc>
      </w:tr>
    </w:tbl>
    <w:p>
      <w:pPr>
        <w:spacing w:after="200"/>
      </w:pPr>
    </w:p>
    <w:p>
      <w:pPr>
        <w:spacing w:after="160" w:line="276"/>
        <w:jc w:val="both"/>
      </w:pPr>
      <w:r>
        <w:rPr>
          <w:rFonts w:ascii="Arial" w:cs="Arial" w:eastAsia="Arial" w:hAnsi="Arial"/>
          <w:b w:val="false"/>
          <w:bCs w:val="false"/>
          <w:i w:val="false"/>
          <w:iCs w:val="false"/>
          <w:color w:val="222222"/>
          <w:sz w:val="21"/>
          <w:szCs w:val="21"/>
        </w:rPr>
        <w:t xml:space="preserve">Cumulative value acceleration potential: $3.1M–$7.1M above current baseline, achievable within 12 months.</w:t>
      </w:r>
    </w:p>
    <w:p>
      <w:r>
        <w:br w:type="page"/>
      </w:r>
    </w:p>
    <w:p>
      <w:pPr>
        <w:pStyle w:val="Heading1"/>
        <w:spacing w:before="400" w:after="220"/>
      </w:pPr>
      <w:r>
        <w:rPr>
          <w:rFonts w:ascii="Arial" w:cs="Arial" w:eastAsia="Arial" w:hAnsi="Arial"/>
          <w:b/>
          <w:bCs/>
          <w:color w:val="1B3A5C"/>
          <w:sz w:val="32"/>
          <w:szCs w:val="32"/>
        </w:rPr>
        <w:t xml:space="preserve">11. Key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560"/>
        <w:gridCol w:w="400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Investor Concern</w:t>
            </w:r>
          </w:p>
        </w:tc>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Single-Developer Dependency</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High</w:t>
            </w:r>
          </w:p>
        </w:tc>
        <w:tc>
          <w:tcPr>
            <w:tcW w:type="dxa" w:w="2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Bus factor of 1. Knowledge concentration risk.</w:t>
            </w:r>
          </w:p>
        </w:tc>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Codebase is well-structured (standard Python/JS), documented, and uses mainstream frameworks. Onboarding a second developer is estimated at 2–4 weeks. Post-acquisition, acquirer’s engineering team absorbs the codebase.</w:t>
            </w:r>
          </w:p>
        </w:tc>
      </w:tr>
      <w:tr>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No Production Track Record</w:t>
            </w:r>
          </w:p>
        </w:tc>
        <w:tc>
          <w:tcPr>
            <w:tcW w:type="dxa" w:w="1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Medium</w:t>
            </w:r>
          </w:p>
        </w:tc>
        <w:tc>
          <w:tcPr>
            <w:tcW w:type="dxa" w:w="25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Unproven at scale. No uptime or performance data.</w:t>
            </w:r>
          </w:p>
        </w:tc>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Controlled pilot deployment (Q2 2026) will generate production data. Architecture is intentionally simple (single-server) to minimise operational risk during validation.</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AI Provider Dependency (Anthropic)</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Medium</w:t>
            </w:r>
          </w:p>
        </w:tc>
        <w:tc>
          <w:tcPr>
            <w:tcW w:type="dxa" w:w="2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Single LLM vendor. Pricing and availability risk.</w:t>
            </w:r>
          </w:p>
        </w:tc>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Claude API is well-established and enterprise-grade. Architecture supports multi-model extension. Mock mode enables operation without API in demo/testing.</w:t>
            </w:r>
          </w:p>
        </w:tc>
      </w:tr>
      <w:tr>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Regulatory AI Scrutiny</w:t>
            </w:r>
          </w:p>
        </w:tc>
        <w:tc>
          <w:tcPr>
            <w:tcW w:type="dxa" w:w="1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Medium</w:t>
            </w:r>
          </w:p>
        </w:tc>
        <w:tc>
          <w:tcPr>
            <w:tcW w:type="dxa" w:w="25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Regulators may challenge AI use in compliance decisions.</w:t>
            </w:r>
          </w:p>
        </w:tc>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All AI outputs are advisory only. Human approval is mandatory. Explainability layer (structured outputs, confidence thresholds, audit trail) exceeds current regulatory expectations. EU AI Act alignment is a design principle, not a retrofit.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Limited Test Coverage</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Medium</w:t>
            </w:r>
          </w:p>
        </w:tc>
        <w:tc>
          <w:tcPr>
            <w:tcW w:type="dxa" w:w="2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Acquirer due diligence may flag insufficient automated testing.</w:t>
            </w:r>
          </w:p>
        </w:tc>
        <w:tc>
          <w:tcPr>
            <w:tcW w:type="dxa" w:w="4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Pytest framework is configured. Security audit has validated critical paths. Test suite expansion is a Q2 2026 priority and estimated at 2–4 weeks of effort.</w:t>
            </w:r>
          </w:p>
        </w:tc>
      </w:tr>
      <w:tr>
        <w:tc>
          <w:tcPr>
            <w:tcW w:type="dxa" w:w="1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Competitive Entry</w:t>
            </w:r>
          </w:p>
        </w:tc>
        <w:tc>
          <w:tcPr>
            <w:tcW w:type="dxa" w:w="1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Low–Medium</w:t>
            </w:r>
          </w:p>
        </w:tc>
        <w:tc>
          <w:tcPr>
            <w:tcW w:type="dxa" w:w="25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Larger players could build similar capabilities.</w:t>
            </w:r>
          </w:p>
        </w:tc>
        <w:tc>
          <w:tcPr>
            <w:tcW w:type="dxa" w:w="4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18–24 month rebuild time creates meaningful head start. Domain-specific compliance knowledge is difficult to replicate. First-mover advantage in PSP/CSP segment is significant.</w:t>
            </w:r>
          </w:p>
        </w:tc>
      </w:tr>
    </w:tbl>
    <w:p>
      <w:r>
        <w:br w:type="page"/>
      </w:r>
    </w:p>
    <w:p>
      <w:pPr>
        <w:spacing w:before="600" w:after="100"/>
        <w:jc w:val="center"/>
      </w:pPr>
      <w:r>
        <w:rPr>
          <w:rFonts w:ascii="Arial" w:cs="Arial" w:eastAsia="Arial" w:hAnsi="Arial"/>
          <w:b/>
          <w:bCs/>
          <w:color w:val="2E75B6"/>
          <w:sz w:val="36"/>
          <w:szCs w:val="36"/>
        </w:rPr>
        <w:t xml:space="preserve">PART II</w:t>
      </w:r>
    </w:p>
    <w:p>
      <w:pPr>
        <w:spacing w:after="400"/>
        <w:jc w:val="center"/>
      </w:pPr>
      <w:r>
        <w:rPr>
          <w:rFonts w:ascii="Arial" w:cs="Arial" w:eastAsia="Arial" w:hAnsi="Arial"/>
          <w:color w:val="1B3A5C"/>
          <w:sz w:val="28"/>
          <w:szCs w:val="28"/>
        </w:rPr>
        <w:t xml:space="preserve">Technical &amp; Product Reference</w:t>
      </w:r>
    </w:p>
    <w:p>
      <w:pPr>
        <w:pBdr>
          <w:bottom w:val="single" w:color="2E75B6" w:sz="6" w:space="1"/>
        </w:pBdr>
        <w:spacing w:before="200" w:after="200"/>
      </w:pPr>
    </w:p>
    <w:p>
      <w:pPr>
        <w:spacing w:after="160" w:line="276"/>
        <w:jc w:val="both"/>
      </w:pPr>
      <w:r>
        <w:rPr>
          <w:rFonts w:ascii="Arial" w:cs="Arial" w:eastAsia="Arial" w:hAnsi="Arial"/>
          <w:b w:val="false"/>
          <w:bCs w:val="false"/>
          <w:i w:val="false"/>
          <w:iCs w:val="false"/>
          <w:color w:val="222222"/>
          <w:sz w:val="21"/>
          <w:szCs w:val="21"/>
        </w:rPr>
        <w:t xml:space="preserve">The following sections are reproduced from the Technical &amp; Product Dossier (Version 1.0, March 2026) and provide detailed technical documentation supporting the commercial assessment in Part I. These sections have been validated through a comprehensive security audit and go-live certification process.</w:t>
      </w:r>
    </w:p>
    <w:p>
      <w:pPr>
        <w:spacing w:after="200"/>
      </w:pPr>
    </w:p>
    <w:p>
      <w:pPr>
        <w:pStyle w:val="Heading1"/>
        <w:spacing w:before="400" w:after="220"/>
      </w:pPr>
      <w:r>
        <w:rPr>
          <w:rFonts w:ascii="Arial" w:cs="Arial" w:eastAsia="Arial" w:hAnsi="Arial"/>
          <w:b/>
          <w:bCs/>
          <w:color w:val="1B3A5C"/>
          <w:sz w:val="32"/>
          <w:szCs w:val="32"/>
        </w:rPr>
        <w:t xml:space="preserve">12. System Overview</w:t>
      </w:r>
    </w:p>
    <w:p>
      <w:pPr>
        <w:pStyle w:val="Heading2"/>
        <w:spacing w:before="300" w:after="180"/>
      </w:pPr>
      <w:r>
        <w:rPr>
          <w:rFonts w:ascii="Arial" w:cs="Arial" w:eastAsia="Arial" w:hAnsi="Arial"/>
          <w:b/>
          <w:bCs/>
          <w:color w:val="1B3A5C"/>
          <w:sz w:val="26"/>
          <w:szCs w:val="26"/>
        </w:rPr>
        <w:t xml:space="preserve">12.1 Onboarding Lifecycle</w:t>
      </w:r>
    </w:p>
    <w:p>
      <w:pPr>
        <w:spacing w:after="160" w:line="276"/>
        <w:jc w:val="both"/>
      </w:pPr>
      <w:r>
        <w:rPr>
          <w:rFonts w:ascii="Arial" w:cs="Arial" w:eastAsia="Arial" w:hAnsi="Arial"/>
          <w:b w:val="false"/>
          <w:bCs w:val="false"/>
          <w:i w:val="false"/>
          <w:iCs w:val="false"/>
          <w:color w:val="222222"/>
          <w:sz w:val="21"/>
          <w:szCs w:val="21"/>
        </w:rPr>
        <w:t xml:space="preserve">The platform manages the complete client-to-approval journey through a state-machine-driven workflow with 13 distinct application states: draft, prescreening_submitted, pricing_review, pricing_accepted, kyc_documents, kyc_submitted, compliance_review, in_review, edd_required, approved, rejected, rmi_sent, and withdrawn. Each state transition is enforced server-side, preventing any out-of-sequence progression.</w:t>
      </w:r>
    </w:p>
    <w:p>
      <w:pPr>
        <w:pStyle w:val="Heading2"/>
        <w:spacing w:before="300" w:after="180"/>
      </w:pPr>
      <w:r>
        <w:rPr>
          <w:rFonts w:ascii="Arial" w:cs="Arial" w:eastAsia="Arial" w:hAnsi="Arial"/>
          <w:b/>
          <w:bCs/>
          <w:color w:val="1B3A5C"/>
          <w:sz w:val="26"/>
          <w:szCs w:val="26"/>
        </w:rPr>
        <w:t xml:space="preserve">12.2 Backoffice Workflow</w:t>
      </w:r>
    </w:p>
    <w:p>
      <w:pPr>
        <w:spacing w:after="160" w:line="276"/>
        <w:jc w:val="both"/>
      </w:pPr>
      <w:r>
        <w:rPr>
          <w:rFonts w:ascii="Arial" w:cs="Arial" w:eastAsia="Arial" w:hAnsi="Arial"/>
          <w:b w:val="false"/>
          <w:bCs w:val="false"/>
          <w:i w:val="false"/>
          <w:iCs w:val="false"/>
          <w:color w:val="222222"/>
          <w:sz w:val="21"/>
          <w:szCs w:val="21"/>
        </w:rPr>
        <w:t xml:space="preserve">The backoffice is a comprehensive case management interface for compliance officers, senior compliance officers (SCOs), and administrators. It provides a real-time dashboard with KPI metrics, a case queue with filtering by status, risk level, and assigned officer, and detailed case views showing all application data, screening results, AI agent outputs, document verification status, and audit trail.</w:t>
      </w:r>
    </w:p>
    <w:p>
      <w:pPr>
        <w:spacing w:after="160" w:line="276"/>
        <w:jc w:val="both"/>
      </w:pPr>
      <w:r>
        <w:rPr>
          <w:rFonts w:ascii="Arial" w:cs="Arial" w:eastAsia="Arial" w:hAnsi="Arial"/>
          <w:b w:val="false"/>
          <w:bCs w:val="false"/>
          <w:i w:val="false"/>
          <w:iCs w:val="false"/>
          <w:color w:val="222222"/>
          <w:sz w:val="21"/>
          <w:szCs w:val="21"/>
        </w:rPr>
        <w:t xml:space="preserve">The role hierarchy consists of four levels: Analyst (read-only review), Compliance Officer (can process cases and generate memos), Senior Compliance Officer (can approve/reject applications), and Admin (full system access including user management and risk model configuration). Each role has server-enforced permission boundaries.</w:t>
      </w:r>
    </w:p>
    <w:p>
      <w:pPr>
        <w:pStyle w:val="Heading2"/>
        <w:spacing w:before="300" w:after="180"/>
      </w:pPr>
      <w:r>
        <w:rPr>
          <w:rFonts w:ascii="Arial" w:cs="Arial" w:eastAsia="Arial" w:hAnsi="Arial"/>
          <w:b/>
          <w:bCs/>
          <w:color w:val="1B3A5C"/>
          <w:sz w:val="26"/>
          <w:szCs w:val="26"/>
        </w:rPr>
        <w:t xml:space="preserve">12.3 AI Decision Framework</w:t>
      </w:r>
    </w:p>
    <w:p>
      <w:pPr>
        <w:spacing w:after="160" w:line="276"/>
        <w:jc w:val="both"/>
      </w:pPr>
      <w:r>
        <w:rPr>
          <w:rFonts w:ascii="Arial" w:cs="Arial" w:eastAsia="Arial" w:hAnsi="Arial"/>
          <w:b w:val="false"/>
          <w:bCs w:val="false"/>
          <w:i w:val="false"/>
          <w:iCs w:val="false"/>
          <w:color w:val="222222"/>
          <w:sz w:val="21"/>
          <w:szCs w:val="21"/>
        </w:rPr>
        <w:t xml:space="preserve">AI agents serve an advisory role throughout the workflow. Every AI recommendation is presented to a human compliance officer alongside its confidence score, reasoning, and the underlying data. The system enforces a hard confidence threshold (default 0.70, configurable via environment variable). All AI outputs are validated against Pydantic schemas; outputs that fail validation are rejected entirely and routed to manual review.</w:t>
      </w:r>
    </w:p>
    <w:p>
      <w:r>
        <w:br w:type="page"/>
      </w:r>
    </w:p>
    <w:p>
      <w:pPr>
        <w:pStyle w:val="Heading1"/>
        <w:spacing w:before="400" w:after="220"/>
      </w:pPr>
      <w:r>
        <w:rPr>
          <w:rFonts w:ascii="Arial" w:cs="Arial" w:eastAsia="Arial" w:hAnsi="Arial"/>
          <w:b/>
          <w:bCs/>
          <w:color w:val="1B3A5C"/>
          <w:sz w:val="32"/>
          <w:szCs w:val="32"/>
        </w:rPr>
        <w:t xml:space="preserve">13. Core Technology</w:t>
      </w:r>
    </w:p>
    <w:p>
      <w:pPr>
        <w:pStyle w:val="Heading2"/>
        <w:spacing w:before="300" w:after="180"/>
      </w:pPr>
      <w:r>
        <w:rPr>
          <w:rFonts w:ascii="Arial" w:cs="Arial" w:eastAsia="Arial" w:hAnsi="Arial"/>
          <w:b/>
          <w:bCs/>
          <w:color w:val="1B3A5C"/>
          <w:sz w:val="26"/>
          <w:szCs w:val="26"/>
        </w:rPr>
        <w:t xml:space="preserve">13.1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Outputs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Agent 1: Identity &amp; Document Integrity</w:t>
            </w:r>
          </w:p>
        </w:tc>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66 automated checks: validity, expiry, name consistency, OCR cross-reference</w:t>
            </w:r>
          </w:p>
        </w:tc>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is_valid, confidence (0–1.0), checks array, issues list</w:t>
            </w:r>
          </w:p>
        </w:tc>
      </w:tr>
      <w:tr>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Agent 2: Corporate Structure &amp; UBO Mapping</w:t>
            </w:r>
          </w:p>
        </w:tc>
        <w:tc>
          <w:tcPr>
            <w:tcW w:type="dxa" w:w="3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Ownership chain analysis, nominee/trust detection, multi-layer entity mapping</w:t>
            </w:r>
          </w:p>
        </w:tc>
        <w:tc>
          <w:tcPr>
            <w:tcW w:type="dxa" w:w="3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complexity_level, ubos_identified, risk_indicators, nominee_structures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Agent 3: Business Plausibility</w:t>
            </w:r>
          </w:p>
        </w:tc>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Business model evaluation, sector alignment, transaction benchmarking</w:t>
            </w:r>
          </w:p>
        </w:tc>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plausibility_score (0–1.0), concerns, recommendation</w:t>
            </w:r>
          </w:p>
        </w:tc>
      </w:tr>
      <w:tr>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Agent 4: FinCrime Screening Interpretation</w:t>
            </w:r>
          </w:p>
        </w:tc>
        <w:tc>
          <w:tcPr>
            <w:tcW w:type="dxa" w:w="3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Hit consolidation, false positive reduction, severity ranking</w:t>
            </w:r>
          </w:p>
        </w:tc>
        <w:tc>
          <w:tcPr>
            <w:tcW w:type="dxa" w:w="37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total_hits, confirmed_matches, false_positives, recommendation</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Agent 5: Risk Scoring &amp; Compliance Memo</w:t>
            </w:r>
          </w:p>
        </w:tc>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5-dimension composite scoring, structured compliance memo generation</w:t>
            </w:r>
          </w:p>
        </w:tc>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overall_score (0–100), risk_level, memo_html, recommendation</w:t>
            </w:r>
          </w:p>
        </w:tc>
      </w:tr>
    </w:tbl>
    <w:p>
      <w:pPr>
        <w:spacing w:after="200"/>
      </w:pPr>
    </w:p>
    <w:p>
      <w:pPr>
        <w:pStyle w:val="Heading2"/>
        <w:spacing w:before="300" w:after="180"/>
      </w:pPr>
      <w:r>
        <w:rPr>
          <w:rFonts w:ascii="Arial" w:cs="Arial" w:eastAsia="Arial" w:hAnsi="Arial"/>
          <w:b/>
          <w:bCs/>
          <w:color w:val="1B3A5C"/>
          <w:sz w:val="26"/>
          <w:szCs w:val="26"/>
        </w:rPr>
        <w:t xml:space="preserve">13.2 Risk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Sub-Factors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D1: Customer/Entity Risk</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30%</w:t>
            </w:r>
          </w:p>
        </w:tc>
        <w:tc>
          <w:tcPr>
            <w:tcW w:type="dxa" w:w="5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Entity type, ownership structure, PEP status</w:t>
            </w:r>
          </w:p>
        </w:tc>
      </w:tr>
      <w:tr>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D2: Geographic Risk</w:t>
            </w:r>
          </w:p>
        </w:tc>
        <w:tc>
          <w:tcPr>
            <w:tcW w:type="dxa" w:w="1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25%</w:t>
            </w:r>
          </w:p>
        </w:tc>
        <w:tc>
          <w:tcPr>
            <w:tcW w:type="dxa" w:w="59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FATF grey/blacklists, secrecy jurisdictions, UBO nationalities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D3: Product/Service Risk</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20%</w:t>
            </w:r>
          </w:p>
        </w:tc>
        <w:tc>
          <w:tcPr>
            <w:tcW w:type="dxa" w:w="5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Cross-border activity, transaction volume</w:t>
            </w:r>
          </w:p>
        </w:tc>
      </w:tr>
      <w:tr>
        <w:tc>
          <w:tcPr>
            <w:tcW w:type="dxa" w:w="24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D4: Industry/Sector Risk</w:t>
            </w:r>
          </w:p>
        </w:tc>
        <w:tc>
          <w:tcPr>
            <w:tcW w:type="dxa" w:w="10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15%</w:t>
            </w:r>
          </w:p>
        </w:tc>
        <w:tc>
          <w:tcPr>
            <w:tcW w:type="dxa" w:w="59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4-tier sector classification (40+ sectors)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D5: Delivery Channel Risk</w:t>
            </w:r>
          </w:p>
        </w:tc>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10%</w:t>
            </w:r>
          </w:p>
        </w:tc>
        <w:tc>
          <w:tcPr>
            <w:tcW w:type="dxa" w:w="5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Introduction method, face-to-face status</w:t>
            </w:r>
          </w:p>
        </w:tc>
      </w:tr>
    </w:tbl>
    <w:p>
      <w:pPr>
        <w:pStyle w:val="Heading2"/>
        <w:spacing w:before="300" w:after="180"/>
      </w:pPr>
      <w:r>
        <w:rPr>
          <w:rFonts w:ascii="Arial" w:cs="Arial" w:eastAsia="Arial" w:hAnsi="Arial"/>
          <w:b/>
          <w:bCs/>
          <w:color w:val="1B3A5C"/>
          <w:sz w:val="26"/>
          <w:szCs w:val="26"/>
        </w:rPr>
        <w:t xml:space="preserve">13.3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Scale</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Backend</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Python 3 / Tornado 6.1+ / 55+ REST endpoints</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4,571 lines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Frontend (Portal)</w:t>
            </w:r>
          </w:p>
        </w:tc>
        <w:tc>
          <w:tcPr>
            <w:tcW w:type="dxa" w:w="4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Vanilla JS SPA, multi-step onboarding</w:t>
            </w:r>
          </w:p>
        </w:tc>
        <w:tc>
          <w:tcPr>
            <w:tcW w:type="dxa" w:w="2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7,794 lines</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Frontend (Backoffice)</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Vanilla JS SPA, case management</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6,278 lines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AI Layer</w:t>
            </w:r>
          </w:p>
        </w:tc>
        <w:tc>
          <w:tcPr>
            <w:tcW w:type="dxa" w:w="4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Anthropic Claude API, 5 agents, Pydantic validation</w:t>
            </w:r>
          </w:p>
        </w:tc>
        <w:tc>
          <w:tcPr>
            <w:tcW w:type="dxa" w:w="2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1,388 lines</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Security</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Custom hardening: PII encryption, CSRF, rate limiting, approval gates</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1,318 lines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Database</w:t>
            </w:r>
          </w:p>
        </w:tc>
        <w:tc>
          <w:tcPr>
            <w:tcW w:type="dxa" w:w="4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SQLite (dev) / PostgreSQL (prod), 16 tables, connection pooling</w:t>
            </w:r>
          </w:p>
        </w:tc>
        <w:tc>
          <w:tcPr>
            <w:tcW w:type="dxa" w:w="2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1,187 lines</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Integrations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Sumsub KYC, OpenSanctions, OpenCorporates, AWS S3, ipapi.co</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rFonts w:ascii="Arial" w:cs="Arial" w:eastAsia="Arial" w:hAnsi="Arial"/>
                <w:color w:val="222222"/>
                <w:sz w:val="20"/>
                <w:szCs w:val="20"/>
              </w:rPr>
              <w:t xml:space="preserve">1,461 lines</w:t>
            </w:r>
          </w:p>
        </w:tc>
      </w:tr>
      <w:tr>
        <w:tc>
          <w:tcPr>
            <w:tcW w:type="dxa" w:w="28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Total Codebase</w:t>
            </w:r>
          </w:p>
        </w:tc>
        <w:tc>
          <w:tcPr>
            <w:tcW w:type="dxa" w:w="420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
            </w:r>
          </w:p>
        </w:tc>
        <w:tc>
          <w:tcPr>
            <w:tcW w:type="dxa" w:w="2360"/>
            <w:tcBorders>
              <w:top w:val="single" w:color="BBBBBB" w:sz="1"/>
              <w:left w:val="single" w:color="BBBBBB" w:sz="1"/>
              <w:bottom w:val="single" w:color="BBBBBB" w:sz="1"/>
              <w:right w:val="single" w:color="BBBBBB" w:sz="1"/>
            </w:tcBorders>
            <w:shd w:fill="F5F8FC" w:val="clear"/>
            <w:tcMar>
              <w:top w:type="dxa" w:w="50"/>
              <w:left w:type="dxa" w:w="100"/>
              <w:bottom w:type="dxa" w:w="50"/>
              <w:right w:type="dxa" w:w="100"/>
            </w:tcMar>
          </w:tcPr>
          <w:p>
            <w:r>
              <w:rPr>
                <w:rFonts w:ascii="Arial" w:cs="Arial" w:eastAsia="Arial" w:hAnsi="Arial"/>
                <w:color w:val="222222"/>
                <w:sz w:val="20"/>
                <w:szCs w:val="20"/>
              </w:rPr>
              <w:t xml:space="preserve">24,341 lines</w:t>
            </w:r>
          </w:p>
        </w:tc>
      </w:tr>
    </w:tbl>
    <w:p>
      <w:r>
        <w:br w:type="page"/>
      </w:r>
    </w:p>
    <w:p>
      <w:pPr>
        <w:pStyle w:val="Heading1"/>
        <w:spacing w:before="400" w:after="220"/>
      </w:pPr>
      <w:r>
        <w:rPr>
          <w:rFonts w:ascii="Arial" w:cs="Arial" w:eastAsia="Arial" w:hAnsi="Arial"/>
          <w:b/>
          <w:bCs/>
          <w:color w:val="1B3A5C"/>
          <w:sz w:val="32"/>
          <w:szCs w:val="32"/>
        </w:rPr>
        <w:t xml:space="preserve">14. Security &amp; Compliance Architecture</w:t>
      </w:r>
    </w:p>
    <w:p>
      <w:pPr>
        <w:spacing w:after="160" w:line="276"/>
        <w:jc w:val="both"/>
      </w:pPr>
      <w:r>
        <w:rPr>
          <w:rFonts w:ascii="Arial" w:cs="Arial" w:eastAsia="Arial" w:hAnsi="Arial"/>
          <w:b w:val="false"/>
          <w:bCs w:val="false"/>
          <w:i w:val="false"/>
          <w:iCs w:val="false"/>
          <w:color w:val="222222"/>
          <w:sz w:val="21"/>
          <w:szCs w:val="21"/>
        </w:rPr>
        <w:t xml:space="preserve">The platform has undergone comprehensive security audit with 12 findings (7 Critical, 5 High), all remediated and re-validated. Key controls include:</w:t>
      </w:r>
    </w:p>
    <w:p>
      <w:pPr>
        <w:pStyle w:val="ListParagraph"/>
        <w:numPr>
          <w:ilvl w:val="0"/>
          <w:numId w:val="2"/>
        </w:numPr>
        <w:spacing w:after="80" w:line="276"/>
      </w:pPr>
      <w:r>
        <w:rPr>
          <w:rFonts w:ascii="Arial" w:cs="Arial" w:eastAsia="Arial" w:hAnsi="Arial"/>
          <w:b/>
          <w:bCs/>
          <w:color w:val="222222"/>
          <w:sz w:val="21"/>
          <w:szCs w:val="21"/>
        </w:rPr>
        <w:t xml:space="preserve">XSS Protection: </w:t>
      </w:r>
      <w:r>
        <w:rPr>
          <w:rFonts w:ascii="Arial" w:cs="Arial" w:eastAsia="Arial" w:hAnsi="Arial"/>
          <w:color w:val="222222"/>
          <w:sz w:val="21"/>
          <w:szCs w:val="21"/>
        </w:rPr>
        <w:t xml:space="preserve">172 escapeHtml() calls across both frontends. Centralised escape function.</w:t>
      </w:r>
    </w:p>
    <w:p>
      <w:pPr>
        <w:pStyle w:val="ListParagraph"/>
        <w:numPr>
          <w:ilvl w:val="0"/>
          <w:numId w:val="2"/>
        </w:numPr>
        <w:spacing w:after="80" w:line="276"/>
      </w:pPr>
      <w:r>
        <w:rPr>
          <w:rFonts w:ascii="Arial" w:cs="Arial" w:eastAsia="Arial" w:hAnsi="Arial"/>
          <w:b/>
          <w:bCs/>
          <w:color w:val="222222"/>
          <w:sz w:val="21"/>
          <w:szCs w:val="21"/>
        </w:rPr>
        <w:t xml:space="preserve">Authentication: </w:t>
      </w:r>
      <w:r>
        <w:rPr>
          <w:rFonts w:ascii="Arial" w:cs="Arial" w:eastAsia="Arial" w:hAnsi="Arial"/>
          <w:color w:val="222222"/>
          <w:sz w:val="21"/>
          <w:szCs w:val="21"/>
        </w:rPr>
        <w:t xml:space="preserve">JWT with HS256, 24-hour expiry, issuer verification, session binding (jti), token revocation list.</w:t>
      </w:r>
    </w:p>
    <w:p>
      <w:pPr>
        <w:pStyle w:val="ListParagraph"/>
        <w:numPr>
          <w:ilvl w:val="0"/>
          <w:numId w:val="2"/>
        </w:numPr>
        <w:spacing w:after="80" w:line="276"/>
      </w:pPr>
      <w:r>
        <w:rPr>
          <w:rFonts w:ascii="Arial" w:cs="Arial" w:eastAsia="Arial" w:hAnsi="Arial"/>
          <w:b/>
          <w:bCs/>
          <w:color w:val="222222"/>
          <w:sz w:val="21"/>
          <w:szCs w:val="21"/>
        </w:rPr>
        <w:t xml:space="preserve">CSRF: </w:t>
      </w:r>
      <w:r>
        <w:rPr>
          <w:rFonts w:ascii="Arial" w:cs="Arial" w:eastAsia="Arial" w:hAnsi="Arial"/>
          <w:color w:val="222222"/>
          <w:sz w:val="21"/>
          <w:szCs w:val="21"/>
        </w:rPr>
        <w:t xml:space="preserve">Double-submit cookie pattern with HMAC comparison.</w:t>
      </w:r>
    </w:p>
    <w:p>
      <w:pPr>
        <w:pStyle w:val="ListParagraph"/>
        <w:numPr>
          <w:ilvl w:val="0"/>
          <w:numId w:val="2"/>
        </w:numPr>
        <w:spacing w:after="80" w:line="276"/>
      </w:pPr>
      <w:r>
        <w:rPr>
          <w:rFonts w:ascii="Arial" w:cs="Arial" w:eastAsia="Arial" w:hAnsi="Arial"/>
          <w:b/>
          <w:bCs/>
          <w:color w:val="222222"/>
          <w:sz w:val="21"/>
          <w:szCs w:val="21"/>
        </w:rPr>
        <w:t xml:space="preserve">Terminal-State Idempotency: </w:t>
      </w:r>
      <w:r>
        <w:rPr>
          <w:rFonts w:ascii="Arial" w:cs="Arial" w:eastAsia="Arial" w:hAnsi="Arial"/>
          <w:color w:val="222222"/>
          <w:sz w:val="21"/>
          <w:szCs w:val="21"/>
        </w:rPr>
        <w:t xml:space="preserve">Applications in terminal states cannot be re-decided (409 Conflict).</w:t>
      </w:r>
    </w:p>
    <w:p>
      <w:pPr>
        <w:pStyle w:val="ListParagraph"/>
        <w:numPr>
          <w:ilvl w:val="0"/>
          <w:numId w:val="2"/>
        </w:numPr>
        <w:spacing w:after="80" w:line="276"/>
      </w:pPr>
      <w:r>
        <w:rPr>
          <w:rFonts w:ascii="Arial" w:cs="Arial" w:eastAsia="Arial" w:hAnsi="Arial"/>
          <w:b/>
          <w:bCs/>
          <w:color w:val="222222"/>
          <w:sz w:val="21"/>
          <w:szCs w:val="21"/>
        </w:rPr>
        <w:t xml:space="preserve">Screening Immutability: </w:t>
      </w:r>
      <w:r>
        <w:rPr>
          <w:rFonts w:ascii="Arial" w:cs="Arial" w:eastAsia="Arial" w:hAnsi="Arial"/>
          <w:color w:val="222222"/>
          <w:sz w:val="21"/>
          <w:szCs w:val="21"/>
        </w:rPr>
        <w:t xml:space="preserve">Post-submission screening data is immutable (403 Forbidden).</w:t>
      </w:r>
    </w:p>
    <w:p>
      <w:pPr>
        <w:pStyle w:val="ListParagraph"/>
        <w:numPr>
          <w:ilvl w:val="0"/>
          <w:numId w:val="2"/>
        </w:numPr>
        <w:spacing w:after="80" w:line="276"/>
      </w:pPr>
      <w:r>
        <w:rPr>
          <w:rFonts w:ascii="Arial" w:cs="Arial" w:eastAsia="Arial" w:hAnsi="Arial"/>
          <w:b/>
          <w:bCs/>
          <w:color w:val="222222"/>
          <w:sz w:val="21"/>
          <w:szCs w:val="21"/>
        </w:rPr>
        <w:t xml:space="preserve">Compliance Memo Enforcement: </w:t>
      </w:r>
      <w:r>
        <w:rPr>
          <w:rFonts w:ascii="Arial" w:cs="Arial" w:eastAsia="Arial" w:hAnsi="Arial"/>
          <w:color w:val="222222"/>
          <w:sz w:val="21"/>
          <w:szCs w:val="21"/>
        </w:rPr>
        <w:t xml:space="preserve">DB lookup confirms memo existence before approval is permitted.</w:t>
      </w:r>
    </w:p>
    <w:p>
      <w:pPr>
        <w:pStyle w:val="ListParagraph"/>
        <w:numPr>
          <w:ilvl w:val="0"/>
          <w:numId w:val="2"/>
        </w:numPr>
        <w:spacing w:after="80" w:line="276"/>
      </w:pPr>
      <w:r>
        <w:rPr>
          <w:rFonts w:ascii="Arial" w:cs="Arial" w:eastAsia="Arial" w:hAnsi="Arial"/>
          <w:b/>
          <w:bCs/>
          <w:color w:val="222222"/>
          <w:sz w:val="21"/>
          <w:szCs w:val="21"/>
        </w:rPr>
        <w:t xml:space="preserve">PII Encryption: </w:t>
      </w:r>
      <w:r>
        <w:rPr>
          <w:rFonts w:ascii="Arial" w:cs="Arial" w:eastAsia="Arial" w:hAnsi="Arial"/>
          <w:color w:val="222222"/>
          <w:sz w:val="21"/>
          <w:szCs w:val="21"/>
        </w:rPr>
        <w:t xml:space="preserve">Field-level Fernet encryption for passport numbers, nationalities, ID numbers.</w:t>
      </w:r>
    </w:p>
    <w:p>
      <w:pPr>
        <w:pStyle w:val="ListParagraph"/>
        <w:numPr>
          <w:ilvl w:val="0"/>
          <w:numId w:val="2"/>
        </w:numPr>
        <w:spacing w:after="80" w:line="276"/>
      </w:pPr>
      <w:r>
        <w:rPr>
          <w:rFonts w:ascii="Arial" w:cs="Arial" w:eastAsia="Arial" w:hAnsi="Arial"/>
          <w:b/>
          <w:bCs/>
          <w:color w:val="222222"/>
          <w:sz w:val="21"/>
          <w:szCs w:val="21"/>
        </w:rPr>
        <w:t xml:space="preserve">Rate Limiting: </w:t>
      </w:r>
      <w:r>
        <w:rPr>
          <w:rFonts w:ascii="Arial" w:cs="Arial" w:eastAsia="Arial" w:hAnsi="Arial"/>
          <w:color w:val="222222"/>
          <w:sz w:val="21"/>
          <w:szCs w:val="21"/>
        </w:rPr>
        <w:t xml:space="preserve">Per-IP + per-user sliding window (5–30 req/min by endpoint).</w:t>
      </w:r>
    </w:p>
    <w:p>
      <w:pPr>
        <w:pStyle w:val="ListParagraph"/>
        <w:numPr>
          <w:ilvl w:val="0"/>
          <w:numId w:val="2"/>
        </w:numPr>
        <w:spacing w:after="80" w:line="276"/>
      </w:pPr>
      <w:r>
        <w:rPr>
          <w:rFonts w:ascii="Arial" w:cs="Arial" w:eastAsia="Arial" w:hAnsi="Arial"/>
          <w:b/>
          <w:bCs/>
          <w:color w:val="222222"/>
          <w:sz w:val="21"/>
          <w:szCs w:val="21"/>
        </w:rPr>
        <w:t xml:space="preserve">Production Safety Guards: </w:t>
      </w:r>
      <w:r>
        <w:rPr>
          <w:rFonts w:ascii="Arial" w:cs="Arial" w:eastAsia="Arial" w:hAnsi="Arial"/>
          <w:color w:val="222222"/>
          <w:sz w:val="21"/>
          <w:szCs w:val="21"/>
        </w:rPr>
        <w:t xml:space="preserve">10 forbidden flags, 5 required variables, startup blocked if unsafe.</w:t>
      </w:r>
    </w:p>
    <w:p>
      <w:pPr>
        <w:pStyle w:val="ListParagraph"/>
        <w:numPr>
          <w:ilvl w:val="0"/>
          <w:numId w:val="2"/>
        </w:numPr>
        <w:spacing w:after="80" w:line="276"/>
      </w:pPr>
      <w:r>
        <w:rPr>
          <w:rFonts w:ascii="Arial" w:cs="Arial" w:eastAsia="Arial" w:hAnsi="Arial"/>
          <w:b/>
          <w:bCs/>
          <w:color w:val="222222"/>
          <w:sz w:val="21"/>
          <w:szCs w:val="21"/>
        </w:rPr>
        <w:t xml:space="preserve">Security Headers: </w:t>
      </w:r>
      <w:r>
        <w:rPr>
          <w:rFonts w:ascii="Arial" w:cs="Arial" w:eastAsia="Arial" w:hAnsi="Arial"/>
          <w:color w:val="222222"/>
          <w:sz w:val="21"/>
          <w:szCs w:val="21"/>
        </w:rPr>
        <w:t xml:space="preserve">HSTS, CSP, X-Frame-Options DENY, X-Content-Type-Options nosniff, Permissions-Policy.</w:t>
      </w:r>
    </w:p>
    <w:p>
      <w:r>
        <w:br w:type="page"/>
      </w:r>
    </w:p>
    <w:p>
      <w:pPr>
        <w:pStyle w:val="Heading1"/>
        <w:spacing w:before="400" w:after="220"/>
      </w:pPr>
      <w:r>
        <w:rPr>
          <w:rFonts w:ascii="Arial" w:cs="Arial" w:eastAsia="Arial" w:hAnsi="Arial"/>
          <w:b/>
          <w:bCs/>
          <w:color w:val="1B3A5C"/>
          <w:sz w:val="32"/>
          <w:szCs w:val="32"/>
        </w:rPr>
        <w:t xml:space="preserve">15. Final Investment Thesis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20"/>
              <w:left w:type="dxa" w:w="200"/>
              <w:bottom w:type="dxa" w:w="120"/>
              <w:right w:type="dxa" w:w="200"/>
            </w:tcMar>
          </w:tcPr>
          <w:p>
            <w:pPr>
              <w:spacing w:after="0"/>
            </w:pPr>
            <w:r>
              <w:rPr>
                <w:rFonts w:ascii="Arial" w:cs="Arial" w:eastAsia="Arial" w:hAnsi="Arial"/>
                <w:b/>
                <w:bCs/>
                <w:color w:val="1B3A5C"/>
                <w:sz w:val="21"/>
                <w:szCs w:val="21"/>
              </w:rPr>
              <w:t xml:space="preserve">Onboarda represents a rare opportunity to acquire a functionally complete, security-certified, AI-powered compliance platform targeting an underserved and rapidly growing market segment, at a pre-scale valuation.</w:t>
            </w:r>
          </w:p>
        </w:tc>
      </w:tr>
    </w:tbl>
    <w:p>
      <w:pPr>
        <w:spacing w:after="200"/>
      </w:pPr>
    </w:p>
    <w:p>
      <w:pPr>
        <w:pStyle w:val="Heading2"/>
        <w:spacing w:before="300" w:after="180"/>
      </w:pPr>
      <w:r>
        <w:rPr>
          <w:rFonts w:ascii="Arial" w:cs="Arial" w:eastAsia="Arial" w:hAnsi="Arial"/>
          <w:b/>
          <w:bCs/>
          <w:color w:val="1B3A5C"/>
          <w:sz w:val="26"/>
          <w:szCs w:val="26"/>
        </w:rPr>
        <w:t xml:space="preserve">The Case for Investment</w:t>
      </w:r>
    </w:p>
    <w:p>
      <w:pPr>
        <w:spacing w:after="100"/>
      </w:pPr>
    </w:p>
    <w:p>
      <w:pPr>
        <w:pStyle w:val="ListParagraph"/>
        <w:numPr>
          <w:ilvl w:val="0"/>
          <w:numId w:val="2"/>
        </w:numPr>
        <w:spacing w:after="80" w:line="276"/>
      </w:pPr>
      <w:r>
        <w:rPr>
          <w:rFonts w:ascii="Arial" w:cs="Arial" w:eastAsia="Arial" w:hAnsi="Arial"/>
          <w:b/>
          <w:bCs/>
          <w:color w:val="222222"/>
          <w:sz w:val="21"/>
          <w:szCs w:val="21"/>
        </w:rPr>
        <w:t xml:space="preserve">1. Proven Technology Asset: </w:t>
      </w:r>
      <w:r>
        <w:rPr>
          <w:rFonts w:ascii="Arial" w:cs="Arial" w:eastAsia="Arial" w:hAnsi="Arial"/>
          <w:color w:val="222222"/>
          <w:sz w:val="21"/>
          <w:szCs w:val="21"/>
        </w:rPr>
        <w:t xml:space="preserve">24,341 lines of production-quality code, 5 AI agents with structured validation, comprehensive security hardening, and dual-environment deployment. This is not a prototype — it is a pilot-ready platform that has passed independent security certification.</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2. Massive Market Tailwind: </w:t>
      </w:r>
      <w:r>
        <w:rPr>
          <w:rFonts w:ascii="Arial" w:cs="Arial" w:eastAsia="Arial" w:hAnsi="Arial"/>
          <w:color w:val="222222"/>
          <w:sz w:val="21"/>
          <w:szCs w:val="21"/>
        </w:rPr>
        <w:t xml:space="preserve">Global AML enforcement spend is growing at 25–28% CAGR. Every new regulation, every enforcement action, and every greylisting event drives compliance technology adoption. Onboarda is positioned on the right side of a secular regulatory trend.</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3. Defensible AI Architecture: </w:t>
      </w:r>
      <w:r>
        <w:rPr>
          <w:rFonts w:ascii="Arial" w:cs="Arial" w:eastAsia="Arial" w:hAnsi="Arial"/>
          <w:color w:val="222222"/>
          <w:sz w:val="21"/>
          <w:szCs w:val="21"/>
        </w:rPr>
        <w:t xml:space="preserve">The five-agent, schema-validated, explainable AI framework is 18–24 months ahead of any ground-up competitor. The EU AI Act will make explainability a legal requirement — Onboarda already meets this standard.</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4. Underserved Target Market: </w:t>
      </w:r>
      <w:r>
        <w:rPr>
          <w:rFonts w:ascii="Arial" w:cs="Arial" w:eastAsia="Arial" w:hAnsi="Arial"/>
          <w:color w:val="222222"/>
          <w:sz w:val="21"/>
          <w:szCs w:val="21"/>
        </w:rPr>
        <w:t xml:space="preserve">PSPs, CSPs, and management companies represent ~8,500 regulated institutions globally with $800M–$1.2B in annual compliance onboarding spend. No existing product adequately serves this segment with full-lifecycle automation.</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5. Capital-Efficient Model: </w:t>
      </w:r>
      <w:r>
        <w:rPr>
          <w:rFonts w:ascii="Arial" w:cs="Arial" w:eastAsia="Arial" w:hAnsi="Arial"/>
          <w:color w:val="222222"/>
          <w:sz w:val="21"/>
          <w:szCs w:val="21"/>
        </w:rPr>
        <w:t xml:space="preserve">99%+ gross margins, sub-$10 variable cost per client, and minimal fixed infrastructure. The business can reach profitability at approximately 20 clients per month.</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6. Clear Path to Recurring Revenue: </w:t>
      </w:r>
      <w:r>
        <w:rPr>
          <w:rFonts w:ascii="Arial" w:cs="Arial" w:eastAsia="Arial" w:hAnsi="Arial"/>
          <w:color w:val="222222"/>
          <w:sz w:val="21"/>
          <w:szCs w:val="21"/>
        </w:rPr>
        <w:t xml:space="preserve">Annual monitoring subscriptions ($250–$3,500 per client) create predictable revenue that compounds with each onboarded client. By Year 3, recurring revenue is projected to exceed 60% of total revenue.</w:t>
      </w:r>
    </w:p>
    <w:p>
      <w:pPr>
        <w:spacing w:after="40"/>
      </w:pPr>
    </w:p>
    <w:p>
      <w:pPr>
        <w:pStyle w:val="ListParagraph"/>
        <w:numPr>
          <w:ilvl w:val="0"/>
          <w:numId w:val="2"/>
        </w:numPr>
        <w:spacing w:after="80" w:line="276"/>
      </w:pPr>
      <w:r>
        <w:rPr>
          <w:rFonts w:ascii="Arial" w:cs="Arial" w:eastAsia="Arial" w:hAnsi="Arial"/>
          <w:b/>
          <w:bCs/>
          <w:color w:val="222222"/>
          <w:sz w:val="21"/>
          <w:szCs w:val="21"/>
        </w:rPr>
        <w:t xml:space="preserve">7. Multiple Exit Paths: </w:t>
      </w:r>
      <w:r>
        <w:rPr>
          <w:rFonts w:ascii="Arial" w:cs="Arial" w:eastAsia="Arial" w:hAnsi="Arial"/>
          <w:color w:val="222222"/>
          <w:sz w:val="21"/>
          <w:szCs w:val="21"/>
        </w:rPr>
        <w:t xml:space="preserve">Attractive acquisition target for mid-size PSPs, CSP networks, and RegTech consolidators. The platform’s white-label architecture and API-first design enable both standalone growth and strategic integration.</w:t>
      </w:r>
    </w:p>
    <w:p>
      <w:pPr>
        <w:spacing w:after="200"/>
      </w:pPr>
    </w:p>
    <w:p>
      <w:pPr>
        <w:pBdr>
          <w:bottom w:val="single" w:color="2E75B6" w:sz="6" w:space="1"/>
        </w:pBdr>
        <w:spacing w:before="200" w:after="200"/>
      </w:pPr>
    </w:p>
    <w:p>
      <w:pPr>
        <w:spacing w:after="100"/>
      </w:pPr>
    </w:p>
    <w:p>
      <w:pPr>
        <w:jc w:val="center"/>
      </w:pPr>
      <w:r>
        <w:rPr>
          <w:rFonts w:ascii="Arial" w:cs="Arial" w:eastAsia="Arial" w:hAnsi="Arial"/>
          <w:i/>
          <w:iCs/>
          <w:color w:val="555555"/>
          <w:sz w:val="20"/>
          <w:szCs w:val="20"/>
        </w:rPr>
        <w:t xml:space="preserve">End of Document</w:t>
      </w:r>
    </w:p>
    <w:p>
      <w:pPr>
        <w:spacing w:after="100"/>
        <w:jc w:val="center"/>
      </w:pPr>
      <w:r>
        <w:rPr>
          <w:rFonts w:ascii="Arial" w:cs="Arial" w:eastAsia="Arial" w:hAnsi="Arial"/>
          <w:color w:val="555555"/>
          <w:sz w:val="18"/>
          <w:szCs w:val="18"/>
        </w:rPr>
        <w:t xml:space="preserve">Onboarda  |  ARIE Finance Ltd  |  Strictly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CONFIDENTIAL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5"/>
        <w:szCs w:val="15"/>
      </w:rPr>
      <w:t xml:space="preserve">Onboarda — Valuation &amp; Investment Pack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1B3A5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2026-03-17T13:47:36.370Z</dcterms:created>
  <dcterms:modified xsi:type="dcterms:W3CDTF">2026-03-17T13:47:36.371Z</dcterms:modified>
</cp:coreProperties>
</file>

<file path=docProps/custom.xml><?xml version="1.0" encoding="utf-8"?>
<Properties xmlns="http://schemas.openxmlformats.org/officeDocument/2006/custom-properties" xmlns:vt="http://schemas.openxmlformats.org/officeDocument/2006/docPropsVTypes"/>
</file>