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ONBOARDA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ARIE Finance — RegTech Compliance Platform</w:t>
      </w:r>
    </w:p>
    <w:p>
      <w:pPr>
        <w:pBdr>
          <w:bottom w:val="single" w:color="1A3A5C" w:sz="8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Sprint 3 Exit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2C5F8A"/>
          <w:sz w:val="28"/>
          <w:szCs w:val="28"/>
        </w:rPr>
        <w:t xml:space="preserve">Harden for Production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22 March 2026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 Exit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Duration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15–21 (Sprint 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Aisha Sudally / AI Engineering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179/179 passing (24 new)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 — All objectives met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Sprint 3 Objectives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Sprint 3 focused on hardening the Onboarda platform for production readiness. The original specification called for implementing two production-grade upgrades: a Gold-Standard Compliance Memo Engine and a Compliance Memo Validation Engine. With the core memo generation (memo_handler.py), validation engine (validation_engine.py), and supervisor engine (supervisor_engine.py) already complete from Sprints 1–2.5, Sprint 3 addressed the remaining production gaps: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Server-side PDF generation — regulator-grade downloadable compliance memo PDFs via WeasyPrint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GDPR data retention tables and purge logic — Mauritius DPA 2017 + GDPR Article 5(1)(e) compliance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Docker containerization — Dockerfile + docker-compose.yml for production deployment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three objectives were completed with 24 new tests, bringing the total test count from 155 to 179 with zero regressions.</w:t>
      </w:r>
    </w:p>
    <w:p>
      <w:pPr>
        <w:pStyle w:val="Heading1"/>
      </w:pPr>
      <w:r>
        <w:t xml:space="preserve">2. Deliverables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160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pdf_generator.py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Server-side PDF engine (WeasyPrint)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gdpr.py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GDPR retention, purge, DSAR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Dockerfile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Production container with WeasyPrint deps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 + PostgreSQL stack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.dockerignore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context exclusions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server.py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+MemoPDFDownloadHandler, route, import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4,215 (+106)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ENHANCED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db.py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+3 GDPR tables (PG + SQLite) + seed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1,420 (+124)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ENHANCED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+weasyprint&gt;=60.0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42 (+2)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ENHANCED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test_pdf_generator.py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 tests: valid PDF, sizing, XSS, edge cases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test_gdpr.py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 tests: policies, purge, DSAR lifecycle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test_api.py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+2 PDF endpoint tests (auth, 404)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172 (+12)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ENHANCED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Server-Side PDF Generation</w:t>
      </w:r>
    </w:p>
    <w:p>
      <w:pPr>
        <w:pStyle w:val="Heading2"/>
      </w:pPr>
      <w:r>
        <w:t xml:space="preserve">3.1 Architecture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pdf_generator.py module implements a complete server-side PDF rendering pipeline using WeasyPrint. The system converts memo data into styled HTML with a professional CSS stylesheet, then renders to PDF with proper A4 formatting, page numbers, branded headers, and security features.</w:t>
      </w:r>
    </w:p>
    <w:p>
      <w:pPr>
        <w:pStyle w:val="Heading2"/>
      </w:pPr>
      <w:r>
        <w:t xml:space="preserve">3.2 Key Features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11 memo sections rendered with coloured risk badges (LOW/MEDIUM/HIGH/VERY_HIGH) and decision badges (APPROVE/REJECT/EDD/REVIEW)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Risk assessment table with per-dimension ratings (Jurisdiction, Business, Transaction, Ownership, Financial Crime)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Quality Assurance Summary box showing Validation Engine, Supervisor Engine, and Rule Engine verdicts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Immutable content hash (SHA-256 prefix) in footer for audit verification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HTML injection protection — all content escaped via html.escape() before rendering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Lazy-loaded WeasyPrint to avoid import cost on non-PDF requests</w:t>
      </w:r>
    </w:p>
    <w:p>
      <w:pPr>
        <w:pStyle w:val="Heading2"/>
      </w:pPr>
      <w:r>
        <w:t xml:space="preserve">3.3 API Endpoint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GET /api/applications/:id/memo/pdf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Authentication required (admin, sco, co, analyst roles)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Returns application/pdf binary with Content-Disposition attachment header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Updates pdf_generated_at timestamp and creates audit log entry on each download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Returns 404 if no memo exists, 503 if WeasyPrint is not installed</w:t>
      </w:r>
    </w:p>
    <w:p>
      <w:r>
        <w:br w:type="page"/>
      </w:r>
    </w:p>
    <w:p>
      <w:pPr>
        <w:pStyle w:val="Heading1"/>
      </w:pPr>
      <w:r>
        <w:t xml:space="preserve">4. GDPR Data Retention &amp; Compliance</w:t>
      </w:r>
    </w:p>
    <w:p>
      <w:pPr>
        <w:pStyle w:val="Heading2"/>
      </w:pPr>
      <w:r>
        <w:t xml:space="preserve">4.1 Database Tables Added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Three new tables were added to both PostgreSQL and SQLite schemas: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data_retention_policies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Defines retention periods, legal basis, auto-purge flags per data category. 9 default policies seeded.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data_subject_requests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DSAR lifecycle: access, rectification, erasure, portability, restriction, objection. 30-day SLA tracking.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data_purge_log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Immutable audit trail of all data deletions. Records count, date range, policy reference, purger identity.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Default Retention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5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Legal Basis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Auto-Purge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client_pii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years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AML/CFT Act 2020 s.17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(review)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kyc_documents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years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AML/CFT Act 2020 s.17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(review)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screening_results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years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AML/CFT Act 2020 s.17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(review)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compliance_memos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years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AML/CFT Act 2020 s.17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(review)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audit_logs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years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Legitimate interest + regulatory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sar_reports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years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FIU reporting obligation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session_tokens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Legitimate interest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monitoring_alerts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years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Regulatory obligation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(review)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Purge Engine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Dry-run mode (default: True) allows safe preview before actual deletion — counts records without modifying 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Every purge operation is recorded in the immutable data_purge_log table with record count, date range, policy reference, and authorizing user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run_scheduled_purge() function available for cron or periodic task integration — only processes auto_purge=True policies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SAR reports are hard-coded to never auto-purge regardless of configuration (regulatory requirement)</w:t>
      </w:r>
    </w:p>
    <w:p>
      <w:pPr>
        <w:pStyle w:val="Heading1"/>
      </w:pPr>
      <w:r>
        <w:t xml:space="preserve">5. Docker Containerization</w:t>
      </w:r>
    </w:p>
    <w:p>
      <w:pPr>
        <w:pStyle w:val="Heading2"/>
      </w:pPr>
      <w:r>
        <w:t xml:space="preserve">5.1 Dockerfile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Base image: python:3.11-slim with WeasyPrint system dependencies (libcairo2, libpango, libgdk-pixbuf, fonts-liberation)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Non-root user (arie:arie) for security — no root process in container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Layer-optimized: requirements.txt installed first for build cache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Built-in healthcheck hitting /api/health every 30 seconds</w:t>
      </w:r>
    </w:p>
    <w:p>
      <w:pPr>
        <w:pStyle w:val="Heading2"/>
      </w:pPr>
      <w:r>
        <w:t xml:space="preserve">5.2 Docker Compose Stack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Two services: arie-backend (application) + arie-postgres (PostgreSQL 16 Alpine)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Named volumes for persistent data: arie_pgdata (database), arie_uploads (documents), arie_logs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Environment-variable-driven configuration with SECRET_KEY enforcement (required, fails if missing)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Health check dependency: backend waits for PostgreSQL readiness before starting</w:t>
      </w:r>
    </w:p>
    <w:p>
      <w:r>
        <w:br w:type="page"/>
      </w:r>
    </w:p>
    <w:p>
      <w:pPr>
        <w:pStyle w:val="Heading1"/>
      </w:pPr>
      <w:r>
        <w:t xml:space="preserve">6. Test Results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179/179 tests passing</w:t>
      </w:r>
      <w:r>
        <w:rPr>
          <w:rFonts w:ascii="Arial" w:cs="Arial" w:eastAsia="Arial" w:hAnsi="Arial"/>
          <w:sz w:val="22"/>
          <w:szCs w:val="22"/>
        </w:rPr>
        <w:t xml:space="preserve"> — zero regressions from Sprint 2.5 baseline (155 tests).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730"/>
        <w:gridCol w:w="17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3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Tests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test_server.py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57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test_memo.py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29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test_rule_engine.py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27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test_supervisor.py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test_validation_engine.py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test_api.py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+2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ENHANCED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test_pdf_generator.py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+8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test_gdpr.py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+14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179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+24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PASSING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Known pre-existing issue: test_full_screening_with_mocks has an intermittent ThreadPoolExecutor race condition (~20% failure rate). This was documented in Sprint 2.5 and is unrelated to Sprint 3 changes.</w:t>
      </w:r>
    </w:p>
    <w:p>
      <w:pPr>
        <w:pStyle w:val="Heading1"/>
      </w:pPr>
      <w:r>
        <w:t xml:space="preserve">7. Module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server.py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4,215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 orchestrator, all Tornado handlers, routing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claude_client.py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1,552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10-agent AI pipeline, Claude API integration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production_controls.py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1,463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Rate limiting, environment guards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db.py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1,420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SQLite/PostgreSQL dual schema, seed data, migrations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security_hardening.py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1,317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Approval gates, password policy, PII encryption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sumsub_client.py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SumSub KYC integration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screening.py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837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AML/sanctions/PEP/company screening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memo_handler.py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686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11-section compliance memo builder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pdf_generator.py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20"/>
                <w:szCs w:val="20"/>
              </w:rPr>
              <w:t xml:space="preserve">Server-side PDF rendering (Sprint 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s3_client.py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AWS S3 document 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validation_engine.py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15-rule memo validation + quality scoring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environment.py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365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Centralized env config, getter functions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supervisor_engine.py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332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11-check supervisor with verdict 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rule_engine.py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288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pre-gen rules, risk constants (single source of truth)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gdpr.py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98DB"/>
                <w:sz w:val="20"/>
                <w:szCs w:val="20"/>
              </w:rPr>
              <w:t xml:space="preserve">GDPR retention, purge, DSAR engine (Sprint 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observability.py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Prometheus metrics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auth.py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auth, input sanitization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config_loader.py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Jurisdiction config loader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Compliance Memo API — Complete Endpoint Map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original specification (Section 6D) required API endpoints for: generate memo, validate memo, re-run validation, fetch validation results, approve memo, and download memo PDF. All six are now implemented: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960"/>
        <w:gridCol w:w="1500"/>
        <w:gridCol w:w="1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/api/applications/:id/memo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ComplianceMemoHandler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/api/applications/:id/memo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ComplianceMemoHandler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/api/applications/:id/memo/validate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MemoValidateHandler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/api/applications/:id/memo/validation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MemoValidationResultsHandler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/api/applications/:id/memo/approve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MemoApproveHandler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/api/applications/:id/memo/pdf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MemoPDFDownloadHandler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/api/applications/:id/memo/supervisor/run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MemoSupervisorHandler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/api/applications/:id/memo/supervisor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MemoSupervisorResultHandler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2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Original Specification Compliance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table maps each section of the original 12-section specification to the sprint in which it was implemented: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60"/>
        <w:gridCol w:w="2200"/>
        <w:gridCol w:w="2100"/>
      </w:tblGrid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 Requirement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 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 A: Gold-Standard Memo Engine (11 sections)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1–2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 B: Validation Engine (9 check categories)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Supervisor Engine (11 checks, verdict system)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Rule Engine (5 pre-gen rules)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DB: compliance_memos table + all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API: generate, validate, approve, 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API: PDF download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Server-side PDF generation (Section 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5-gate approval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GDPR data retention (Section 6C extension)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containerization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Risk constant single source of truth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2.5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Environment config centralization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2.5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Recommendations for Sprint 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Extract BaseHandler to shared module — enable handler group extraction to reduce server.py below 2,500 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httpOnly cookie auth — migrate from Bearer token to httpOnly cookies with CSRF double-submit pattern for enhanced XSS resistance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GDPR API endpoints — expose DSAR creation, purge preview, and retention policy management via REST endpoints for back-office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 intermittent ThreadPoolExecutor race — pre-existing test_full_screening_with_mocks flake (~20% failure rate) needs IOLoop isolation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Increase test coverage to 50%+ — add pytest-cov with line-by-line coverage reporting and CI enforcement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Arial" w:cs="Arial" w:eastAsia="Arial" w:hAnsi="Arial"/>
          <w:sz w:val="22"/>
          <w:szCs w:val="22"/>
        </w:rPr>
        <w:t xml:space="preserve">CI/CD pipeline — GitHub Actions workflow for Docker build, test, and optional push to container registry</w:t>
      </w:r>
    </w:p>
    <w:p>
      <w:pPr>
        <w:pBdr>
          <w:top w:val="single" w:color="1A3A5C" w:sz="6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Sprint 3 Exit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Onboarda Platform — Sprint 3 Exit Report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ARIE Finance</w:t>
    </w:r>
    <w:r>
      <w:rPr>
        <w:rFonts w:ascii="Arial" w:cs="Arial" w:eastAsia="Arial" w:hAnsi="Arial"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449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2026-03-22T10:35:53.066Z</dcterms:created>
  <dcterms:modified xsi:type="dcterms:W3CDTF">2026-03-22T10:35:53.070Z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