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RegMind Remediation &amp; Validation Report</w:t>
      </w:r>
    </w:p>
    <w:p>
      <w:pPr>
        <w:spacing w:after="280"/>
      </w:pPr>
      <w:r>
        <w:rPr>
          <w:rFonts w:ascii="Calibri" w:hAnsi="Calibri"/>
          <w:color w:val="5F6874"/>
          <w:sz w:val="26"/>
        </w:rPr>
        <w:t>Corrected v2 after GitHub reconciliation and evidence archive</w:t>
      </w:r>
    </w:p>
    <w:tbl>
      <w:tblGrid>
        <w:gridCol w:w="2200"/>
        <w:gridCol w:w="7160"/>
      </w:tblGrid>
      <w:tblPr>
        <w:tblStyle w:val="TableGrid"/>
        <w:tblW w:type="dxa" w:w="9360"/>
        <w:jc w:val="left"/>
        <w:tblLayout w:type="fixed"/>
        <w:tblLook w:firstColumn="1" w:firstRow="1" w:lastColumn="0" w:lastRow="0" w:noHBand="0" w:noVBand="1" w:val="04A0"/>
        <w:tblInd w:w="120" w:type="dxa"/>
      </w:tblPr>
      <w:tr>
        <w:tc>
          <w:tcPr>
            <w:tcW w:type="dxa" w:w="2200"/>
            <w:shd w:fill="F2F4F7"/>
            <w:vAlign w:val="center"/>
            <w:tcMar>
              <w:top w:w="80" w:type="dxa"/>
              <w:bottom w:w="80" w:type="dxa"/>
              <w:start w:w="120" w:type="dxa"/>
              <w:end w:w="120" w:type="dxa"/>
            </w:tcMar>
          </w:tcPr>
          <w:p>
            <w:pPr>
              <w:spacing w:after="0"/>
              <w:jc w:val="left"/>
            </w:pPr>
            <w:r>
              <w:rPr>
                <w:rFonts w:ascii="Calibri" w:hAnsi="Calibri"/>
                <w:b/>
                <w:color w:val="0B2545"/>
                <w:sz w:val="19"/>
              </w:rPr>
              <w:t>Field</w:t>
            </w:r>
          </w:p>
        </w:tc>
        <w:tc>
          <w:tcPr>
            <w:tcW w:type="dxa" w:w="7160"/>
            <w:shd w:fill="F2F4F7"/>
            <w:vAlign w:val="center"/>
            <w:tcMar>
              <w:top w:w="80" w:type="dxa"/>
              <w:bottom w:w="80" w:type="dxa"/>
              <w:start w:w="120" w:type="dxa"/>
              <w:end w:w="120" w:type="dxa"/>
            </w:tcMar>
          </w:tcPr>
          <w:p>
            <w:pPr>
              <w:spacing w:after="0"/>
              <w:jc w:val="left"/>
            </w:pPr>
            <w:r>
              <w:rPr>
                <w:rFonts w:ascii="Calibri" w:hAnsi="Calibri"/>
                <w:b/>
                <w:color w:val="0B2545"/>
                <w:sz w:val="19"/>
              </w:rPr>
              <w:t>Details</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9"/>
              </w:rPr>
              <w:t>Prepared for</w:t>
            </w:r>
          </w:p>
        </w:tc>
        <w:tc>
          <w:tcPr>
            <w:tcW w:type="dxa" w:w="7160"/>
            <w:vAlign w:val="center"/>
            <w:tcMar>
              <w:top w:w="80" w:type="dxa"/>
              <w:bottom w:w="80" w:type="dxa"/>
              <w:start w:w="120" w:type="dxa"/>
              <w:end w:w="120" w:type="dxa"/>
            </w:tcMar>
          </w:tcPr>
          <w:p>
            <w:pPr>
              <w:spacing w:after="0" w:line="252" w:lineRule="auto"/>
            </w:pPr>
            <w:r>
              <w:rPr>
                <w:rFonts w:ascii="Calibri" w:hAnsi="Calibri"/>
                <w:sz w:val="19"/>
              </w:rPr>
              <w:t>RegMind founder / operating review</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9"/>
              </w:rPr>
              <w:t>Prepared date</w:t>
            </w:r>
          </w:p>
        </w:tc>
        <w:tc>
          <w:tcPr>
            <w:tcW w:type="dxa" w:w="7160"/>
            <w:vAlign w:val="center"/>
            <w:tcMar>
              <w:top w:w="80" w:type="dxa"/>
              <w:bottom w:w="80" w:type="dxa"/>
              <w:start w:w="120" w:type="dxa"/>
              <w:end w:w="120" w:type="dxa"/>
            </w:tcMar>
          </w:tcPr>
          <w:p>
            <w:pPr>
              <w:spacing w:after="0" w:line="252" w:lineRule="auto"/>
            </w:pPr>
            <w:r>
              <w:rPr>
                <w:rFonts w:ascii="Calibri" w:hAnsi="Calibri"/>
                <w:sz w:val="19"/>
              </w:rPr>
              <w:t>30 June 2026</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9"/>
              </w:rPr>
              <w:t>Version</w:t>
            </w:r>
          </w:p>
        </w:tc>
        <w:tc>
          <w:tcPr>
            <w:tcW w:type="dxa" w:w="7160"/>
            <w:vAlign w:val="center"/>
            <w:tcMar>
              <w:top w:w="80" w:type="dxa"/>
              <w:bottom w:w="80" w:type="dxa"/>
              <w:start w:w="120" w:type="dxa"/>
              <w:end w:w="120" w:type="dxa"/>
            </w:tcMar>
          </w:tcPr>
          <w:p>
            <w:pPr>
              <w:spacing w:after="0" w:line="252" w:lineRule="auto"/>
            </w:pPr>
            <w:r>
              <w:rPr>
                <w:rFonts w:ascii="Calibri" w:hAnsi="Calibri"/>
                <w:sz w:val="19"/>
              </w:rPr>
              <w:t>v2 corrected after GitHub reconciliation</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9"/>
              </w:rPr>
              <w:t>Basis</w:t>
            </w:r>
          </w:p>
        </w:tc>
        <w:tc>
          <w:tcPr>
            <w:tcW w:type="dxa" w:w="7160"/>
            <w:vAlign w:val="center"/>
            <w:tcMar>
              <w:top w:w="80" w:type="dxa"/>
              <w:bottom w:w="80" w:type="dxa"/>
              <w:start w:w="120" w:type="dxa"/>
              <w:end w:w="120" w:type="dxa"/>
            </w:tcMar>
          </w:tcPr>
          <w:p>
            <w:pPr>
              <w:spacing w:after="0" w:line="252" w:lineRule="auto"/>
            </w:pPr>
            <w:r>
              <w:rPr>
                <w:rFonts w:ascii="Calibri" w:hAnsi="Calibri"/>
                <w:sz w:val="19"/>
              </w:rPr>
              <w:t>GitHub PR metadata, origin/main, closure evidence, and evidence archive PR #628</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9"/>
              </w:rPr>
              <w:t>Technical remediation baseline</w:t>
            </w:r>
          </w:p>
        </w:tc>
        <w:tc>
          <w:tcPr>
            <w:tcW w:type="dxa" w:w="7160"/>
            <w:vAlign w:val="center"/>
            <w:tcMar>
              <w:top w:w="80" w:type="dxa"/>
              <w:bottom w:w="80" w:type="dxa"/>
              <w:start w:w="120" w:type="dxa"/>
              <w:end w:w="120" w:type="dxa"/>
            </w:tcMar>
          </w:tcPr>
          <w:p>
            <w:pPr>
              <w:spacing w:after="0" w:line="252" w:lineRule="auto"/>
            </w:pPr>
            <w:r>
              <w:rPr>
                <w:rFonts w:ascii="Calibri" w:hAnsi="Calibri"/>
                <w:sz w:val="19"/>
              </w:rPr>
              <w:t>ea33cdfdba8be1dcdca97984c287ce1288efbe49</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9"/>
              </w:rPr>
              <w:t>Evidence archive on main</w:t>
            </w:r>
          </w:p>
        </w:tc>
        <w:tc>
          <w:tcPr>
            <w:tcW w:type="dxa" w:w="7160"/>
            <w:vAlign w:val="center"/>
            <w:tcMar>
              <w:top w:w="80" w:type="dxa"/>
              <w:bottom w:w="80" w:type="dxa"/>
              <w:start w:w="120" w:type="dxa"/>
              <w:end w:w="120" w:type="dxa"/>
            </w:tcMar>
          </w:tcPr>
          <w:p>
            <w:pPr>
              <w:spacing w:after="0" w:line="252" w:lineRule="auto"/>
            </w:pPr>
            <w:r>
              <w:rPr>
                <w:rFonts w:ascii="Calibri" w:hAnsi="Calibri"/>
                <w:sz w:val="19"/>
              </w:rPr>
              <w:t>PR #628 merged as docs-only evidence at 21c5d5babe1abe77817d8ba62b2f94d2c469d760</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9"/>
              </w:rPr>
              <w:t>Status</w:t>
            </w:r>
          </w:p>
        </w:tc>
        <w:tc>
          <w:tcPr>
            <w:tcW w:type="dxa" w:w="7160"/>
            <w:vAlign w:val="center"/>
            <w:tcMar>
              <w:top w:w="80" w:type="dxa"/>
              <w:bottom w:w="80" w:type="dxa"/>
              <w:start w:w="120" w:type="dxa"/>
              <w:end w:w="120" w:type="dxa"/>
            </w:tcMar>
          </w:tcPr>
          <w:p>
            <w:pPr>
              <w:spacing w:after="0" w:line="252" w:lineRule="auto"/>
            </w:pPr>
            <w:r>
              <w:rPr>
                <w:rFonts w:ascii="Calibri" w:hAnsi="Calibri"/>
                <w:sz w:val="19"/>
              </w:rPr>
              <w:t>Corrected report for controlled pilot-readiness discussions; not a production readiness sign-off</w:t>
            </w:r>
          </w:p>
        </w:tc>
      </w:tr>
    </w:tbl>
    <w:p>
      <w:pPr>
        <w:spacing w:before="0" w:after="80" w:line="264" w:lineRule="auto"/>
      </w:pPr>
    </w:p>
    <w:tbl>
      <w:tblGrid>
        <w:gridCol w:w="9360"/>
      </w:tblGrid>
      <w:tblPr>
        <w:tblW w:type="dxa" w:w="9360"/>
        <w:jc w:val="left"/>
        <w:tblLayout w:type="fixed"/>
        <w:tblLook w:firstColumn="1" w:firstRow="1" w:lastColumn="0" w:lastRow="0" w:noHBand="0" w:noVBand="1" w:val="04A0"/>
        <w:tblInd w:w="120" w:type="dxa"/>
      </w:tblPr>
      <w:tr>
        <w:tc>
          <w:tcPr>
            <w:tcW w:type="dxa" w:w="9360"/>
            <w:vAlign w:val="center"/>
            <w:tcMar>
              <w:top w:w="80" w:type="dxa"/>
              <w:bottom w:w="80" w:type="dxa"/>
              <w:start w:w="120" w:type="dxa"/>
              <w:end w:w="120" w:type="dxa"/>
            </w:tcMar>
            <w:shd w:fill="FFF4CC"/>
          </w:tcPr>
          <w:p>
            <w:pPr>
              <w:spacing w:before="0" w:after="0"/>
            </w:pPr>
            <w:r>
              <w:rPr>
                <w:rFonts w:ascii="Calibri" w:hAnsi="Calibri"/>
                <w:b/>
                <w:color w:val="0B2545"/>
                <w:sz w:val="21"/>
              </w:rPr>
              <w:t xml:space="preserve">Correction notice: </w:t>
            </w:r>
            <w:r>
              <w:rPr>
                <w:rFonts w:ascii="Calibri" w:hAnsi="Calibri"/>
                <w:color w:val="0B2545"/>
                <w:sz w:val="21"/>
              </w:rPr>
              <w:t>This v2 incorporates the reconciliation findings from PR #628. It keeps the PASS WITH CORRECTIONS conclusion, adds missing validation evidence, downgrades uncited older ranges, and scopes readiness to controlled staging-backed pilot conversations only.</w:t>
            </w:r>
          </w:p>
        </w:tc>
      </w:tr>
    </w:tbl>
    <w:p>
      <w:pPr>
        <w:spacing w:before="0" w:after="80" w:line="264" w:lineRule="auto"/>
      </w:pPr>
    </w:p>
    <w:p>
      <w:pPr>
        <w:pStyle w:val="Heading1"/>
        <w:keepNext/>
        <w:spacing w:before="320" w:after="160"/>
      </w:pPr>
      <w:r>
        <w:rPr>
          <w:rFonts w:ascii="Calibri" w:hAnsi="Calibri"/>
          <w:b/>
          <w:color w:val="2E74B5"/>
          <w:sz w:val="32"/>
        </w:rPr>
        <w:t>1. Executive Summary</w:t>
      </w:r>
    </w:p>
    <w:p>
      <w:pPr>
        <w:spacing w:before="0" w:after="120" w:line="264" w:lineRule="auto"/>
      </w:pPr>
      <w:r>
        <w:rPr>
          <w:rFonts w:ascii="Calibri" w:hAnsi="Calibri"/>
          <w:b w:val="0"/>
          <w:sz w:val="22"/>
        </w:rPr>
        <w:t>RegMind has moved from a fragile demo-grade compliance workflow into a materially stronger pilot-readiness posture across KYC Documents, Screening, Periodic Review, Monitoring list controls, Application Review, fixture hygiene, and operational evidence discipline.</w:t>
      </w:r>
    </w:p>
    <w:p>
      <w:pPr>
        <w:spacing w:before="0" w:after="120" w:line="264" w:lineRule="auto"/>
      </w:pPr>
      <w:r>
        <w:rPr>
          <w:rFonts w:ascii="Calibri" w:hAnsi="Calibri"/>
          <w:b w:val="0"/>
          <w:sz w:val="22"/>
        </w:rPr>
        <w:t>The corrected conclusion is narrower than production readiness: RegMind is ready to support controlled, staging-backed paid pilot conversations for the validated workflows, subject to the limitations and open workstreams in this report. It is not cleared for uncontrolled client rollout.</w:t>
      </w:r>
    </w:p>
    <w:p>
      <w:pPr>
        <w:spacing w:before="0" w:after="120" w:line="264" w:lineRule="auto"/>
      </w:pPr>
      <w:r>
        <w:rPr>
          <w:rFonts w:ascii="Calibri" w:hAnsi="Calibri"/>
          <w:b w:val="0"/>
          <w:sz w:val="22"/>
        </w:rPr>
        <w:t>The remaining work is concentrated in Monitoring workflow integration, ComplyAdvantage production workspace validation, a written pilot scope matrix, and final go/no-go evidence.</w:t>
      </w:r>
    </w:p>
    <w:p>
      <w:pPr>
        <w:pStyle w:val="Heading1"/>
        <w:keepNext/>
        <w:spacing w:before="320" w:after="160"/>
      </w:pPr>
      <w:r>
        <w:rPr>
          <w:rFonts w:ascii="Calibri" w:hAnsi="Calibri"/>
          <w:b/>
          <w:color w:val="2E74B5"/>
          <w:sz w:val="32"/>
        </w:rPr>
        <w:t>2. Current Readiness Dashboard</w:t>
      </w:r>
    </w:p>
    <w:tbl>
      <w:tblGrid>
        <w:gridCol w:w="1500"/>
        <w:gridCol w:w="2200"/>
        <w:gridCol w:w="5660"/>
      </w:tblGrid>
      <w:tblPr>
        <w:tblStyle w:val="TableGrid"/>
        <w:tblW w:type="dxa" w:w="9360"/>
        <w:jc w:val="left"/>
        <w:tblLayout w:type="fixed"/>
        <w:tblLook w:firstColumn="1" w:firstRow="1" w:lastColumn="0" w:lastRow="0" w:noHBand="0" w:noVBand="1" w:val="04A0"/>
        <w:tblInd w:w="120" w:type="dxa"/>
      </w:tblPr>
      <w:tr>
        <w:tc>
          <w:tcPr>
            <w:tcW w:type="dxa" w:w="1500"/>
            <w:shd w:fill="F2F4F7"/>
            <w:vAlign w:val="center"/>
            <w:tcMar>
              <w:top w:w="80" w:type="dxa"/>
              <w:bottom w:w="80" w:type="dxa"/>
              <w:start w:w="120" w:type="dxa"/>
              <w:end w:w="120" w:type="dxa"/>
            </w:tcMar>
          </w:tcPr>
          <w:p>
            <w:pPr>
              <w:spacing w:after="0"/>
              <w:jc w:val="left"/>
            </w:pPr>
            <w:r>
              <w:rPr>
                <w:rFonts w:ascii="Calibri" w:hAnsi="Calibri"/>
                <w:b/>
                <w:color w:val="0B2545"/>
                <w:sz w:val="17"/>
              </w:rPr>
              <w:t>Area</w:t>
            </w:r>
          </w:p>
        </w:tc>
        <w:tc>
          <w:tcPr>
            <w:tcW w:type="dxa" w:w="2200"/>
            <w:shd w:fill="F2F4F7"/>
            <w:vAlign w:val="center"/>
            <w:tcMar>
              <w:top w:w="80" w:type="dxa"/>
              <w:bottom w:w="80" w:type="dxa"/>
              <w:start w:w="120" w:type="dxa"/>
              <w:end w:w="120" w:type="dxa"/>
            </w:tcMar>
          </w:tcPr>
          <w:p>
            <w:pPr>
              <w:spacing w:after="0"/>
              <w:jc w:val="left"/>
            </w:pPr>
            <w:r>
              <w:rPr>
                <w:rFonts w:ascii="Calibri" w:hAnsi="Calibri"/>
                <w:b/>
                <w:color w:val="0B2545"/>
                <w:sz w:val="17"/>
              </w:rPr>
              <w:t>Current status</w:t>
            </w:r>
          </w:p>
        </w:tc>
        <w:tc>
          <w:tcPr>
            <w:tcW w:type="dxa" w:w="5660"/>
            <w:shd w:fill="F2F4F7"/>
            <w:vAlign w:val="center"/>
            <w:tcMar>
              <w:top w:w="80" w:type="dxa"/>
              <w:bottom w:w="80" w:type="dxa"/>
              <w:start w:w="120" w:type="dxa"/>
              <w:end w:w="120" w:type="dxa"/>
            </w:tcMar>
          </w:tcPr>
          <w:p>
            <w:pPr>
              <w:spacing w:after="0"/>
              <w:jc w:val="left"/>
            </w:pPr>
            <w:r>
              <w:rPr>
                <w:rFonts w:ascii="Calibri" w:hAnsi="Calibri"/>
                <w:b/>
                <w:color w:val="0B2545"/>
                <w:sz w:val="17"/>
              </w:rPr>
              <w:t>Practical implication</w:t>
            </w:r>
          </w:p>
        </w:tc>
      </w:tr>
      <w:tr>
        <w:tc>
          <w:tcPr>
            <w:tcW w:type="dxa" w:w="1500"/>
            <w:vAlign w:val="center"/>
            <w:tcMar>
              <w:top w:w="80" w:type="dxa"/>
              <w:bottom w:w="80" w:type="dxa"/>
              <w:start w:w="120" w:type="dxa"/>
              <w:end w:w="120" w:type="dxa"/>
            </w:tcMar>
          </w:tcPr>
          <w:p>
            <w:pPr>
              <w:spacing w:after="0" w:line="252" w:lineRule="auto"/>
            </w:pPr>
            <w:r>
              <w:rPr>
                <w:rFonts w:ascii="Calibri" w:hAnsi="Calibri"/>
                <w:sz w:val="17"/>
              </w:rPr>
              <w:t>KYC &amp; Documents</w:t>
            </w:r>
          </w:p>
        </w:tc>
        <w:tc>
          <w:tcPr>
            <w:tcW w:type="dxa" w:w="2200"/>
            <w:vAlign w:val="center"/>
            <w:tcMar>
              <w:top w:w="80" w:type="dxa"/>
              <w:bottom w:w="80" w:type="dxa"/>
              <w:start w:w="120" w:type="dxa"/>
              <w:end w:w="120" w:type="dxa"/>
            </w:tcMar>
          </w:tcPr>
          <w:p>
            <w:pPr>
              <w:spacing w:after="0" w:line="252" w:lineRule="auto"/>
            </w:pPr>
            <w:r>
              <w:rPr>
                <w:rFonts w:ascii="Calibri" w:hAnsi="Calibri"/>
                <w:sz w:val="17"/>
              </w:rPr>
              <w:t>Strong for observed flows</w:t>
            </w:r>
          </w:p>
        </w:tc>
        <w:tc>
          <w:tcPr>
            <w:tcW w:type="dxa" w:w="5660"/>
            <w:vAlign w:val="center"/>
            <w:tcMar>
              <w:top w:w="80" w:type="dxa"/>
              <w:bottom w:w="80" w:type="dxa"/>
              <w:start w:w="120" w:type="dxa"/>
              <w:end w:w="120" w:type="dxa"/>
            </w:tcMar>
          </w:tcPr>
          <w:p>
            <w:pPr>
              <w:spacing w:after="0" w:line="252" w:lineRule="auto"/>
            </w:pPr>
            <w:r>
              <w:rPr>
                <w:rFonts w:ascii="Calibri" w:hAnsi="Calibri"/>
                <w:sz w:val="17"/>
              </w:rPr>
              <w:t>Multiple UI/control gaps remediated. Live staging validation passed, with disposable live upload fixture and missing-policy state limitations retained.</w:t>
            </w:r>
          </w:p>
        </w:tc>
      </w:tr>
      <w:tr>
        <w:tc>
          <w:tcPr>
            <w:tcW w:type="dxa" w:w="1500"/>
            <w:vAlign w:val="center"/>
            <w:tcMar>
              <w:top w:w="80" w:type="dxa"/>
              <w:bottom w:w="80" w:type="dxa"/>
              <w:start w:w="120" w:type="dxa"/>
              <w:end w:w="120" w:type="dxa"/>
            </w:tcMar>
          </w:tcPr>
          <w:p>
            <w:pPr>
              <w:spacing w:after="0" w:line="252" w:lineRule="auto"/>
            </w:pPr>
            <w:r>
              <w:rPr>
                <w:rFonts w:ascii="Calibri" w:hAnsi="Calibri"/>
                <w:sz w:val="17"/>
              </w:rPr>
              <w:t>Screening Queue &amp; Review</w:t>
            </w:r>
          </w:p>
        </w:tc>
        <w:tc>
          <w:tcPr>
            <w:tcW w:type="dxa" w:w="2200"/>
            <w:vAlign w:val="center"/>
            <w:tcMar>
              <w:top w:w="80" w:type="dxa"/>
              <w:bottom w:w="80" w:type="dxa"/>
              <w:start w:w="120" w:type="dxa"/>
              <w:end w:w="120" w:type="dxa"/>
            </w:tcMar>
          </w:tcPr>
          <w:p>
            <w:pPr>
              <w:spacing w:after="0" w:line="252" w:lineRule="auto"/>
            </w:pPr>
            <w:r>
              <w:rPr>
                <w:rFonts w:ascii="Calibri" w:hAnsi="Calibri"/>
                <w:sz w:val="17"/>
              </w:rPr>
              <w:t>Strong for list/detail read paths</w:t>
            </w:r>
          </w:p>
        </w:tc>
        <w:tc>
          <w:tcPr>
            <w:tcW w:type="dxa" w:w="5660"/>
            <w:vAlign w:val="center"/>
            <w:tcMar>
              <w:top w:w="80" w:type="dxa"/>
              <w:bottom w:w="80" w:type="dxa"/>
              <w:start w:w="120" w:type="dxa"/>
              <w:end w:w="120" w:type="dxa"/>
            </w:tcMar>
          </w:tcPr>
          <w:p>
            <w:pPr>
              <w:spacing w:after="0" w:line="252" w:lineRule="auto"/>
            </w:pPr>
            <w:r>
              <w:rPr>
                <w:rFonts w:ascii="Calibri" w:hAnsi="Calibri"/>
                <w:sz w:val="17"/>
              </w:rPr>
              <w:t>List performance and first detail render are resolved. Heavy full evidence hydration remains a P2 backend optimization.</w:t>
            </w:r>
          </w:p>
        </w:tc>
      </w:tr>
      <w:tr>
        <w:tc>
          <w:tcPr>
            <w:tcW w:type="dxa" w:w="1500"/>
            <w:vAlign w:val="center"/>
            <w:tcMar>
              <w:top w:w="80" w:type="dxa"/>
              <w:bottom w:w="80" w:type="dxa"/>
              <w:start w:w="120" w:type="dxa"/>
              <w:end w:w="120" w:type="dxa"/>
            </w:tcMar>
          </w:tcPr>
          <w:p>
            <w:pPr>
              <w:spacing w:after="0" w:line="252" w:lineRule="auto"/>
            </w:pPr>
            <w:r>
              <w:rPr>
                <w:rFonts w:ascii="Calibri" w:hAnsi="Calibri"/>
                <w:sz w:val="17"/>
              </w:rPr>
              <w:t>Periodic Review</w:t>
            </w:r>
          </w:p>
        </w:tc>
        <w:tc>
          <w:tcPr>
            <w:tcW w:type="dxa" w:w="2200"/>
            <w:vAlign w:val="center"/>
            <w:tcMar>
              <w:top w:w="80" w:type="dxa"/>
              <w:bottom w:w="80" w:type="dxa"/>
              <w:start w:w="120" w:type="dxa"/>
              <w:end w:w="120" w:type="dxa"/>
            </w:tcMar>
          </w:tcPr>
          <w:p>
            <w:pPr>
              <w:spacing w:after="0" w:line="252" w:lineRule="auto"/>
            </w:pPr>
            <w:r>
              <w:rPr>
                <w:rFonts w:ascii="Calibri" w:hAnsi="Calibri"/>
                <w:sz w:val="17"/>
              </w:rPr>
              <w:t>Strong for controlled fixture lifecycle</w:t>
            </w:r>
          </w:p>
        </w:tc>
        <w:tc>
          <w:tcPr>
            <w:tcW w:type="dxa" w:w="5660"/>
            <w:vAlign w:val="center"/>
            <w:tcMar>
              <w:top w:w="80" w:type="dxa"/>
              <w:bottom w:w="80" w:type="dxa"/>
              <w:start w:w="120" w:type="dxa"/>
              <w:end w:w="120" w:type="dxa"/>
            </w:tcMar>
          </w:tcPr>
          <w:p>
            <w:pPr>
              <w:spacing w:after="0" w:line="252" w:lineRule="auto"/>
            </w:pPr>
            <w:r>
              <w:rPr>
                <w:rFonts w:ascii="Calibri" w:hAnsi="Calibri"/>
                <w:sz w:val="17"/>
              </w:rPr>
              <w:t>Read-only E2E and hidden fixture completion-cycle proof passed. Broader state fixtures remain P2.</w:t>
            </w:r>
          </w:p>
        </w:tc>
      </w:tr>
      <w:tr>
        <w:tc>
          <w:tcPr>
            <w:tcW w:type="dxa" w:w="1500"/>
            <w:vAlign w:val="center"/>
            <w:tcMar>
              <w:top w:w="80" w:type="dxa"/>
              <w:bottom w:w="80" w:type="dxa"/>
              <w:start w:w="120" w:type="dxa"/>
              <w:end w:w="120" w:type="dxa"/>
            </w:tcMar>
          </w:tcPr>
          <w:p>
            <w:pPr>
              <w:spacing w:after="0" w:line="252" w:lineRule="auto"/>
            </w:pPr>
            <w:r>
              <w:rPr>
                <w:rFonts w:ascii="Calibri" w:hAnsi="Calibri"/>
                <w:sz w:val="17"/>
              </w:rPr>
              <w:t>Application Review</w:t>
            </w:r>
          </w:p>
        </w:tc>
        <w:tc>
          <w:tcPr>
            <w:tcW w:type="dxa" w:w="2200"/>
            <w:vAlign w:val="center"/>
            <w:tcMar>
              <w:top w:w="80" w:type="dxa"/>
              <w:bottom w:w="80" w:type="dxa"/>
              <w:start w:w="120" w:type="dxa"/>
              <w:end w:w="120" w:type="dxa"/>
            </w:tcMar>
          </w:tcPr>
          <w:p>
            <w:pPr>
              <w:spacing w:after="0" w:line="252" w:lineRule="auto"/>
            </w:pPr>
            <w:r>
              <w:rPr>
                <w:rFonts w:ascii="Calibri" w:hAnsi="Calibri"/>
                <w:sz w:val="17"/>
              </w:rPr>
              <w:t>Strong smoke validation</w:t>
            </w:r>
          </w:p>
        </w:tc>
        <w:tc>
          <w:tcPr>
            <w:tcW w:type="dxa" w:w="5660"/>
            <w:vAlign w:val="center"/>
            <w:tcMar>
              <w:top w:w="80" w:type="dxa"/>
              <w:bottom w:w="80" w:type="dxa"/>
              <w:start w:w="120" w:type="dxa"/>
              <w:end w:w="120" w:type="dxa"/>
            </w:tcMar>
          </w:tcPr>
          <w:p>
            <w:pPr>
              <w:spacing w:after="0" w:line="252" w:lineRule="auto"/>
            </w:pPr>
            <w:r>
              <w:rPr>
                <w:rFonts w:ascii="Calibri" w:hAnsi="Calibri"/>
                <w:sz w:val="17"/>
              </w:rPr>
              <w:t>Final browser rerun passed with runtime/source alignment. Provenance indicators validated with one mismatch-data limitation.</w:t>
            </w:r>
          </w:p>
        </w:tc>
      </w:tr>
      <w:tr>
        <w:tc>
          <w:tcPr>
            <w:tcW w:type="dxa" w:w="1500"/>
            <w:vAlign w:val="center"/>
            <w:tcMar>
              <w:top w:w="80" w:type="dxa"/>
              <w:bottom w:w="80" w:type="dxa"/>
              <w:start w:w="120" w:type="dxa"/>
              <w:end w:w="120" w:type="dxa"/>
            </w:tcMar>
          </w:tcPr>
          <w:p>
            <w:pPr>
              <w:spacing w:after="0" w:line="252" w:lineRule="auto"/>
            </w:pPr>
            <w:r>
              <w:rPr>
                <w:rFonts w:ascii="Calibri" w:hAnsi="Calibri"/>
                <w:sz w:val="17"/>
              </w:rPr>
              <w:t>Monitoring</w:t>
            </w:r>
          </w:p>
        </w:tc>
        <w:tc>
          <w:tcPr>
            <w:tcW w:type="dxa" w:w="2200"/>
            <w:vAlign w:val="center"/>
            <w:tcMar>
              <w:top w:w="80" w:type="dxa"/>
              <w:bottom w:w="80" w:type="dxa"/>
              <w:start w:w="120" w:type="dxa"/>
              <w:end w:w="120" w:type="dxa"/>
            </w:tcMar>
          </w:tcPr>
          <w:p>
            <w:pPr>
              <w:spacing w:after="0" w:line="252" w:lineRule="auto"/>
            </w:pPr>
            <w:r>
              <w:rPr>
                <w:rFonts w:ascii="Calibri" w:hAnsi="Calibri"/>
                <w:sz w:val="17"/>
              </w:rPr>
              <w:t>List layer closed; workflow integration pending</w:t>
            </w:r>
          </w:p>
        </w:tc>
        <w:tc>
          <w:tcPr>
            <w:tcW w:type="dxa" w:w="5660"/>
            <w:vAlign w:val="center"/>
            <w:tcMar>
              <w:top w:w="80" w:type="dxa"/>
              <w:bottom w:w="80" w:type="dxa"/>
              <w:start w:w="120" w:type="dxa"/>
              <w:end w:w="120" w:type="dxa"/>
            </w:tcMar>
          </w:tcPr>
          <w:p>
            <w:pPr>
              <w:spacing w:after="0" w:line="252" w:lineRule="auto"/>
            </w:pPr>
            <w:r>
              <w:rPr>
                <w:rFonts w:ascii="Calibri" w:hAnsi="Calibri"/>
                <w:sz w:val="17"/>
              </w:rPr>
              <w:t>List cleanup closed with limitation. Agents visibility, Application Alerts linkage, document refresh chain, and adverse/screening workflow actions remain pending.</w:t>
            </w:r>
          </w:p>
        </w:tc>
      </w:tr>
      <w:tr>
        <w:tc>
          <w:tcPr>
            <w:tcW w:type="dxa" w:w="1500"/>
            <w:vAlign w:val="center"/>
            <w:tcMar>
              <w:top w:w="80" w:type="dxa"/>
              <w:bottom w:w="80" w:type="dxa"/>
              <w:start w:w="120" w:type="dxa"/>
              <w:end w:w="120" w:type="dxa"/>
            </w:tcMar>
          </w:tcPr>
          <w:p>
            <w:pPr>
              <w:spacing w:after="0" w:line="252" w:lineRule="auto"/>
            </w:pPr>
            <w:r>
              <w:rPr>
                <w:rFonts w:ascii="Calibri" w:hAnsi="Calibri"/>
                <w:sz w:val="17"/>
              </w:rPr>
              <w:t>Provider / CA Production</w:t>
            </w:r>
          </w:p>
        </w:tc>
        <w:tc>
          <w:tcPr>
            <w:tcW w:type="dxa" w:w="2200"/>
            <w:vAlign w:val="center"/>
            <w:tcMar>
              <w:top w:w="80" w:type="dxa"/>
              <w:bottom w:w="80" w:type="dxa"/>
              <w:start w:w="120" w:type="dxa"/>
              <w:end w:w="120" w:type="dxa"/>
            </w:tcMar>
          </w:tcPr>
          <w:p>
            <w:pPr>
              <w:spacing w:after="0" w:line="252" w:lineRule="auto"/>
            </w:pPr>
            <w:r>
              <w:rPr>
                <w:rFonts w:ascii="Calibri" w:hAnsi="Calibri"/>
                <w:sz w:val="17"/>
              </w:rPr>
              <w:t>Pending</w:t>
            </w:r>
          </w:p>
        </w:tc>
        <w:tc>
          <w:tcPr>
            <w:tcW w:type="dxa" w:w="5660"/>
            <w:vAlign w:val="center"/>
            <w:tcMar>
              <w:top w:w="80" w:type="dxa"/>
              <w:bottom w:w="80" w:type="dxa"/>
              <w:start w:w="120" w:type="dxa"/>
              <w:end w:w="120" w:type="dxa"/>
            </w:tcMar>
          </w:tcPr>
          <w:p>
            <w:pPr>
              <w:spacing w:after="0" w:line="252" w:lineRule="auto"/>
            </w:pPr>
            <w:r>
              <w:rPr>
                <w:rFonts w:ascii="Calibri" w:hAnsi="Calibri"/>
                <w:sz w:val="17"/>
              </w:rPr>
              <w:t>Production workspace setup and controlled runtime validation remain required.</w:t>
            </w:r>
          </w:p>
        </w:tc>
      </w:tr>
      <w:tr>
        <w:tc>
          <w:tcPr>
            <w:tcW w:type="dxa" w:w="1500"/>
            <w:vAlign w:val="center"/>
            <w:tcMar>
              <w:top w:w="80" w:type="dxa"/>
              <w:bottom w:w="80" w:type="dxa"/>
              <w:start w:w="120" w:type="dxa"/>
              <w:end w:w="120" w:type="dxa"/>
            </w:tcMar>
          </w:tcPr>
          <w:p>
            <w:pPr>
              <w:spacing w:after="0" w:line="252" w:lineRule="auto"/>
            </w:pPr>
            <w:r>
              <w:rPr>
                <w:rFonts w:ascii="Calibri" w:hAnsi="Calibri"/>
                <w:sz w:val="17"/>
              </w:rPr>
              <w:t>Governance / Go-No-Go</w:t>
            </w:r>
          </w:p>
        </w:tc>
        <w:tc>
          <w:tcPr>
            <w:tcW w:type="dxa" w:w="2200"/>
            <w:vAlign w:val="center"/>
            <w:tcMar>
              <w:top w:w="80" w:type="dxa"/>
              <w:bottom w:w="80" w:type="dxa"/>
              <w:start w:w="120" w:type="dxa"/>
              <w:end w:w="120" w:type="dxa"/>
            </w:tcMar>
          </w:tcPr>
          <w:p>
            <w:pPr>
              <w:spacing w:after="0" w:line="252" w:lineRule="auto"/>
            </w:pPr>
            <w:r>
              <w:rPr>
                <w:rFonts w:ascii="Calibri" w:hAnsi="Calibri"/>
                <w:sz w:val="17"/>
              </w:rPr>
              <w:t>Pending</w:t>
            </w:r>
          </w:p>
        </w:tc>
        <w:tc>
          <w:tcPr>
            <w:tcW w:type="dxa" w:w="5660"/>
            <w:vAlign w:val="center"/>
            <w:tcMar>
              <w:top w:w="80" w:type="dxa"/>
              <w:bottom w:w="80" w:type="dxa"/>
              <w:start w:w="120" w:type="dxa"/>
              <w:end w:w="120" w:type="dxa"/>
            </w:tcMar>
          </w:tcPr>
          <w:p>
            <w:pPr>
              <w:spacing w:after="0" w:line="252" w:lineRule="auto"/>
            </w:pPr>
            <w:r>
              <w:rPr>
                <w:rFonts w:ascii="Calibri" w:hAnsi="Calibri"/>
                <w:sz w:val="17"/>
              </w:rPr>
              <w:t>Need pilot scope matrix, residual limitation register, owner sign-off, and final readiness E2E.</w:t>
            </w:r>
          </w:p>
        </w:tc>
      </w:tr>
    </w:tbl>
    <w:p>
      <w:pPr>
        <w:spacing w:before="0" w:after="80" w:line="264" w:lineRule="auto"/>
      </w:pPr>
    </w:p>
    <w:p>
      <w:pPr>
        <w:pStyle w:val="Heading1"/>
        <w:keepNext/>
        <w:spacing w:before="320" w:after="160"/>
      </w:pPr>
      <w:r>
        <w:rPr>
          <w:rFonts w:ascii="Calibri" w:hAnsi="Calibri"/>
          <w:b/>
          <w:color w:val="2E74B5"/>
          <w:sz w:val="32"/>
        </w:rPr>
        <w:t>3. Closure Standard Used</w:t>
      </w:r>
    </w:p>
    <w:p>
      <w:pPr>
        <w:spacing w:before="0" w:after="120" w:line="264" w:lineRule="auto"/>
      </w:pPr>
      <w:r>
        <w:rPr>
          <w:rFonts w:ascii="Calibri" w:hAnsi="Calibri"/>
          <w:b w:val="0"/>
          <w:sz w:val="22"/>
        </w:rPr>
        <w:t>Branch PASS is not closure. Closure requires merge to main, staging deploy where runtime affected, /api/version.git_sha and image_tag matching deployed SHA, browser/API validation, CloudWatch/log scan, and closure report.</w:t>
      </w:r>
    </w:p>
    <w:p>
      <w:pPr>
        <w:spacing w:before="0" w:after="120" w:line="264" w:lineRule="auto"/>
      </w:pPr>
      <w:r>
        <w:rPr>
          <w:rFonts w:ascii="Calibri" w:hAnsi="Calibri"/>
          <w:b w:val="0"/>
          <w:sz w:val="22"/>
        </w:rPr>
        <w:t>This reconciliation could not independently authenticate current staging /api/version from the shell; authenticated version-match evidence is therefore cited from closure reports where available.</w:t>
      </w:r>
    </w:p>
    <w:p>
      <w:pPr>
        <w:spacing w:before="0" w:after="120" w:line="264" w:lineRule="auto"/>
      </w:pPr>
      <w:r>
        <w:rPr>
          <w:rFonts w:ascii="Calibri" w:hAnsi="Calibri"/>
          <w:b w:val="0"/>
          <w:sz w:val="22"/>
        </w:rPr>
        <w:t>Known limitations must remain visible as PASS WITH LIMITATION or PASS WITH VALIDATION LIMITATION. The report should not upgrade a verdict unless closure evidence supports it.</w:t>
      </w:r>
    </w:p>
    <w:p>
      <w:pPr>
        <w:pStyle w:val="Heading1"/>
        <w:keepNext/>
        <w:spacing w:before="320" w:after="160"/>
      </w:pPr>
      <w:r>
        <w:rPr>
          <w:rFonts w:ascii="Calibri" w:hAnsi="Calibri"/>
          <w:b/>
          <w:color w:val="2E74B5"/>
          <w:sz w:val="32"/>
        </w:rPr>
        <w:t>4. Reconciliation Corrections Applied in v2</w:t>
      </w:r>
    </w:p>
    <w:tbl>
      <w:tblGrid>
        <w:gridCol w:w="2400"/>
        <w:gridCol w:w="6960"/>
      </w:tblGrid>
      <w:tblPr>
        <w:tblStyle w:val="TableGrid"/>
        <w:tblW w:type="dxa" w:w="9360"/>
        <w:jc w:val="left"/>
        <w:tblLayout w:type="fixed"/>
        <w:tblLook w:firstColumn="1" w:firstRow="1" w:lastColumn="0" w:lastRow="0" w:noHBand="0" w:noVBand="1" w:val="04A0"/>
        <w:tblInd w:w="120" w:type="dxa"/>
      </w:tblPr>
      <w:tr>
        <w:tc>
          <w:tcPr>
            <w:tcW w:type="dxa" w:w="2400"/>
            <w:shd w:fill="F2F4F7"/>
            <w:vAlign w:val="center"/>
            <w:tcMar>
              <w:top w:w="80" w:type="dxa"/>
              <w:bottom w:w="80" w:type="dxa"/>
              <w:start w:w="120" w:type="dxa"/>
              <w:end w:w="120" w:type="dxa"/>
            </w:tcMar>
          </w:tcPr>
          <w:p>
            <w:pPr>
              <w:spacing w:after="0"/>
              <w:jc w:val="left"/>
            </w:pPr>
            <w:r>
              <w:rPr>
                <w:rFonts w:ascii="Calibri" w:hAnsi="Calibri"/>
                <w:b/>
                <w:color w:val="0B2545"/>
                <w:sz w:val="17"/>
              </w:rPr>
              <w:t>Item</w:t>
            </w:r>
          </w:p>
        </w:tc>
        <w:tc>
          <w:tcPr>
            <w:tcW w:type="dxa" w:w="6960"/>
            <w:shd w:fill="F2F4F7"/>
            <w:vAlign w:val="center"/>
            <w:tcMar>
              <w:top w:w="80" w:type="dxa"/>
              <w:bottom w:w="80" w:type="dxa"/>
              <w:start w:w="120" w:type="dxa"/>
              <w:end w:w="120" w:type="dxa"/>
            </w:tcMar>
          </w:tcPr>
          <w:p>
            <w:pPr>
              <w:spacing w:after="0"/>
              <w:jc w:val="left"/>
            </w:pPr>
            <w:r>
              <w:rPr>
                <w:rFonts w:ascii="Calibri" w:hAnsi="Calibri"/>
                <w:b/>
                <w:color w:val="0B2545"/>
                <w:sz w:val="17"/>
              </w:rPr>
              <w:t>Corrected treatment</w:t>
            </w:r>
          </w:p>
        </w:tc>
      </w:tr>
      <w:tr>
        <w:tc>
          <w:tcPr>
            <w:tcW w:type="dxa" w:w="2400"/>
            <w:vAlign w:val="center"/>
            <w:tcMar>
              <w:top w:w="80" w:type="dxa"/>
              <w:bottom w:w="80" w:type="dxa"/>
              <w:start w:w="120" w:type="dxa"/>
              <w:end w:w="120" w:type="dxa"/>
            </w:tcMar>
          </w:tcPr>
          <w:p>
            <w:pPr>
              <w:spacing w:after="0" w:line="252" w:lineRule="auto"/>
            </w:pPr>
            <w:r>
              <w:rPr>
                <w:rFonts w:ascii="Calibri" w:hAnsi="Calibri"/>
                <w:sz w:val="17"/>
              </w:rPr>
              <w:t>#622</w:t>
            </w:r>
          </w:p>
        </w:tc>
        <w:tc>
          <w:tcPr>
            <w:tcW w:type="dxa" w:w="6960"/>
            <w:vAlign w:val="center"/>
            <w:tcMar>
              <w:top w:w="80" w:type="dxa"/>
              <w:bottom w:w="80" w:type="dxa"/>
              <w:start w:w="120" w:type="dxa"/>
              <w:end w:w="120" w:type="dxa"/>
            </w:tcMar>
          </w:tcPr>
          <w:p>
            <w:pPr>
              <w:spacing w:after="0" w:line="252" w:lineRule="auto"/>
            </w:pPr>
            <w:r>
              <w:rPr>
                <w:rFonts w:ascii="Calibri" w:hAnsi="Calibri"/>
                <w:sz w:val="17"/>
              </w:rPr>
              <w:t>Uses PASS WITH VALIDATION LIMITATION after #624 because final validation ran on newer SHA 7f7fbe65 containing #622/#624, not exact #622 merge SHA.</w:t>
            </w:r>
          </w:p>
        </w:tc>
      </w:tr>
      <w:tr>
        <w:tc>
          <w:tcPr>
            <w:tcW w:type="dxa" w:w="2400"/>
            <w:vAlign w:val="center"/>
            <w:tcMar>
              <w:top w:w="80" w:type="dxa"/>
              <w:bottom w:w="80" w:type="dxa"/>
              <w:start w:w="120" w:type="dxa"/>
              <w:end w:w="120" w:type="dxa"/>
            </w:tcMar>
          </w:tcPr>
          <w:p>
            <w:pPr>
              <w:spacing w:after="0" w:line="252" w:lineRule="auto"/>
            </w:pPr>
            <w:r>
              <w:rPr>
                <w:rFonts w:ascii="Calibri" w:hAnsi="Calibri"/>
                <w:sz w:val="17"/>
              </w:rPr>
              <w:t>#624</w:t>
            </w:r>
          </w:p>
        </w:tc>
        <w:tc>
          <w:tcPr>
            <w:tcW w:type="dxa" w:w="6960"/>
            <w:vAlign w:val="center"/>
            <w:tcMar>
              <w:top w:w="80" w:type="dxa"/>
              <w:bottom w:w="80" w:type="dxa"/>
              <w:start w:w="120" w:type="dxa"/>
              <w:end w:w="120" w:type="dxa"/>
            </w:tcMar>
          </w:tcPr>
          <w:p>
            <w:pPr>
              <w:spacing w:after="0" w:line="252" w:lineRule="auto"/>
            </w:pPr>
            <w:r>
              <w:rPr>
                <w:rFonts w:ascii="Calibri" w:hAnsi="Calibri"/>
                <w:sz w:val="17"/>
              </w:rPr>
              <w:t>Uses PASS WITH VALIDATION LIMITATION because direct #624 deploy was superseded and validation ran as an ancestor on newer main SHA.</w:t>
            </w:r>
          </w:p>
        </w:tc>
      </w:tr>
      <w:tr>
        <w:tc>
          <w:tcPr>
            <w:tcW w:type="dxa" w:w="2400"/>
            <w:vAlign w:val="center"/>
            <w:tcMar>
              <w:top w:w="80" w:type="dxa"/>
              <w:bottom w:w="80" w:type="dxa"/>
              <w:start w:w="120" w:type="dxa"/>
              <w:end w:w="120" w:type="dxa"/>
            </w:tcMar>
          </w:tcPr>
          <w:p>
            <w:pPr>
              <w:spacing w:after="0" w:line="252" w:lineRule="auto"/>
            </w:pPr>
            <w:r>
              <w:rPr>
                <w:rFonts w:ascii="Calibri" w:hAnsi="Calibri"/>
                <w:sz w:val="17"/>
              </w:rPr>
              <w:t>Older broad PR ranges</w:t>
            </w:r>
          </w:p>
        </w:tc>
        <w:tc>
          <w:tcPr>
            <w:tcW w:type="dxa" w:w="6960"/>
            <w:vAlign w:val="center"/>
            <w:tcMar>
              <w:top w:w="80" w:type="dxa"/>
              <w:bottom w:w="80" w:type="dxa"/>
              <w:start w:w="120" w:type="dxa"/>
              <w:end w:w="120" w:type="dxa"/>
            </w:tcMar>
          </w:tcPr>
          <w:p>
            <w:pPr>
              <w:spacing w:after="0" w:line="252" w:lineRule="auto"/>
            </w:pPr>
            <w:r>
              <w:rPr>
                <w:rFonts w:ascii="Calibri" w:hAnsi="Calibri"/>
                <w:sz w:val="17"/>
              </w:rPr>
              <w:t>Changed external-use wording from Closed/Closed PASS to merged with closure evidence pending citation where no direct closure path was found in the reconciliation pass.</w:t>
            </w:r>
          </w:p>
        </w:tc>
      </w:tr>
      <w:tr>
        <w:tc>
          <w:tcPr>
            <w:tcW w:type="dxa" w:w="2400"/>
            <w:vAlign w:val="center"/>
            <w:tcMar>
              <w:top w:w="80" w:type="dxa"/>
              <w:bottom w:w="80" w:type="dxa"/>
              <w:start w:w="120" w:type="dxa"/>
              <w:end w:w="120" w:type="dxa"/>
            </w:tcMar>
          </w:tcPr>
          <w:p>
            <w:pPr>
              <w:spacing w:after="0" w:line="252" w:lineRule="auto"/>
            </w:pPr>
            <w:r>
              <w:rPr>
                <w:rFonts w:ascii="Calibri" w:hAnsi="Calibri"/>
                <w:sz w:val="17"/>
              </w:rPr>
              <w:t>KYC-DOCS-FINAL-LIVE-BROWSER-SMOKE-1</w:t>
            </w:r>
          </w:p>
        </w:tc>
        <w:tc>
          <w:tcPr>
            <w:tcW w:type="dxa" w:w="6960"/>
            <w:vAlign w:val="center"/>
            <w:tcMar>
              <w:top w:w="80" w:type="dxa"/>
              <w:bottom w:w="80" w:type="dxa"/>
              <w:start w:w="120" w:type="dxa"/>
              <w:end w:w="120" w:type="dxa"/>
            </w:tcMar>
          </w:tcPr>
          <w:p>
            <w:pPr>
              <w:spacing w:after="0" w:line="252" w:lineRule="auto"/>
            </w:pPr>
            <w:r>
              <w:rPr>
                <w:rFonts w:ascii="Calibri" w:hAnsi="Calibri"/>
                <w:sz w:val="17"/>
              </w:rPr>
              <w:t>Added as PASS WITH LIMITATION on current remediation baseline; limitation is no genuine missing-policy row in scanned staging fixtures.</w:t>
            </w:r>
          </w:p>
        </w:tc>
      </w:tr>
      <w:tr>
        <w:tc>
          <w:tcPr>
            <w:tcW w:type="dxa" w:w="2400"/>
            <w:vAlign w:val="center"/>
            <w:tcMar>
              <w:top w:w="80" w:type="dxa"/>
              <w:bottom w:w="80" w:type="dxa"/>
              <w:start w:w="120" w:type="dxa"/>
              <w:end w:w="120" w:type="dxa"/>
            </w:tcMar>
          </w:tcPr>
          <w:p>
            <w:pPr>
              <w:spacing w:after="0" w:line="252" w:lineRule="auto"/>
            </w:pPr>
            <w:r>
              <w:rPr>
                <w:rFonts w:ascii="Calibri" w:hAnsi="Calibri"/>
                <w:sz w:val="17"/>
              </w:rPr>
              <w:t>Staging version evidence</w:t>
            </w:r>
          </w:p>
        </w:tc>
        <w:tc>
          <w:tcPr>
            <w:tcW w:type="dxa" w:w="6960"/>
            <w:vAlign w:val="center"/>
            <w:tcMar>
              <w:top w:w="80" w:type="dxa"/>
              <w:bottom w:w="80" w:type="dxa"/>
              <w:start w:w="120" w:type="dxa"/>
              <w:end w:w="120" w:type="dxa"/>
            </w:tcMar>
          </w:tcPr>
          <w:p>
            <w:pPr>
              <w:spacing w:after="0" w:line="252" w:lineRule="auto"/>
            </w:pPr>
            <w:r>
              <w:rPr>
                <w:rFonts w:ascii="Calibri" w:hAnsi="Calibri"/>
                <w:sz w:val="17"/>
              </w:rPr>
              <w:t>Clarified that this reconciliation run was auth-gated for direct /api/version; closure reports provide authenticated version evidence.</w:t>
            </w:r>
          </w:p>
        </w:tc>
      </w:tr>
      <w:tr>
        <w:tc>
          <w:tcPr>
            <w:tcW w:type="dxa" w:w="2400"/>
            <w:vAlign w:val="center"/>
            <w:tcMar>
              <w:top w:w="80" w:type="dxa"/>
              <w:bottom w:w="80" w:type="dxa"/>
              <w:start w:w="120" w:type="dxa"/>
              <w:end w:w="120" w:type="dxa"/>
            </w:tcMar>
          </w:tcPr>
          <w:p>
            <w:pPr>
              <w:spacing w:after="0" w:line="252" w:lineRule="auto"/>
            </w:pPr>
            <w:r>
              <w:rPr>
                <w:rFonts w:ascii="Calibri" w:hAnsi="Calibri"/>
                <w:sz w:val="17"/>
              </w:rPr>
              <w:t>Pilot readiness</w:t>
            </w:r>
          </w:p>
        </w:tc>
        <w:tc>
          <w:tcPr>
            <w:tcW w:type="dxa" w:w="6960"/>
            <w:vAlign w:val="center"/>
            <w:tcMar>
              <w:top w:w="80" w:type="dxa"/>
              <w:bottom w:w="80" w:type="dxa"/>
              <w:start w:w="120" w:type="dxa"/>
              <w:end w:w="120" w:type="dxa"/>
            </w:tcMar>
          </w:tcPr>
          <w:p>
            <w:pPr>
              <w:spacing w:after="0" w:line="252" w:lineRule="auto"/>
            </w:pPr>
            <w:r>
              <w:rPr>
                <w:rFonts w:ascii="Calibri" w:hAnsi="Calibri"/>
                <w:sz w:val="17"/>
              </w:rPr>
              <w:t>Reworded to controlled, staging-backed pilot conversations only; production/uncontrolled rollout remains blocked by Monitoring integration, CA production validation, and final Go/No-Go.</w:t>
            </w:r>
          </w:p>
        </w:tc>
      </w:tr>
    </w:tbl>
    <w:p>
      <w:pPr>
        <w:spacing w:before="0" w:after="80" w:line="264" w:lineRule="auto"/>
      </w:pPr>
    </w:p>
    <w:p>
      <w:pPr>
        <w:pStyle w:val="Heading1"/>
        <w:keepNext/>
        <w:spacing w:before="320" w:after="160"/>
      </w:pPr>
      <w:r>
        <w:rPr>
          <w:rFonts w:ascii="Calibri" w:hAnsi="Calibri"/>
          <w:b/>
          <w:color w:val="2E74B5"/>
          <w:sz w:val="32"/>
        </w:rPr>
        <w:t>5. Detailed Recent PR Register</w:t>
      </w:r>
    </w:p>
    <w:tbl>
      <w:tblGrid>
        <w:gridCol w:w="700"/>
        <w:gridCol w:w="1600"/>
        <w:gridCol w:w="2400"/>
        <w:gridCol w:w="4660"/>
      </w:tblGrid>
      <w:tblPr>
        <w:tblStyle w:val="TableGrid"/>
        <w:tblW w:type="dxa" w:w="9360"/>
        <w:jc w:val="left"/>
        <w:tblLayout w:type="fixed"/>
        <w:tblLook w:firstColumn="1" w:firstRow="1" w:lastColumn="0" w:lastRow="0" w:noHBand="0" w:noVBand="1" w:val="04A0"/>
        <w:tblInd w:w="120" w:type="dxa"/>
      </w:tblPr>
      <w:tr>
        <w:tc>
          <w:tcPr>
            <w:tcW w:type="dxa" w:w="700"/>
            <w:shd w:fill="F2F4F7"/>
            <w:vAlign w:val="center"/>
            <w:tcMar>
              <w:top w:w="80" w:type="dxa"/>
              <w:bottom w:w="80" w:type="dxa"/>
              <w:start w:w="120" w:type="dxa"/>
              <w:end w:w="120" w:type="dxa"/>
            </w:tcMar>
          </w:tcPr>
          <w:p>
            <w:pPr>
              <w:spacing w:after="0"/>
              <w:jc w:val="left"/>
            </w:pPr>
            <w:r>
              <w:rPr>
                <w:rFonts w:ascii="Calibri" w:hAnsi="Calibri"/>
                <w:b/>
                <w:color w:val="0B2545"/>
                <w:sz w:val="15"/>
              </w:rPr>
              <w:t>PR</w:t>
            </w:r>
          </w:p>
        </w:tc>
        <w:tc>
          <w:tcPr>
            <w:tcW w:type="dxa" w:w="1600"/>
            <w:shd w:fill="F2F4F7"/>
            <w:vAlign w:val="center"/>
            <w:tcMar>
              <w:top w:w="80" w:type="dxa"/>
              <w:bottom w:w="80" w:type="dxa"/>
              <w:start w:w="120" w:type="dxa"/>
              <w:end w:w="120" w:type="dxa"/>
            </w:tcMar>
          </w:tcPr>
          <w:p>
            <w:pPr>
              <w:spacing w:after="0"/>
              <w:jc w:val="left"/>
            </w:pPr>
            <w:r>
              <w:rPr>
                <w:rFonts w:ascii="Calibri" w:hAnsi="Calibri"/>
                <w:b/>
                <w:color w:val="0B2545"/>
                <w:sz w:val="15"/>
              </w:rPr>
              <w:t>Module</w:t>
            </w:r>
          </w:p>
        </w:tc>
        <w:tc>
          <w:tcPr>
            <w:tcW w:type="dxa" w:w="2400"/>
            <w:shd w:fill="F2F4F7"/>
            <w:vAlign w:val="center"/>
            <w:tcMar>
              <w:top w:w="80" w:type="dxa"/>
              <w:bottom w:w="80" w:type="dxa"/>
              <w:start w:w="120" w:type="dxa"/>
              <w:end w:w="120" w:type="dxa"/>
            </w:tcMar>
          </w:tcPr>
          <w:p>
            <w:pPr>
              <w:spacing w:after="0"/>
              <w:jc w:val="left"/>
            </w:pPr>
            <w:r>
              <w:rPr>
                <w:rFonts w:ascii="Calibri" w:hAnsi="Calibri"/>
                <w:b/>
                <w:color w:val="0B2545"/>
                <w:sz w:val="15"/>
              </w:rPr>
              <w:t>Corrected final verdict</w:t>
            </w:r>
          </w:p>
        </w:tc>
        <w:tc>
          <w:tcPr>
            <w:tcW w:type="dxa" w:w="4660"/>
            <w:shd w:fill="F2F4F7"/>
            <w:vAlign w:val="center"/>
            <w:tcMar>
              <w:top w:w="80" w:type="dxa"/>
              <w:bottom w:w="80" w:type="dxa"/>
              <w:start w:w="120" w:type="dxa"/>
              <w:end w:w="120" w:type="dxa"/>
            </w:tcMar>
          </w:tcPr>
          <w:p>
            <w:pPr>
              <w:spacing w:after="0"/>
              <w:jc w:val="left"/>
            </w:pPr>
            <w:r>
              <w:rPr>
                <w:rFonts w:ascii="Calibri" w:hAnsi="Calibri"/>
                <w:b/>
                <w:color w:val="0B2545"/>
                <w:sz w:val="15"/>
              </w:rPr>
              <w:t>Evidence / limitation</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#613</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 WITH VALIDATION LIMITATION</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No live disposable upload performed; no backend upload/Agent 1/provider changes.</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#614</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Runtime SHA/image matched; exact policy-missing state was partly static/renderer proven.</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#615</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Monitoring</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 WITH VALIDATION LIMITATION</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Lower-privilege unauthorized fixture opt-in not directly retested.</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#616</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Periodic Review</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Test-only governance for canonical next-review anchor; no product logic changed.</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#617</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Periodic Review</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Periodic Review tab simplification; no backend/lifecycle changes.</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#618</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Merged/deployed SHA e229bbc243472f8e2cfebe0dfe90183e4f6f76aa; live staging proved standard policy mapping.</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#619</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Periodic Review</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 WITH VALIDATION LIMITATION</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Validated on newer main SHA including #619.</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#620</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Back Office UI</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Resolved floating widget obstruction and unblocked #615 browser pagination closure.</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#621</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Removed duplicate finding summary; UI rendering only, no verification truth changes.</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#622</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 WITH VALIDATION LIMITATION after #624</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Final deployed SHA 7f7fbe656e1c0cf8eb861b232fd848c8ae452af4 includes #622/#624; exact #622 SHA was not final live SHA.</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#623</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Screening</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Detail shell renders immediately and evidence hydrates asynchronously; heavy full hydration remains non-blocking P2 optimization.</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#624</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 WITH VALIDATION LIMITATION</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Resolved #622 blocker, but validated as ancestor on newer main SHA after direct deploy was superseded.</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#625</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Application Review</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 WITH VALIDATION LIMITATION</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Mismatch branch validated with deployed JS synthetic DOM; no persisted live mismatch data found.</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#626</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Passport and national_id added to officer upload dropdown; no upload/mutation performed.</w:t>
            </w:r>
          </w:p>
        </w:tc>
      </w:tr>
      <w:tr>
        <w:tc>
          <w:tcPr>
            <w:tcW w:type="dxa" w:w="700"/>
            <w:vAlign w:val="center"/>
            <w:tcMar>
              <w:top w:w="80" w:type="dxa"/>
              <w:bottom w:w="80" w:type="dxa"/>
              <w:start w:w="120" w:type="dxa"/>
              <w:end w:w="120" w:type="dxa"/>
            </w:tcMar>
          </w:tcPr>
          <w:p>
            <w:pPr>
              <w:spacing w:after="0" w:line="252" w:lineRule="auto"/>
            </w:pPr>
            <w:r>
              <w:rPr>
                <w:rFonts w:ascii="Calibri" w:hAnsi="Calibri"/>
                <w:sz w:val="15"/>
              </w:rPr>
              <w:t>#627</w:t>
            </w:r>
          </w:p>
        </w:tc>
        <w:tc>
          <w:tcPr>
            <w:tcW w:type="dxa" w:w="1600"/>
            <w:vAlign w:val="center"/>
            <w:tcMar>
              <w:top w:w="80" w:type="dxa"/>
              <w:bottom w:w="80" w:type="dxa"/>
              <w:start w:w="120" w:type="dxa"/>
              <w:end w:w="120" w:type="dxa"/>
            </w:tcMar>
          </w:tcPr>
          <w:p>
            <w:pPr>
              <w:spacing w:after="0" w:line="252" w:lineRule="auto"/>
            </w:pPr>
            <w:r>
              <w:rPr>
                <w:rFonts w:ascii="Calibri" w:hAnsi="Calibri"/>
                <w:sz w:val="15"/>
              </w:rPr>
              <w:t>Periodic Review</w:t>
            </w:r>
          </w:p>
        </w:tc>
        <w:tc>
          <w:tcPr>
            <w:tcW w:type="dxa" w:w="24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4660"/>
            <w:vAlign w:val="center"/>
            <w:tcMar>
              <w:top w:w="80" w:type="dxa"/>
              <w:bottom w:w="80" w:type="dxa"/>
              <w:start w:w="120" w:type="dxa"/>
              <w:end w:w="120" w:type="dxa"/>
            </w:tcMar>
          </w:tcPr>
          <w:p>
            <w:pPr>
              <w:spacing w:after="0" w:line="252" w:lineRule="auto"/>
            </w:pPr>
            <w:r>
              <w:rPr>
                <w:rFonts w:ascii="Calibri" w:hAnsi="Calibri"/>
                <w:sz w:val="15"/>
              </w:rPr>
              <w:t>Current remediation baseline ea33cdf; controlled fixture completion passed and previous ERROR traceback removed.</w:t>
            </w:r>
          </w:p>
        </w:tc>
      </w:tr>
    </w:tbl>
    <w:p>
      <w:pPr>
        <w:spacing w:before="0" w:after="80" w:line="264" w:lineRule="auto"/>
      </w:pPr>
    </w:p>
    <w:p>
      <w:pPr>
        <w:pStyle w:val="Heading1"/>
        <w:keepNext/>
        <w:spacing w:before="320" w:after="160"/>
      </w:pPr>
      <w:r>
        <w:rPr>
          <w:rFonts w:ascii="Calibri" w:hAnsi="Calibri"/>
          <w:b/>
          <w:color w:val="2E74B5"/>
          <w:sz w:val="32"/>
        </w:rPr>
        <w:t>6. Earlier Remediation Streams</w:t>
      </w:r>
    </w:p>
    <w:p>
      <w:pPr>
        <w:spacing w:before="0" w:after="120" w:line="264" w:lineRule="auto"/>
      </w:pPr>
      <w:r>
        <w:rPr>
          <w:rFonts w:ascii="Calibri" w:hAnsi="Calibri"/>
          <w:b w:val="0"/>
          <w:sz w:val="22"/>
        </w:rPr>
        <w:t>External-use wording is intentionally conservative for earlier broad ranges. GitHub merge metadata was checked, but direct closure evidence paths were not located for every PR in those ranges during the reconciliation pass.</w:t>
      </w:r>
    </w:p>
    <w:tbl>
      <w:tblGrid>
        <w:gridCol w:w="1200"/>
        <w:gridCol w:w="2300"/>
        <w:gridCol w:w="2600"/>
        <w:gridCol w:w="3260"/>
      </w:tblGrid>
      <w:tblPr>
        <w:tblStyle w:val="TableGrid"/>
        <w:tblW w:type="dxa" w:w="9360"/>
        <w:jc w:val="left"/>
        <w:tblLayout w:type="fixed"/>
        <w:tblLook w:firstColumn="1" w:firstRow="1" w:lastColumn="0" w:lastRow="0" w:noHBand="0" w:noVBand="1" w:val="04A0"/>
        <w:tblInd w:w="120" w:type="dxa"/>
      </w:tblPr>
      <w:tr>
        <w:tc>
          <w:tcPr>
            <w:tcW w:type="dxa" w:w="1200"/>
            <w:shd w:fill="F2F4F7"/>
            <w:vAlign w:val="center"/>
            <w:tcMar>
              <w:top w:w="80" w:type="dxa"/>
              <w:bottom w:w="80" w:type="dxa"/>
              <w:start w:w="120" w:type="dxa"/>
              <w:end w:w="120" w:type="dxa"/>
            </w:tcMar>
          </w:tcPr>
          <w:p>
            <w:pPr>
              <w:spacing w:after="0"/>
              <w:jc w:val="left"/>
            </w:pPr>
            <w:r>
              <w:rPr>
                <w:rFonts w:ascii="Calibri" w:hAnsi="Calibri"/>
                <w:b/>
                <w:color w:val="0B2545"/>
                <w:sz w:val="15"/>
              </w:rPr>
              <w:t>PR(s)</w:t>
            </w:r>
          </w:p>
        </w:tc>
        <w:tc>
          <w:tcPr>
            <w:tcW w:type="dxa" w:w="2300"/>
            <w:shd w:fill="F2F4F7"/>
            <w:vAlign w:val="center"/>
            <w:tcMar>
              <w:top w:w="80" w:type="dxa"/>
              <w:bottom w:w="80" w:type="dxa"/>
              <w:start w:w="120" w:type="dxa"/>
              <w:end w:w="120" w:type="dxa"/>
            </w:tcMar>
          </w:tcPr>
          <w:p>
            <w:pPr>
              <w:spacing w:after="0"/>
              <w:jc w:val="left"/>
            </w:pPr>
            <w:r>
              <w:rPr>
                <w:rFonts w:ascii="Calibri" w:hAnsi="Calibri"/>
                <w:b/>
                <w:color w:val="0B2545"/>
                <w:sz w:val="15"/>
              </w:rPr>
              <w:t>Stream</w:t>
            </w:r>
          </w:p>
        </w:tc>
        <w:tc>
          <w:tcPr>
            <w:tcW w:type="dxa" w:w="2600"/>
            <w:shd w:fill="F2F4F7"/>
            <w:vAlign w:val="center"/>
            <w:tcMar>
              <w:top w:w="80" w:type="dxa"/>
              <w:bottom w:w="80" w:type="dxa"/>
              <w:start w:w="120" w:type="dxa"/>
              <w:end w:w="120" w:type="dxa"/>
            </w:tcMar>
          </w:tcPr>
          <w:p>
            <w:pPr>
              <w:spacing w:after="0"/>
              <w:jc w:val="left"/>
            </w:pPr>
            <w:r>
              <w:rPr>
                <w:rFonts w:ascii="Calibri" w:hAnsi="Calibri"/>
                <w:b/>
                <w:color w:val="0B2545"/>
                <w:sz w:val="15"/>
              </w:rPr>
              <w:t>Corrected external-use status</w:t>
            </w:r>
          </w:p>
        </w:tc>
        <w:tc>
          <w:tcPr>
            <w:tcW w:type="dxa" w:w="3260"/>
            <w:shd w:fill="F2F4F7"/>
            <w:vAlign w:val="center"/>
            <w:tcMar>
              <w:top w:w="80" w:type="dxa"/>
              <w:bottom w:w="80" w:type="dxa"/>
              <w:start w:w="120" w:type="dxa"/>
              <w:end w:w="120" w:type="dxa"/>
            </w:tcMar>
          </w:tcPr>
          <w:p>
            <w:pPr>
              <w:spacing w:after="0"/>
              <w:jc w:val="left"/>
            </w:pPr>
            <w:r>
              <w:rPr>
                <w:rFonts w:ascii="Calibri" w:hAnsi="Calibri"/>
                <w:b/>
                <w:color w:val="0B2545"/>
                <w:sz w:val="15"/>
              </w:rPr>
              <w:t>Evidence note</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#410 / #418</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Screening Workflow Audit remediation</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Closed PASS per ledger; closure citation required</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GitHub metadata confirmed; direct closure path should be cited before relying externally.</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#431</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Risk score source-of-truth consistency</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Closed PASS per ledger; closure citation required</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Add closure path/version evidence before external reliance.</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#433-#449</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Monitoring Sprints 1-3B</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Merged; closure evidence pending citation</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Do not present as fully closed without direct closure evidence paths.</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#436-#439</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ComplyAdvantage signed webhook and backfill</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Merged; closure evidence pending citation</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Provider setup remains pending for production workspace validation.</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#440-#444</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Screening Queue SQ-1/2/3</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Merged; closure evidence pending citation</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Later performance follow-ups #610 and #623 carry stronger closure evidence.</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#469-#477</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FSI-001/002/003/005/006/007</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Merged; closure evidence pending citation</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Exact details require tracker/evidence citation before external circulation.</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#512</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CA Sandbox prescreening 503 fix</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Closed PASS per ledger; closure citation required</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Keep provider production validation as pending.</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#516-#518</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Pilot-scope/version/smoke hardening</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Merged; closure evidence pending citation</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Do not overstate until closure paths are attached.</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#608 / #609 / #611</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Pilot data segmentation and fixture hiding</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Evidence archive cites post-merge closure; fixture rows hidden by default.</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#610</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Screening Queue query performance</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PASS WITH LIMITATION</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Queue list latency resolved; include_evidence detail hydration follow-up later addressed by #623.</w:t>
            </w:r>
          </w:p>
        </w:tc>
      </w:tr>
      <w:tr>
        <w:tc>
          <w:tcPr>
            <w:tcW w:type="dxa" w:w="1200"/>
            <w:vAlign w:val="center"/>
            <w:tcMar>
              <w:top w:w="80" w:type="dxa"/>
              <w:bottom w:w="80" w:type="dxa"/>
              <w:start w:w="120" w:type="dxa"/>
              <w:end w:w="120" w:type="dxa"/>
            </w:tcMar>
          </w:tcPr>
          <w:p>
            <w:pPr>
              <w:spacing w:after="0" w:line="252" w:lineRule="auto"/>
            </w:pPr>
            <w:r>
              <w:rPr>
                <w:rFonts w:ascii="Calibri" w:hAnsi="Calibri"/>
                <w:sz w:val="15"/>
              </w:rPr>
              <w:t>#612</w:t>
            </w:r>
          </w:p>
        </w:tc>
        <w:tc>
          <w:tcPr>
            <w:tcW w:type="dxa" w:w="2300"/>
            <w:vAlign w:val="center"/>
            <w:tcMar>
              <w:top w:w="80" w:type="dxa"/>
              <w:bottom w:w="80" w:type="dxa"/>
              <w:start w:w="120" w:type="dxa"/>
              <w:end w:w="120" w:type="dxa"/>
            </w:tcMar>
          </w:tcPr>
          <w:p>
            <w:pPr>
              <w:spacing w:after="0" w:line="252" w:lineRule="auto"/>
            </w:pPr>
            <w:r>
              <w:rPr>
                <w:rFonts w:ascii="Calibri" w:hAnsi="Calibri"/>
                <w:sz w:val="15"/>
              </w:rPr>
              <w:t>Screening Review document banner removal</w:t>
            </w:r>
          </w:p>
        </w:tc>
        <w:tc>
          <w:tcPr>
            <w:tcW w:type="dxa" w:w="260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3260"/>
            <w:vAlign w:val="center"/>
            <w:tcMar>
              <w:top w:w="80" w:type="dxa"/>
              <w:bottom w:w="80" w:type="dxa"/>
              <w:start w:w="120" w:type="dxa"/>
              <w:end w:w="120" w:type="dxa"/>
            </w:tcMar>
          </w:tcPr>
          <w:p>
            <w:pPr>
              <w:spacing w:after="0" w:line="252" w:lineRule="auto"/>
            </w:pPr>
            <w:r>
              <w:rPr>
                <w:rFonts w:ascii="Calibri" w:hAnsi="Calibri"/>
                <w:sz w:val="15"/>
              </w:rPr>
              <w:t>Evidence archive cites post-merge closure; UI-only workflow mutation not exercised.</w:t>
            </w:r>
          </w:p>
        </w:tc>
      </w:tr>
    </w:tbl>
    <w:p>
      <w:pPr>
        <w:spacing w:before="0" w:after="80" w:line="264" w:lineRule="auto"/>
      </w:pPr>
    </w:p>
    <w:p>
      <w:pPr>
        <w:pStyle w:val="Heading1"/>
        <w:keepNext/>
        <w:spacing w:before="320" w:after="160"/>
      </w:pPr>
      <w:r>
        <w:rPr>
          <w:rFonts w:ascii="Calibri" w:hAnsi="Calibri"/>
          <w:b/>
          <w:color w:val="2E74B5"/>
          <w:sz w:val="32"/>
        </w:rPr>
        <w:t>7. Audits and E2E Validation Tasks</w:t>
      </w:r>
    </w:p>
    <w:tbl>
      <w:tblGrid>
        <w:gridCol w:w="3050"/>
        <w:gridCol w:w="1450"/>
        <w:gridCol w:w="1950"/>
        <w:gridCol w:w="2910"/>
      </w:tblGrid>
      <w:tblPr>
        <w:tblStyle w:val="TableGrid"/>
        <w:tblW w:type="dxa" w:w="9360"/>
        <w:jc w:val="left"/>
        <w:tblLayout w:type="fixed"/>
        <w:tblLook w:firstColumn="1" w:firstRow="1" w:lastColumn="0" w:lastRow="0" w:noHBand="0" w:noVBand="1" w:val="04A0"/>
        <w:tblInd w:w="120" w:type="dxa"/>
      </w:tblPr>
      <w:tr>
        <w:tc>
          <w:tcPr>
            <w:tcW w:type="dxa" w:w="3050"/>
            <w:shd w:fill="F2F4F7"/>
            <w:vAlign w:val="center"/>
            <w:tcMar>
              <w:top w:w="80" w:type="dxa"/>
              <w:bottom w:w="80" w:type="dxa"/>
              <w:start w:w="120" w:type="dxa"/>
              <w:end w:w="120" w:type="dxa"/>
            </w:tcMar>
          </w:tcPr>
          <w:p>
            <w:pPr>
              <w:spacing w:after="0"/>
              <w:jc w:val="left"/>
            </w:pPr>
            <w:r>
              <w:rPr>
                <w:rFonts w:ascii="Calibri" w:hAnsi="Calibri"/>
                <w:b/>
                <w:color w:val="0B2545"/>
                <w:sz w:val="15"/>
              </w:rPr>
              <w:t>Validation / audit</w:t>
            </w:r>
          </w:p>
        </w:tc>
        <w:tc>
          <w:tcPr>
            <w:tcW w:type="dxa" w:w="1450"/>
            <w:shd w:fill="F2F4F7"/>
            <w:vAlign w:val="center"/>
            <w:tcMar>
              <w:top w:w="80" w:type="dxa"/>
              <w:bottom w:w="80" w:type="dxa"/>
              <w:start w:w="120" w:type="dxa"/>
              <w:end w:w="120" w:type="dxa"/>
            </w:tcMar>
          </w:tcPr>
          <w:p>
            <w:pPr>
              <w:spacing w:after="0"/>
              <w:jc w:val="left"/>
            </w:pPr>
            <w:r>
              <w:rPr>
                <w:rFonts w:ascii="Calibri" w:hAnsi="Calibri"/>
                <w:b/>
                <w:color w:val="0B2545"/>
                <w:sz w:val="15"/>
              </w:rPr>
              <w:t>Module</w:t>
            </w:r>
          </w:p>
        </w:tc>
        <w:tc>
          <w:tcPr>
            <w:tcW w:type="dxa" w:w="1950"/>
            <w:shd w:fill="F2F4F7"/>
            <w:vAlign w:val="center"/>
            <w:tcMar>
              <w:top w:w="80" w:type="dxa"/>
              <w:bottom w:w="80" w:type="dxa"/>
              <w:start w:w="120" w:type="dxa"/>
              <w:end w:w="120" w:type="dxa"/>
            </w:tcMar>
          </w:tcPr>
          <w:p>
            <w:pPr>
              <w:spacing w:after="0"/>
              <w:jc w:val="left"/>
            </w:pPr>
            <w:r>
              <w:rPr>
                <w:rFonts w:ascii="Calibri" w:hAnsi="Calibri"/>
                <w:b/>
                <w:color w:val="0B2545"/>
                <w:sz w:val="15"/>
              </w:rPr>
              <w:t>Verdict</w:t>
            </w:r>
          </w:p>
        </w:tc>
        <w:tc>
          <w:tcPr>
            <w:tcW w:type="dxa" w:w="2910"/>
            <w:shd w:fill="F2F4F7"/>
            <w:vAlign w:val="center"/>
            <w:tcMar>
              <w:top w:w="80" w:type="dxa"/>
              <w:bottom w:w="80" w:type="dxa"/>
              <w:start w:w="120" w:type="dxa"/>
              <w:end w:w="120" w:type="dxa"/>
            </w:tcMar>
          </w:tcPr>
          <w:p>
            <w:pPr>
              <w:spacing w:after="0"/>
              <w:jc w:val="left"/>
            </w:pPr>
            <w:r>
              <w:rPr>
                <w:rFonts w:ascii="Calibri" w:hAnsi="Calibri"/>
                <w:b/>
                <w:color w:val="0B2545"/>
                <w:sz w:val="15"/>
              </w:rPr>
              <w:t>Business impact / limitation</w:t>
            </w:r>
          </w:p>
        </w:tc>
      </w:tr>
      <w:tr>
        <w:tc>
          <w:tcPr>
            <w:tcW w:type="dxa" w:w="3050"/>
            <w:vAlign w:val="center"/>
            <w:tcMar>
              <w:top w:w="80" w:type="dxa"/>
              <w:bottom w:w="80" w:type="dxa"/>
              <w:start w:w="120" w:type="dxa"/>
              <w:end w:w="120" w:type="dxa"/>
            </w:tcMar>
          </w:tcPr>
          <w:p>
            <w:pPr>
              <w:spacing w:after="0" w:line="252" w:lineRule="auto"/>
            </w:pPr>
            <w:r>
              <w:rPr>
                <w:rFonts w:ascii="Calibri" w:hAnsi="Calibri"/>
                <w:sz w:val="15"/>
              </w:rPr>
              <w:t>PR-SCREENING-DETAIL-EVIDENCE-HYDRATION-PERF-AUDIT-1</w:t>
            </w:r>
          </w:p>
        </w:tc>
        <w:tc>
          <w:tcPr>
            <w:tcW w:type="dxa" w:w="1450"/>
            <w:vAlign w:val="center"/>
            <w:tcMar>
              <w:top w:w="80" w:type="dxa"/>
              <w:bottom w:w="80" w:type="dxa"/>
              <w:start w:w="120" w:type="dxa"/>
              <w:end w:w="120" w:type="dxa"/>
            </w:tcMar>
          </w:tcPr>
          <w:p>
            <w:pPr>
              <w:spacing w:after="0" w:line="252" w:lineRule="auto"/>
            </w:pPr>
            <w:r>
              <w:rPr>
                <w:rFonts w:ascii="Calibri" w:hAnsi="Calibri"/>
                <w:sz w:val="15"/>
              </w:rPr>
              <w:t>Screening</w:t>
            </w:r>
          </w:p>
        </w:tc>
        <w:tc>
          <w:tcPr>
            <w:tcW w:type="dxa" w:w="1950"/>
            <w:vAlign w:val="center"/>
            <w:tcMar>
              <w:top w:w="80" w:type="dxa"/>
              <w:bottom w:w="80" w:type="dxa"/>
              <w:start w:w="120" w:type="dxa"/>
              <w:end w:w="120" w:type="dxa"/>
            </w:tcMar>
          </w:tcPr>
          <w:p>
            <w:pPr>
              <w:spacing w:after="0" w:line="252" w:lineRule="auto"/>
            </w:pPr>
            <w:r>
              <w:rPr>
                <w:rFonts w:ascii="Calibri" w:hAnsi="Calibri"/>
                <w:sz w:val="15"/>
              </w:rPr>
              <w:t>FAIL / fix needed</w:t>
            </w:r>
          </w:p>
        </w:tc>
        <w:tc>
          <w:tcPr>
            <w:tcW w:type="dxa" w:w="2910"/>
            <w:vAlign w:val="center"/>
            <w:tcMar>
              <w:top w:w="80" w:type="dxa"/>
              <w:bottom w:w="80" w:type="dxa"/>
              <w:start w:w="120" w:type="dxa"/>
              <w:end w:w="120" w:type="dxa"/>
            </w:tcMar>
          </w:tcPr>
          <w:p>
            <w:pPr>
              <w:spacing w:after="0" w:line="252" w:lineRule="auto"/>
            </w:pPr>
            <w:r>
              <w:rPr>
                <w:rFonts w:ascii="Calibri" w:hAnsi="Calibri"/>
                <w:sz w:val="15"/>
              </w:rPr>
              <w:t>Found 13-29s detail load for evidence-bearing rows; led to #623.</w:t>
            </w:r>
          </w:p>
        </w:tc>
      </w:tr>
      <w:tr>
        <w:tc>
          <w:tcPr>
            <w:tcW w:type="dxa" w:w="3050"/>
            <w:vAlign w:val="center"/>
            <w:tcMar>
              <w:top w:w="80" w:type="dxa"/>
              <w:bottom w:w="80" w:type="dxa"/>
              <w:start w:w="120" w:type="dxa"/>
              <w:end w:w="120" w:type="dxa"/>
            </w:tcMar>
          </w:tcPr>
          <w:p>
            <w:pPr>
              <w:spacing w:after="0" w:line="252" w:lineRule="auto"/>
            </w:pPr>
            <w:r>
              <w:rPr>
                <w:rFonts w:ascii="Calibri" w:hAnsi="Calibri"/>
                <w:sz w:val="15"/>
              </w:rPr>
              <w:t>PR-APPLICATION-VERIFIED-FIELD-INDICATORS-AUDIT-1</w:t>
            </w:r>
          </w:p>
        </w:tc>
        <w:tc>
          <w:tcPr>
            <w:tcW w:type="dxa" w:w="1450"/>
            <w:vAlign w:val="center"/>
            <w:tcMar>
              <w:top w:w="80" w:type="dxa"/>
              <w:bottom w:w="80" w:type="dxa"/>
              <w:start w:w="120" w:type="dxa"/>
              <w:end w:w="120" w:type="dxa"/>
            </w:tcMar>
          </w:tcPr>
          <w:p>
            <w:pPr>
              <w:spacing w:after="0" w:line="252" w:lineRule="auto"/>
            </w:pPr>
            <w:r>
              <w:rPr>
                <w:rFonts w:ascii="Calibri" w:hAnsi="Calibri"/>
                <w:sz w:val="15"/>
              </w:rPr>
              <w:t>Application Review</w:t>
            </w:r>
          </w:p>
        </w:tc>
        <w:tc>
          <w:tcPr>
            <w:tcW w:type="dxa" w:w="1950"/>
            <w:vAlign w:val="center"/>
            <w:tcMar>
              <w:top w:w="80" w:type="dxa"/>
              <w:bottom w:w="80" w:type="dxa"/>
              <w:start w:w="120" w:type="dxa"/>
              <w:end w:w="120" w:type="dxa"/>
            </w:tcMar>
          </w:tcPr>
          <w:p>
            <w:pPr>
              <w:spacing w:after="0" w:line="252" w:lineRule="auto"/>
            </w:pPr>
            <w:r>
              <w:rPr>
                <w:rFonts w:ascii="Calibri" w:hAnsi="Calibri"/>
                <w:sz w:val="15"/>
              </w:rPr>
              <w:t>FAIL / fix needed</w:t>
            </w:r>
          </w:p>
        </w:tc>
        <w:tc>
          <w:tcPr>
            <w:tcW w:type="dxa" w:w="2910"/>
            <w:vAlign w:val="center"/>
            <w:tcMar>
              <w:top w:w="80" w:type="dxa"/>
              <w:bottom w:w="80" w:type="dxa"/>
              <w:start w:w="120" w:type="dxa"/>
              <w:end w:w="120" w:type="dxa"/>
            </w:tcMar>
          </w:tcPr>
          <w:p>
            <w:pPr>
              <w:spacing w:after="0" w:line="252" w:lineRule="auto"/>
            </w:pPr>
            <w:r>
              <w:rPr>
                <w:rFonts w:ascii="Calibri" w:hAnsi="Calibri"/>
                <w:sz w:val="15"/>
              </w:rPr>
              <w:t>Found missing non-green Missing/Mismatch indicators; led to #625.</w:t>
            </w:r>
          </w:p>
        </w:tc>
      </w:tr>
      <w:tr>
        <w:tc>
          <w:tcPr>
            <w:tcW w:type="dxa" w:w="3050"/>
            <w:vAlign w:val="center"/>
            <w:tcMar>
              <w:top w:w="80" w:type="dxa"/>
              <w:bottom w:w="80" w:type="dxa"/>
              <w:start w:w="120" w:type="dxa"/>
              <w:end w:w="120" w:type="dxa"/>
            </w:tcMar>
          </w:tcPr>
          <w:p>
            <w:pPr>
              <w:spacing w:after="0" w:line="252" w:lineRule="auto"/>
            </w:pPr>
            <w:r>
              <w:rPr>
                <w:rFonts w:ascii="Calibri" w:hAnsi="Calibri"/>
                <w:sz w:val="15"/>
              </w:rPr>
              <w:t>PR-KYC-DOCS-OFFICER-UPLOAD-DOCUMENT-TYPE-LIST-AUDIT-1</w:t>
            </w:r>
          </w:p>
        </w:tc>
        <w:tc>
          <w:tcPr>
            <w:tcW w:type="dxa" w:w="145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1950"/>
            <w:vAlign w:val="center"/>
            <w:tcMar>
              <w:top w:w="80" w:type="dxa"/>
              <w:bottom w:w="80" w:type="dxa"/>
              <w:start w:w="120" w:type="dxa"/>
              <w:end w:w="120" w:type="dxa"/>
            </w:tcMar>
          </w:tcPr>
          <w:p>
            <w:pPr>
              <w:spacing w:after="0" w:line="252" w:lineRule="auto"/>
            </w:pPr>
            <w:r>
              <w:rPr>
                <w:rFonts w:ascii="Calibri" w:hAnsi="Calibri"/>
                <w:sz w:val="15"/>
              </w:rPr>
              <w:t>FAIL / fix needed</w:t>
            </w:r>
          </w:p>
        </w:tc>
        <w:tc>
          <w:tcPr>
            <w:tcW w:type="dxa" w:w="2910"/>
            <w:vAlign w:val="center"/>
            <w:tcMar>
              <w:top w:w="80" w:type="dxa"/>
              <w:bottom w:w="80" w:type="dxa"/>
              <w:start w:w="120" w:type="dxa"/>
              <w:end w:w="120" w:type="dxa"/>
            </w:tcMar>
          </w:tcPr>
          <w:p>
            <w:pPr>
              <w:spacing w:after="0" w:line="252" w:lineRule="auto"/>
            </w:pPr>
            <w:r>
              <w:rPr>
                <w:rFonts w:ascii="Calibri" w:hAnsi="Calibri"/>
                <w:sz w:val="15"/>
              </w:rPr>
              <w:t>Dropdown hardcoded/incomplete; led to #626.</w:t>
            </w:r>
          </w:p>
        </w:tc>
      </w:tr>
      <w:tr>
        <w:tc>
          <w:tcPr>
            <w:tcW w:type="dxa" w:w="3050"/>
            <w:vAlign w:val="center"/>
            <w:tcMar>
              <w:top w:w="80" w:type="dxa"/>
              <w:bottom w:w="80" w:type="dxa"/>
              <w:start w:w="120" w:type="dxa"/>
              <w:end w:w="120" w:type="dxa"/>
            </w:tcMar>
          </w:tcPr>
          <w:p>
            <w:pPr>
              <w:spacing w:after="0" w:line="252" w:lineRule="auto"/>
            </w:pPr>
            <w:r>
              <w:rPr>
                <w:rFonts w:ascii="Calibri" w:hAnsi="Calibri"/>
                <w:sz w:val="15"/>
              </w:rPr>
              <w:t>PERIODIC-REVIEW-FINAL-E2E-1</w:t>
            </w:r>
          </w:p>
        </w:tc>
        <w:tc>
          <w:tcPr>
            <w:tcW w:type="dxa" w:w="1450"/>
            <w:vAlign w:val="center"/>
            <w:tcMar>
              <w:top w:w="80" w:type="dxa"/>
              <w:bottom w:w="80" w:type="dxa"/>
              <w:start w:w="120" w:type="dxa"/>
              <w:end w:w="120" w:type="dxa"/>
            </w:tcMar>
          </w:tcPr>
          <w:p>
            <w:pPr>
              <w:spacing w:after="0" w:line="252" w:lineRule="auto"/>
            </w:pPr>
            <w:r>
              <w:rPr>
                <w:rFonts w:ascii="Calibri" w:hAnsi="Calibri"/>
                <w:sz w:val="15"/>
              </w:rPr>
              <w:t>Periodic Review</w:t>
            </w:r>
          </w:p>
        </w:tc>
        <w:tc>
          <w:tcPr>
            <w:tcW w:type="dxa" w:w="1950"/>
            <w:vAlign w:val="center"/>
            <w:tcMar>
              <w:top w:w="80" w:type="dxa"/>
              <w:bottom w:w="80" w:type="dxa"/>
              <w:start w:w="120" w:type="dxa"/>
              <w:end w:w="120" w:type="dxa"/>
            </w:tcMar>
          </w:tcPr>
          <w:p>
            <w:pPr>
              <w:spacing w:after="0" w:line="252" w:lineRule="auto"/>
            </w:pPr>
            <w:r>
              <w:rPr>
                <w:rFonts w:ascii="Calibri" w:hAnsi="Calibri"/>
                <w:sz w:val="15"/>
              </w:rPr>
              <w:t>PASS WITH VALIDATION LIMITATION</w:t>
            </w:r>
          </w:p>
        </w:tc>
        <w:tc>
          <w:tcPr>
            <w:tcW w:type="dxa" w:w="2910"/>
            <w:vAlign w:val="center"/>
            <w:tcMar>
              <w:top w:w="80" w:type="dxa"/>
              <w:bottom w:w="80" w:type="dxa"/>
              <w:start w:w="120" w:type="dxa"/>
              <w:end w:w="120" w:type="dxa"/>
            </w:tcMar>
          </w:tcPr>
          <w:p>
            <w:pPr>
              <w:spacing w:after="0" w:line="252" w:lineRule="auto"/>
            </w:pPr>
            <w:r>
              <w:rPr>
                <w:rFonts w:ascii="Calibri" w:hAnsi="Calibri"/>
                <w:sz w:val="15"/>
              </w:rPr>
              <w:t>Read-only queue/workspace flow passed; limited by unavailable states and no live mutation path.</w:t>
            </w:r>
          </w:p>
        </w:tc>
      </w:tr>
      <w:tr>
        <w:tc>
          <w:tcPr>
            <w:tcW w:type="dxa" w:w="3050"/>
            <w:vAlign w:val="center"/>
            <w:tcMar>
              <w:top w:w="80" w:type="dxa"/>
              <w:bottom w:w="80" w:type="dxa"/>
              <w:start w:w="120" w:type="dxa"/>
              <w:end w:w="120" w:type="dxa"/>
            </w:tcMar>
          </w:tcPr>
          <w:p>
            <w:pPr>
              <w:spacing w:after="0" w:line="252" w:lineRule="auto"/>
            </w:pPr>
            <w:r>
              <w:rPr>
                <w:rFonts w:ascii="Calibri" w:hAnsi="Calibri"/>
                <w:sz w:val="15"/>
              </w:rPr>
              <w:t>PERIODIC-REVIEW-FULL-COMPLETION-CYCLE-PROOF-1</w:t>
            </w:r>
          </w:p>
        </w:tc>
        <w:tc>
          <w:tcPr>
            <w:tcW w:type="dxa" w:w="1450"/>
            <w:vAlign w:val="center"/>
            <w:tcMar>
              <w:top w:w="80" w:type="dxa"/>
              <w:bottom w:w="80" w:type="dxa"/>
              <w:start w:w="120" w:type="dxa"/>
              <w:end w:w="120" w:type="dxa"/>
            </w:tcMar>
          </w:tcPr>
          <w:p>
            <w:pPr>
              <w:spacing w:after="0" w:line="252" w:lineRule="auto"/>
            </w:pPr>
            <w:r>
              <w:rPr>
                <w:rFonts w:ascii="Calibri" w:hAnsi="Calibri"/>
                <w:sz w:val="15"/>
              </w:rPr>
              <w:t>Periodic Review</w:t>
            </w:r>
          </w:p>
        </w:tc>
        <w:tc>
          <w:tcPr>
            <w:tcW w:type="dxa" w:w="1950"/>
            <w:vAlign w:val="center"/>
            <w:tcMar>
              <w:top w:w="80" w:type="dxa"/>
              <w:bottom w:w="80" w:type="dxa"/>
              <w:start w:w="120" w:type="dxa"/>
              <w:end w:w="120" w:type="dxa"/>
            </w:tcMar>
          </w:tcPr>
          <w:p>
            <w:pPr>
              <w:spacing w:after="0" w:line="252" w:lineRule="auto"/>
            </w:pPr>
            <w:r>
              <w:rPr>
                <w:rFonts w:ascii="Calibri" w:hAnsi="Calibri"/>
                <w:sz w:val="15"/>
              </w:rPr>
              <w:t>PASS WITH LIMITATION</w:t>
            </w:r>
          </w:p>
        </w:tc>
        <w:tc>
          <w:tcPr>
            <w:tcW w:type="dxa" w:w="2910"/>
            <w:vAlign w:val="center"/>
            <w:tcMar>
              <w:top w:w="80" w:type="dxa"/>
              <w:bottom w:w="80" w:type="dxa"/>
              <w:start w:w="120" w:type="dxa"/>
              <w:end w:w="120" w:type="dxa"/>
            </w:tcMar>
          </w:tcPr>
          <w:p>
            <w:pPr>
              <w:spacing w:after="0" w:line="252" w:lineRule="auto"/>
            </w:pPr>
            <w:r>
              <w:rPr>
                <w:rFonts w:ascii="Calibri" w:hAnsi="Calibri"/>
                <w:sz w:val="15"/>
              </w:rPr>
              <w:t>Hidden fixture completion proved lifecycle; non-fatal CloudWatch ERROR later fixed by #627.</w:t>
            </w:r>
          </w:p>
        </w:tc>
      </w:tr>
      <w:tr>
        <w:tc>
          <w:tcPr>
            <w:tcW w:type="dxa" w:w="3050"/>
            <w:vAlign w:val="center"/>
            <w:tcMar>
              <w:top w:w="80" w:type="dxa"/>
              <w:bottom w:w="80" w:type="dxa"/>
              <w:start w:w="120" w:type="dxa"/>
              <w:end w:w="120" w:type="dxa"/>
            </w:tcMar>
          </w:tcPr>
          <w:p>
            <w:pPr>
              <w:spacing w:after="0" w:line="252" w:lineRule="auto"/>
            </w:pPr>
            <w:r>
              <w:rPr>
                <w:rFonts w:ascii="Calibri" w:hAnsi="Calibri"/>
                <w:sz w:val="15"/>
              </w:rPr>
              <w:t>APPLICATION-REVIEW-FINAL-BROWSER-SMOKE-1</w:t>
            </w:r>
          </w:p>
        </w:tc>
        <w:tc>
          <w:tcPr>
            <w:tcW w:type="dxa" w:w="1450"/>
            <w:vAlign w:val="center"/>
            <w:tcMar>
              <w:top w:w="80" w:type="dxa"/>
              <w:bottom w:w="80" w:type="dxa"/>
              <w:start w:w="120" w:type="dxa"/>
              <w:end w:w="120" w:type="dxa"/>
            </w:tcMar>
          </w:tcPr>
          <w:p>
            <w:pPr>
              <w:spacing w:after="0" w:line="252" w:lineRule="auto"/>
            </w:pPr>
            <w:r>
              <w:rPr>
                <w:rFonts w:ascii="Calibri" w:hAnsi="Calibri"/>
                <w:sz w:val="15"/>
              </w:rPr>
              <w:t>Application Review</w:t>
            </w:r>
          </w:p>
        </w:tc>
        <w:tc>
          <w:tcPr>
            <w:tcW w:type="dxa" w:w="1950"/>
            <w:vAlign w:val="center"/>
            <w:tcMar>
              <w:top w:w="80" w:type="dxa"/>
              <w:bottom w:w="80" w:type="dxa"/>
              <w:start w:w="120" w:type="dxa"/>
              <w:end w:w="120" w:type="dxa"/>
            </w:tcMar>
          </w:tcPr>
          <w:p>
            <w:pPr>
              <w:spacing w:after="0" w:line="252" w:lineRule="auto"/>
            </w:pPr>
            <w:r>
              <w:rPr>
                <w:rFonts w:ascii="Calibri" w:hAnsi="Calibri"/>
                <w:sz w:val="15"/>
              </w:rPr>
              <w:t>PASS WITH LIMITATION</w:t>
            </w:r>
          </w:p>
        </w:tc>
        <w:tc>
          <w:tcPr>
            <w:tcW w:type="dxa" w:w="2910"/>
            <w:vAlign w:val="center"/>
            <w:tcMar>
              <w:top w:w="80" w:type="dxa"/>
              <w:bottom w:w="80" w:type="dxa"/>
              <w:start w:w="120" w:type="dxa"/>
              <w:end w:w="120" w:type="dxa"/>
            </w:tcMar>
          </w:tcPr>
          <w:p>
            <w:pPr>
              <w:spacing w:after="0" w:line="252" w:lineRule="auto"/>
            </w:pPr>
            <w:r>
              <w:rPr>
                <w:rFonts w:ascii="Calibri" w:hAnsi="Calibri"/>
                <w:sz w:val="15"/>
              </w:rPr>
              <w:t>Functional smoke passed but staging was behind audited origin/main.</w:t>
            </w:r>
          </w:p>
        </w:tc>
      </w:tr>
      <w:tr>
        <w:tc>
          <w:tcPr>
            <w:tcW w:type="dxa" w:w="3050"/>
            <w:vAlign w:val="center"/>
            <w:tcMar>
              <w:top w:w="80" w:type="dxa"/>
              <w:bottom w:w="80" w:type="dxa"/>
              <w:start w:w="120" w:type="dxa"/>
              <w:end w:w="120" w:type="dxa"/>
            </w:tcMar>
          </w:tcPr>
          <w:p>
            <w:pPr>
              <w:spacing w:after="0" w:line="252" w:lineRule="auto"/>
            </w:pPr>
            <w:r>
              <w:rPr>
                <w:rFonts w:ascii="Calibri" w:hAnsi="Calibri"/>
                <w:sz w:val="15"/>
              </w:rPr>
              <w:t>APPLICATION-REVIEW-FINAL-BROWSER-SMOKE-RERUN-1</w:t>
            </w:r>
          </w:p>
        </w:tc>
        <w:tc>
          <w:tcPr>
            <w:tcW w:type="dxa" w:w="1450"/>
            <w:vAlign w:val="center"/>
            <w:tcMar>
              <w:top w:w="80" w:type="dxa"/>
              <w:bottom w:w="80" w:type="dxa"/>
              <w:start w:w="120" w:type="dxa"/>
              <w:end w:w="120" w:type="dxa"/>
            </w:tcMar>
          </w:tcPr>
          <w:p>
            <w:pPr>
              <w:spacing w:after="0" w:line="252" w:lineRule="auto"/>
            </w:pPr>
            <w:r>
              <w:rPr>
                <w:rFonts w:ascii="Calibri" w:hAnsi="Calibri"/>
                <w:sz w:val="15"/>
              </w:rPr>
              <w:t>Application Review</w:t>
            </w:r>
          </w:p>
        </w:tc>
        <w:tc>
          <w:tcPr>
            <w:tcW w:type="dxa" w:w="1950"/>
            <w:vAlign w:val="center"/>
            <w:tcMar>
              <w:top w:w="80" w:type="dxa"/>
              <w:bottom w:w="80" w:type="dxa"/>
              <w:start w:w="120" w:type="dxa"/>
              <w:end w:w="120" w:type="dxa"/>
            </w:tcMar>
          </w:tcPr>
          <w:p>
            <w:pPr>
              <w:spacing w:after="0" w:line="252" w:lineRule="auto"/>
            </w:pPr>
            <w:r>
              <w:rPr>
                <w:rFonts w:ascii="Calibri" w:hAnsi="Calibri"/>
                <w:sz w:val="15"/>
              </w:rPr>
              <w:t>PASS</w:t>
            </w:r>
          </w:p>
        </w:tc>
        <w:tc>
          <w:tcPr>
            <w:tcW w:type="dxa" w:w="2910"/>
            <w:vAlign w:val="center"/>
            <w:tcMar>
              <w:top w:w="80" w:type="dxa"/>
              <w:bottom w:w="80" w:type="dxa"/>
              <w:start w:w="120" w:type="dxa"/>
              <w:end w:w="120" w:type="dxa"/>
            </w:tcMar>
          </w:tcPr>
          <w:p>
            <w:pPr>
              <w:spacing w:after="0" w:line="252" w:lineRule="auto"/>
            </w:pPr>
            <w:r>
              <w:rPr>
                <w:rFonts w:ascii="Calibri" w:hAnsi="Calibri"/>
                <w:sz w:val="15"/>
              </w:rPr>
              <w:t>Runtime/source aligned; browser and CloudWatch clean.</w:t>
            </w:r>
          </w:p>
        </w:tc>
      </w:tr>
      <w:tr>
        <w:tc>
          <w:tcPr>
            <w:tcW w:type="dxa" w:w="3050"/>
            <w:vAlign w:val="center"/>
            <w:tcMar>
              <w:top w:w="80" w:type="dxa"/>
              <w:bottom w:w="80" w:type="dxa"/>
              <w:start w:w="120" w:type="dxa"/>
              <w:end w:w="120" w:type="dxa"/>
            </w:tcMar>
          </w:tcPr>
          <w:p>
            <w:pPr>
              <w:spacing w:after="0" w:line="252" w:lineRule="auto"/>
            </w:pPr>
            <w:r>
              <w:rPr>
                <w:rFonts w:ascii="Calibri" w:hAnsi="Calibri"/>
                <w:sz w:val="15"/>
              </w:rPr>
              <w:t>KYC-DOCS-FINAL-LIVE-BROWSER-SMOKE-1</w:t>
            </w:r>
          </w:p>
        </w:tc>
        <w:tc>
          <w:tcPr>
            <w:tcW w:type="dxa" w:w="1450"/>
            <w:vAlign w:val="center"/>
            <w:tcMar>
              <w:top w:w="80" w:type="dxa"/>
              <w:bottom w:w="80" w:type="dxa"/>
              <w:start w:w="120" w:type="dxa"/>
              <w:end w:w="120" w:type="dxa"/>
            </w:tcMar>
          </w:tcPr>
          <w:p>
            <w:pPr>
              <w:spacing w:after="0" w:line="252" w:lineRule="auto"/>
            </w:pPr>
            <w:r>
              <w:rPr>
                <w:rFonts w:ascii="Calibri" w:hAnsi="Calibri"/>
                <w:sz w:val="15"/>
              </w:rPr>
              <w:t>KYC &amp; Documents</w:t>
            </w:r>
          </w:p>
        </w:tc>
        <w:tc>
          <w:tcPr>
            <w:tcW w:type="dxa" w:w="1950"/>
            <w:vAlign w:val="center"/>
            <w:tcMar>
              <w:top w:w="80" w:type="dxa"/>
              <w:bottom w:w="80" w:type="dxa"/>
              <w:start w:w="120" w:type="dxa"/>
              <w:end w:w="120" w:type="dxa"/>
            </w:tcMar>
          </w:tcPr>
          <w:p>
            <w:pPr>
              <w:spacing w:after="0" w:line="252" w:lineRule="auto"/>
            </w:pPr>
            <w:r>
              <w:rPr>
                <w:rFonts w:ascii="Calibri" w:hAnsi="Calibri"/>
                <w:sz w:val="15"/>
              </w:rPr>
              <w:t>PASS WITH LIMITATION</w:t>
            </w:r>
          </w:p>
        </w:tc>
        <w:tc>
          <w:tcPr>
            <w:tcW w:type="dxa" w:w="2910"/>
            <w:vAlign w:val="center"/>
            <w:tcMar>
              <w:top w:w="80" w:type="dxa"/>
              <w:bottom w:w="80" w:type="dxa"/>
              <w:start w:w="120" w:type="dxa"/>
              <w:end w:w="120" w:type="dxa"/>
            </w:tcMar>
          </w:tcPr>
          <w:p>
            <w:pPr>
              <w:spacing w:after="0" w:line="252" w:lineRule="auto"/>
            </w:pPr>
            <w:r>
              <w:rPr>
                <w:rFonts w:ascii="Calibri" w:hAnsi="Calibri"/>
                <w:sz w:val="15"/>
              </w:rPr>
              <w:t>Recent KYC fixes intact on current baseline; no genuine missing-policy row in scanned staging fixtures.</w:t>
            </w:r>
          </w:p>
        </w:tc>
      </w:tr>
    </w:tbl>
    <w:p>
      <w:pPr>
        <w:spacing w:before="0" w:after="80" w:line="264" w:lineRule="auto"/>
      </w:pPr>
    </w:p>
    <w:p>
      <w:pPr>
        <w:pStyle w:val="Heading1"/>
        <w:keepNext/>
        <w:spacing w:before="320" w:after="160"/>
      </w:pPr>
      <w:r>
        <w:rPr>
          <w:rFonts w:ascii="Calibri" w:hAnsi="Calibri"/>
          <w:b/>
          <w:color w:val="2E74B5"/>
          <w:sz w:val="32"/>
        </w:rPr>
        <w:t>8. Controls Strengthened</w:t>
      </w:r>
    </w:p>
    <w:p>
      <w:pPr>
        <w:pStyle w:val="ListBullet"/>
        <w:spacing w:after="160" w:line="280" w:lineRule="auto"/>
      </w:pPr>
      <w:r>
        <w:rPr>
          <w:rFonts w:ascii="Calibri" w:hAnsi="Calibri"/>
          <w:sz w:val="22"/>
        </w:rPr>
        <w:t>Document verification explainability: completed checks/fallback, method dots, no misleading Expected checks missing box, and technical audit details retained.</w:t>
      </w:r>
    </w:p>
    <w:p>
      <w:pPr>
        <w:pStyle w:val="ListBullet"/>
        <w:spacing w:after="160" w:line="280" w:lineRule="auto"/>
      </w:pPr>
      <w:r>
        <w:rPr>
          <w:rFonts w:ascii="Calibri" w:hAnsi="Calibri"/>
          <w:sz w:val="22"/>
        </w:rPr>
        <w:t>Document action eligibility: Re-verify visible only for eligible uploaded pending/failed/stale/system issue documents, hidden for Verified and Manual accepted terminal states.</w:t>
      </w:r>
    </w:p>
    <w:p>
      <w:pPr>
        <w:pStyle w:val="ListBullet"/>
        <w:spacing w:after="160" w:line="280" w:lineRule="auto"/>
      </w:pPr>
      <w:r>
        <w:rPr>
          <w:rFonts w:ascii="Calibri" w:hAnsi="Calibri"/>
          <w:sz w:val="22"/>
        </w:rPr>
        <w:t>Document policy mapping: Back Office recognises canonical policy payload keys; standard documents no longer falsely display policy missing.</w:t>
      </w:r>
    </w:p>
    <w:p>
      <w:pPr>
        <w:pStyle w:val="ListBullet"/>
        <w:spacing w:after="160" w:line="280" w:lineRule="auto"/>
      </w:pPr>
      <w:r>
        <w:rPr>
          <w:rFonts w:ascii="Calibri" w:hAnsi="Calibri"/>
          <w:sz w:val="22"/>
        </w:rPr>
        <w:t>Officer upload classification: passport and national_id are available in the officer upload dropdown, reducing wrong-category upload risk.</w:t>
      </w:r>
    </w:p>
    <w:p>
      <w:pPr>
        <w:pStyle w:val="ListBullet"/>
        <w:spacing w:after="160" w:line="280" w:lineRule="auto"/>
      </w:pPr>
      <w:r>
        <w:rPr>
          <w:rFonts w:ascii="Calibri" w:hAnsi="Calibri"/>
          <w:sz w:val="22"/>
        </w:rPr>
        <w:t>Screening performance: evidence-bearing rows no longer block first detail render; slow broad search path removed from the first-render path.</w:t>
      </w:r>
    </w:p>
    <w:p>
      <w:pPr>
        <w:pStyle w:val="ListBullet"/>
        <w:spacing w:after="160" w:line="280" w:lineRule="auto"/>
      </w:pPr>
      <w:r>
        <w:rPr>
          <w:rFonts w:ascii="Calibri" w:hAnsi="Calibri"/>
          <w:sz w:val="22"/>
        </w:rPr>
        <w:t>Periodic Review lifecycle: modern completion, terminal immutability, audit rows, next-cycle creation, and legacy replay blocking proven on controlled fixture.</w:t>
      </w:r>
    </w:p>
    <w:p>
      <w:pPr>
        <w:pStyle w:val="ListBullet"/>
        <w:spacing w:after="160" w:line="280" w:lineRule="auto"/>
      </w:pPr>
      <w:r>
        <w:rPr>
          <w:rFonts w:ascii="Calibri" w:hAnsi="Calibri"/>
          <w:sz w:val="22"/>
        </w:rPr>
        <w:t>Application Review provenance: non-green Missing/Mismatch indicators surface conflicts without expanding green verified ticks.</w:t>
      </w:r>
    </w:p>
    <w:p>
      <w:pPr>
        <w:pStyle w:val="ListBullet"/>
        <w:spacing w:after="160" w:line="280" w:lineRule="auto"/>
      </w:pPr>
      <w:r>
        <w:rPr>
          <w:rFonts w:ascii="Calibri" w:hAnsi="Calibri"/>
          <w:sz w:val="22"/>
        </w:rPr>
        <w:t>Fixture hygiene: test/smoke data hidden by default across major surfaces with internal opt-in available.</w:t>
      </w:r>
    </w:p>
    <w:p>
      <w:pPr>
        <w:pStyle w:val="ListBullet"/>
        <w:spacing w:after="160" w:line="280" w:lineRule="auto"/>
      </w:pPr>
      <w:r>
        <w:rPr>
          <w:rFonts w:ascii="Calibri" w:hAnsi="Calibri"/>
          <w:sz w:val="22"/>
        </w:rPr>
        <w:t>Operational closure discipline: runtime/version alignment, browser checks, and CloudWatch side-effect scans are now standard evidence requirements.</w:t>
      </w:r>
    </w:p>
    <w:p>
      <w:pPr>
        <w:pStyle w:val="Heading1"/>
        <w:keepNext/>
        <w:spacing w:before="320" w:after="160"/>
      </w:pPr>
      <w:r>
        <w:rPr>
          <w:rFonts w:ascii="Calibri" w:hAnsi="Calibri"/>
          <w:b/>
          <w:color w:val="2E74B5"/>
          <w:sz w:val="32"/>
        </w:rPr>
        <w:t>9. Residual Limitations and Open Workstreams</w:t>
      </w:r>
    </w:p>
    <w:tbl>
      <w:tblGrid>
        <w:gridCol w:w="2900"/>
        <w:gridCol w:w="700"/>
        <w:gridCol w:w="5760"/>
      </w:tblGrid>
      <w:tblPr>
        <w:tblStyle w:val="TableGrid"/>
        <w:tblW w:type="dxa" w:w="9360"/>
        <w:jc w:val="left"/>
        <w:tblLayout w:type="fixed"/>
        <w:tblLook w:firstColumn="1" w:firstRow="1" w:lastColumn="0" w:lastRow="0" w:noHBand="0" w:noVBand="1" w:val="04A0"/>
        <w:tblInd w:w="120" w:type="dxa"/>
      </w:tblPr>
      <w:tr>
        <w:tc>
          <w:tcPr>
            <w:tcW w:type="dxa" w:w="2900"/>
            <w:shd w:fill="F2F4F7"/>
            <w:vAlign w:val="center"/>
            <w:tcMar>
              <w:top w:w="80" w:type="dxa"/>
              <w:bottom w:w="80" w:type="dxa"/>
              <w:start w:w="120" w:type="dxa"/>
              <w:end w:w="120" w:type="dxa"/>
            </w:tcMar>
          </w:tcPr>
          <w:p>
            <w:pPr>
              <w:spacing w:after="0"/>
              <w:jc w:val="left"/>
            </w:pPr>
            <w:r>
              <w:rPr>
                <w:rFonts w:ascii="Calibri" w:hAnsi="Calibri"/>
                <w:b/>
                <w:color w:val="0B2545"/>
                <w:sz w:val="16"/>
              </w:rPr>
              <w:t>Residual item</w:t>
            </w:r>
          </w:p>
        </w:tc>
        <w:tc>
          <w:tcPr>
            <w:tcW w:type="dxa" w:w="700"/>
            <w:shd w:fill="F2F4F7"/>
            <w:vAlign w:val="center"/>
            <w:tcMar>
              <w:top w:w="80" w:type="dxa"/>
              <w:bottom w:w="80" w:type="dxa"/>
              <w:start w:w="120" w:type="dxa"/>
              <w:end w:w="120" w:type="dxa"/>
            </w:tcMar>
          </w:tcPr>
          <w:p>
            <w:pPr>
              <w:spacing w:after="0"/>
              <w:jc w:val="left"/>
            </w:pPr>
            <w:r>
              <w:rPr>
                <w:rFonts w:ascii="Calibri" w:hAnsi="Calibri"/>
                <w:b/>
                <w:color w:val="0B2545"/>
                <w:sz w:val="16"/>
              </w:rPr>
              <w:t>Priority</w:t>
            </w:r>
          </w:p>
        </w:tc>
        <w:tc>
          <w:tcPr>
            <w:tcW w:type="dxa" w:w="5760"/>
            <w:shd w:fill="F2F4F7"/>
            <w:vAlign w:val="center"/>
            <w:tcMar>
              <w:top w:w="80" w:type="dxa"/>
              <w:bottom w:w="80" w:type="dxa"/>
              <w:start w:w="120" w:type="dxa"/>
              <w:end w:w="120" w:type="dxa"/>
            </w:tcMar>
          </w:tcPr>
          <w:p>
            <w:pPr>
              <w:spacing w:after="0"/>
              <w:jc w:val="left"/>
            </w:pPr>
            <w:r>
              <w:rPr>
                <w:rFonts w:ascii="Calibri" w:hAnsi="Calibri"/>
                <w:b/>
                <w:color w:val="0B2545"/>
                <w:sz w:val="16"/>
              </w:rPr>
              <w:t>Action required</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Monitoring workflow integration</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P1</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Agents pilot visibility, Application Alerts linkage/status sync, document request/upload flow, and adverse/screening action model.</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ComplyAdvantage production workspace validation</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P1</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Controlled production workspace setup and staging runtime validation.</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Pilot scope control matrix</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P1</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Written included/excluded module/control matrix before client rollout.</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Final Go/No-Go checklist</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P1</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Final cross-module readiness evidence, residual limitation register, and operational owner sign-off.</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Lower-privilege fixture opt-in retest</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P2</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Non-SCO staging token/session to prove unauthorized show_fixtures=true cannot expose fixtures.</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KYC live disposable upload fixture</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P2</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Remove #613 limitation by proving live upload path without real client data.</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Heavy evidence payload/backend optimisation</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P2</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Improve &gt;10s full hydration for heavy evidence payloads, although shell render is no longer blocked.</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Periodic Review state coverage fixtures</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P2</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Add cancelled/closed/EDD/overdue/completion-pending fixture coverage.</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Historical completed review stale blocker labels</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P2</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Investigate/display guard; not an active mutable workflow issue.</w:t>
            </w:r>
          </w:p>
        </w:tc>
      </w:tr>
      <w:tr>
        <w:tc>
          <w:tcPr>
            <w:tcW w:type="dxa" w:w="2900"/>
            <w:vAlign w:val="center"/>
            <w:tcMar>
              <w:top w:w="80" w:type="dxa"/>
              <w:bottom w:w="80" w:type="dxa"/>
              <w:start w:w="120" w:type="dxa"/>
              <w:end w:w="120" w:type="dxa"/>
            </w:tcMar>
          </w:tcPr>
          <w:p>
            <w:pPr>
              <w:spacing w:after="0" w:line="252" w:lineRule="auto"/>
            </w:pPr>
            <w:r>
              <w:rPr>
                <w:rFonts w:ascii="Calibri" w:hAnsi="Calibri"/>
                <w:sz w:val="16"/>
              </w:rPr>
              <w:t>Registry/KYB simulation disclosure</w:t>
            </w:r>
          </w:p>
        </w:tc>
        <w:tc>
          <w:tcPr>
            <w:tcW w:type="dxa" w:w="700"/>
            <w:vAlign w:val="center"/>
            <w:tcMar>
              <w:top w:w="80" w:type="dxa"/>
              <w:bottom w:w="80" w:type="dxa"/>
              <w:start w:w="120" w:type="dxa"/>
              <w:end w:w="120" w:type="dxa"/>
            </w:tcMar>
          </w:tcPr>
          <w:p>
            <w:pPr>
              <w:spacing w:after="0" w:line="252" w:lineRule="auto"/>
            </w:pPr>
            <w:r>
              <w:rPr>
                <w:rFonts w:ascii="Calibri" w:hAnsi="Calibri"/>
                <w:sz w:val="16"/>
              </w:rPr>
              <w:t>P2</w:t>
            </w:r>
          </w:p>
        </w:tc>
        <w:tc>
          <w:tcPr>
            <w:tcW w:type="dxa" w:w="5760"/>
            <w:vAlign w:val="center"/>
            <w:tcMar>
              <w:top w:w="80" w:type="dxa"/>
              <w:bottom w:w="80" w:type="dxa"/>
              <w:start w:w="120" w:type="dxa"/>
              <w:end w:w="120" w:type="dxa"/>
            </w:tcMar>
          </w:tcPr>
          <w:p>
            <w:pPr>
              <w:spacing w:after="0" w:line="252" w:lineRule="auto"/>
            </w:pPr>
            <w:r>
              <w:rPr>
                <w:rFonts w:ascii="Calibri" w:hAnsi="Calibri"/>
                <w:sz w:val="16"/>
              </w:rPr>
              <w:t>Disclose or hide simulated registry/KYB claims to avoid credibility issues.</w:t>
            </w:r>
          </w:p>
        </w:tc>
      </w:tr>
    </w:tbl>
    <w:p>
      <w:pPr>
        <w:spacing w:before="0" w:after="80" w:line="264" w:lineRule="auto"/>
      </w:pPr>
    </w:p>
    <w:p>
      <w:pPr>
        <w:pStyle w:val="Heading1"/>
        <w:keepNext/>
        <w:spacing w:before="320" w:after="160"/>
      </w:pPr>
      <w:r>
        <w:rPr>
          <w:rFonts w:ascii="Calibri" w:hAnsi="Calibri"/>
          <w:b/>
          <w:color w:val="2E74B5"/>
          <w:sz w:val="32"/>
        </w:rPr>
        <w:t>10. Recommended Execution Order</w:t>
      </w:r>
    </w:p>
    <w:tbl>
      <w:tblGrid>
        <w:gridCol w:w="700"/>
        <w:gridCol w:w="2800"/>
        <w:gridCol w:w="5860"/>
      </w:tblGrid>
      <w:tblPr>
        <w:tblStyle w:val="TableGrid"/>
        <w:tblW w:type="dxa" w:w="9360"/>
        <w:jc w:val="left"/>
        <w:tblLayout w:type="fixed"/>
        <w:tblLook w:firstColumn="1" w:firstRow="1" w:lastColumn="0" w:lastRow="0" w:noHBand="0" w:noVBand="1" w:val="04A0"/>
        <w:tblInd w:w="120" w:type="dxa"/>
      </w:tblPr>
      <w:tr>
        <w:tc>
          <w:tcPr>
            <w:tcW w:type="dxa" w:w="700"/>
            <w:shd w:fill="F2F4F7"/>
            <w:vAlign w:val="center"/>
            <w:tcMar>
              <w:top w:w="80" w:type="dxa"/>
              <w:bottom w:w="80" w:type="dxa"/>
              <w:start w:w="120" w:type="dxa"/>
              <w:end w:w="120" w:type="dxa"/>
            </w:tcMar>
          </w:tcPr>
          <w:p>
            <w:pPr>
              <w:spacing w:after="0"/>
              <w:jc w:val="left"/>
            </w:pPr>
            <w:r>
              <w:rPr>
                <w:rFonts w:ascii="Calibri" w:hAnsi="Calibri"/>
                <w:b/>
                <w:color w:val="0B2545"/>
                <w:sz w:val="16"/>
              </w:rPr>
              <w:t>Order</w:t>
            </w:r>
          </w:p>
        </w:tc>
        <w:tc>
          <w:tcPr>
            <w:tcW w:type="dxa" w:w="2800"/>
            <w:shd w:fill="F2F4F7"/>
            <w:vAlign w:val="center"/>
            <w:tcMar>
              <w:top w:w="80" w:type="dxa"/>
              <w:bottom w:w="80" w:type="dxa"/>
              <w:start w:w="120" w:type="dxa"/>
              <w:end w:w="120" w:type="dxa"/>
            </w:tcMar>
          </w:tcPr>
          <w:p>
            <w:pPr>
              <w:spacing w:after="0"/>
              <w:jc w:val="left"/>
            </w:pPr>
            <w:r>
              <w:rPr>
                <w:rFonts w:ascii="Calibri" w:hAnsi="Calibri"/>
                <w:b/>
                <w:color w:val="0B2545"/>
                <w:sz w:val="16"/>
              </w:rPr>
              <w:t>Work</w:t>
            </w:r>
          </w:p>
        </w:tc>
        <w:tc>
          <w:tcPr>
            <w:tcW w:type="dxa" w:w="5860"/>
            <w:shd w:fill="F2F4F7"/>
            <w:vAlign w:val="center"/>
            <w:tcMar>
              <w:top w:w="80" w:type="dxa"/>
              <w:bottom w:w="80" w:type="dxa"/>
              <w:start w:w="120" w:type="dxa"/>
              <w:end w:w="120" w:type="dxa"/>
            </w:tcMar>
          </w:tcPr>
          <w:p>
            <w:pPr>
              <w:spacing w:after="0"/>
              <w:jc w:val="left"/>
            </w:pPr>
            <w:r>
              <w:rPr>
                <w:rFonts w:ascii="Calibri" w:hAnsi="Calibri"/>
                <w:b/>
                <w:color w:val="0B2545"/>
                <w:sz w:val="16"/>
              </w:rPr>
              <w:t>Why it matters</w:t>
            </w:r>
          </w:p>
        </w:tc>
      </w:tr>
      <w:tr>
        <w:tc>
          <w:tcPr>
            <w:tcW w:type="dxa" w:w="700"/>
            <w:vAlign w:val="center"/>
            <w:tcMar>
              <w:top w:w="80" w:type="dxa"/>
              <w:bottom w:w="80" w:type="dxa"/>
              <w:start w:w="120" w:type="dxa"/>
              <w:end w:w="120" w:type="dxa"/>
            </w:tcMar>
          </w:tcPr>
          <w:p>
            <w:pPr>
              <w:spacing w:after="0" w:line="252" w:lineRule="auto"/>
            </w:pPr>
            <w:r>
              <w:rPr>
                <w:rFonts w:ascii="Calibri" w:hAnsi="Calibri"/>
                <w:sz w:val="16"/>
              </w:rPr>
              <w:t>1</w:t>
            </w:r>
          </w:p>
        </w:tc>
        <w:tc>
          <w:tcPr>
            <w:tcW w:type="dxa" w:w="2800"/>
            <w:vAlign w:val="center"/>
            <w:tcMar>
              <w:top w:w="80" w:type="dxa"/>
              <w:bottom w:w="80" w:type="dxa"/>
              <w:start w:w="120" w:type="dxa"/>
              <w:end w:w="120" w:type="dxa"/>
            </w:tcMar>
          </w:tcPr>
          <w:p>
            <w:pPr>
              <w:spacing w:after="0" w:line="252" w:lineRule="auto"/>
            </w:pPr>
            <w:r>
              <w:rPr>
                <w:rFonts w:ascii="Calibri" w:hAnsi="Calibri"/>
                <w:sz w:val="16"/>
              </w:rPr>
              <w:t>Merge evidence archive</w:t>
            </w:r>
          </w:p>
        </w:tc>
        <w:tc>
          <w:tcPr>
            <w:tcW w:type="dxa" w:w="5860"/>
            <w:vAlign w:val="center"/>
            <w:tcMar>
              <w:top w:w="80" w:type="dxa"/>
              <w:bottom w:w="80" w:type="dxa"/>
              <w:start w:w="120" w:type="dxa"/>
              <w:end w:w="120" w:type="dxa"/>
            </w:tcMar>
          </w:tcPr>
          <w:p>
            <w:pPr>
              <w:spacing w:after="0" w:line="252" w:lineRule="auto"/>
            </w:pPr>
            <w:r>
              <w:rPr>
                <w:rFonts w:ascii="Calibri" w:hAnsi="Calibri"/>
                <w:sz w:val="16"/>
              </w:rPr>
              <w:t>Completed in PR #628; preserves audit trail separately from report edits.</w:t>
            </w:r>
          </w:p>
        </w:tc>
      </w:tr>
      <w:tr>
        <w:tc>
          <w:tcPr>
            <w:tcW w:type="dxa" w:w="700"/>
            <w:vAlign w:val="center"/>
            <w:tcMar>
              <w:top w:w="80" w:type="dxa"/>
              <w:bottom w:w="80" w:type="dxa"/>
              <w:start w:w="120" w:type="dxa"/>
              <w:end w:w="120" w:type="dxa"/>
            </w:tcMar>
          </w:tcPr>
          <w:p>
            <w:pPr>
              <w:spacing w:after="0" w:line="252" w:lineRule="auto"/>
            </w:pPr>
            <w:r>
              <w:rPr>
                <w:rFonts w:ascii="Calibri" w:hAnsi="Calibri"/>
                <w:sz w:val="16"/>
              </w:rPr>
              <w:t>2</w:t>
            </w:r>
          </w:p>
        </w:tc>
        <w:tc>
          <w:tcPr>
            <w:tcW w:type="dxa" w:w="2800"/>
            <w:vAlign w:val="center"/>
            <w:tcMar>
              <w:top w:w="80" w:type="dxa"/>
              <w:bottom w:w="80" w:type="dxa"/>
              <w:start w:w="120" w:type="dxa"/>
              <w:end w:w="120" w:type="dxa"/>
            </w:tcMar>
          </w:tcPr>
          <w:p>
            <w:pPr>
              <w:spacing w:after="0" w:line="252" w:lineRule="auto"/>
            </w:pPr>
            <w:r>
              <w:rPr>
                <w:rFonts w:ascii="Calibri" w:hAnsi="Calibri"/>
                <w:sz w:val="16"/>
              </w:rPr>
              <w:t>Publish corrected report v2</w:t>
            </w:r>
          </w:p>
        </w:tc>
        <w:tc>
          <w:tcPr>
            <w:tcW w:type="dxa" w:w="5860"/>
            <w:vAlign w:val="center"/>
            <w:tcMar>
              <w:top w:w="80" w:type="dxa"/>
              <w:bottom w:w="80" w:type="dxa"/>
              <w:start w:w="120" w:type="dxa"/>
              <w:end w:w="120" w:type="dxa"/>
            </w:tcMar>
          </w:tcPr>
          <w:p>
            <w:pPr>
              <w:spacing w:after="0" w:line="252" w:lineRule="auto"/>
            </w:pPr>
            <w:r>
              <w:rPr>
                <w:rFonts w:ascii="Calibri" w:hAnsi="Calibri"/>
                <w:sz w:val="16"/>
              </w:rPr>
              <w:t>This artifact makes the business-facing report safe for controlled external discussions.</w:t>
            </w:r>
          </w:p>
        </w:tc>
      </w:tr>
      <w:tr>
        <w:tc>
          <w:tcPr>
            <w:tcW w:type="dxa" w:w="700"/>
            <w:vAlign w:val="center"/>
            <w:tcMar>
              <w:top w:w="80" w:type="dxa"/>
              <w:bottom w:w="80" w:type="dxa"/>
              <w:start w:w="120" w:type="dxa"/>
              <w:end w:w="120" w:type="dxa"/>
            </w:tcMar>
          </w:tcPr>
          <w:p>
            <w:pPr>
              <w:spacing w:after="0" w:line="252" w:lineRule="auto"/>
            </w:pPr>
            <w:r>
              <w:rPr>
                <w:rFonts w:ascii="Calibri" w:hAnsi="Calibri"/>
                <w:sz w:val="16"/>
              </w:rPr>
              <w:t>3</w:t>
            </w:r>
          </w:p>
        </w:tc>
        <w:tc>
          <w:tcPr>
            <w:tcW w:type="dxa" w:w="2800"/>
            <w:vAlign w:val="center"/>
            <w:tcMar>
              <w:top w:w="80" w:type="dxa"/>
              <w:bottom w:w="80" w:type="dxa"/>
              <w:start w:w="120" w:type="dxa"/>
              <w:end w:w="120" w:type="dxa"/>
            </w:tcMar>
          </w:tcPr>
          <w:p>
            <w:pPr>
              <w:spacing w:after="0" w:line="252" w:lineRule="auto"/>
            </w:pPr>
            <w:r>
              <w:rPr>
                <w:rFonts w:ascii="Calibri" w:hAnsi="Calibri"/>
                <w:sz w:val="16"/>
              </w:rPr>
              <w:t>Monitoring workflow integration</w:t>
            </w:r>
          </w:p>
        </w:tc>
        <w:tc>
          <w:tcPr>
            <w:tcW w:type="dxa" w:w="5860"/>
            <w:vAlign w:val="center"/>
            <w:tcMar>
              <w:top w:w="80" w:type="dxa"/>
              <w:bottom w:w="80" w:type="dxa"/>
              <w:start w:w="120" w:type="dxa"/>
              <w:end w:w="120" w:type="dxa"/>
            </w:tcMar>
          </w:tcPr>
          <w:p>
            <w:pPr>
              <w:spacing w:after="0" w:line="252" w:lineRule="auto"/>
            </w:pPr>
            <w:r>
              <w:rPr>
                <w:rFonts w:ascii="Calibri" w:hAnsi="Calibri"/>
                <w:sz w:val="16"/>
              </w:rPr>
              <w:t>Move beyond list cleanup into Agents visibility, alerts linkage, and workflow actions.</w:t>
            </w:r>
          </w:p>
        </w:tc>
      </w:tr>
      <w:tr>
        <w:tc>
          <w:tcPr>
            <w:tcW w:type="dxa" w:w="700"/>
            <w:vAlign w:val="center"/>
            <w:tcMar>
              <w:top w:w="80" w:type="dxa"/>
              <w:bottom w:w="80" w:type="dxa"/>
              <w:start w:w="120" w:type="dxa"/>
              <w:end w:w="120" w:type="dxa"/>
            </w:tcMar>
          </w:tcPr>
          <w:p>
            <w:pPr>
              <w:spacing w:after="0" w:line="252" w:lineRule="auto"/>
            </w:pPr>
            <w:r>
              <w:rPr>
                <w:rFonts w:ascii="Calibri" w:hAnsi="Calibri"/>
                <w:sz w:val="16"/>
              </w:rPr>
              <w:t>4</w:t>
            </w:r>
          </w:p>
        </w:tc>
        <w:tc>
          <w:tcPr>
            <w:tcW w:type="dxa" w:w="2800"/>
            <w:vAlign w:val="center"/>
            <w:tcMar>
              <w:top w:w="80" w:type="dxa"/>
              <w:bottom w:w="80" w:type="dxa"/>
              <w:start w:w="120" w:type="dxa"/>
              <w:end w:w="120" w:type="dxa"/>
            </w:tcMar>
          </w:tcPr>
          <w:p>
            <w:pPr>
              <w:spacing w:after="0" w:line="252" w:lineRule="auto"/>
            </w:pPr>
            <w:r>
              <w:rPr>
                <w:rFonts w:ascii="Calibri" w:hAnsi="Calibri"/>
                <w:sz w:val="16"/>
              </w:rPr>
              <w:t>Provider production validation</w:t>
            </w:r>
          </w:p>
        </w:tc>
        <w:tc>
          <w:tcPr>
            <w:tcW w:type="dxa" w:w="5860"/>
            <w:vAlign w:val="center"/>
            <w:tcMar>
              <w:top w:w="80" w:type="dxa"/>
              <w:bottom w:w="80" w:type="dxa"/>
              <w:start w:w="120" w:type="dxa"/>
              <w:end w:w="120" w:type="dxa"/>
            </w:tcMar>
          </w:tcPr>
          <w:p>
            <w:pPr>
              <w:spacing w:after="0" w:line="252" w:lineRule="auto"/>
            </w:pPr>
            <w:r>
              <w:rPr>
                <w:rFonts w:ascii="Calibri" w:hAnsi="Calibri"/>
                <w:sz w:val="16"/>
              </w:rPr>
              <w:t>Configure CA Production workspace and run controlled validation only.</w:t>
            </w:r>
          </w:p>
        </w:tc>
      </w:tr>
      <w:tr>
        <w:tc>
          <w:tcPr>
            <w:tcW w:type="dxa" w:w="700"/>
            <w:vAlign w:val="center"/>
            <w:tcMar>
              <w:top w:w="80" w:type="dxa"/>
              <w:bottom w:w="80" w:type="dxa"/>
              <w:start w:w="120" w:type="dxa"/>
              <w:end w:w="120" w:type="dxa"/>
            </w:tcMar>
          </w:tcPr>
          <w:p>
            <w:pPr>
              <w:spacing w:after="0" w:line="252" w:lineRule="auto"/>
            </w:pPr>
            <w:r>
              <w:rPr>
                <w:rFonts w:ascii="Calibri" w:hAnsi="Calibri"/>
                <w:sz w:val="16"/>
              </w:rPr>
              <w:t>5</w:t>
            </w:r>
          </w:p>
        </w:tc>
        <w:tc>
          <w:tcPr>
            <w:tcW w:type="dxa" w:w="2800"/>
            <w:vAlign w:val="center"/>
            <w:tcMar>
              <w:top w:w="80" w:type="dxa"/>
              <w:bottom w:w="80" w:type="dxa"/>
              <w:start w:w="120" w:type="dxa"/>
              <w:end w:w="120" w:type="dxa"/>
            </w:tcMar>
          </w:tcPr>
          <w:p>
            <w:pPr>
              <w:spacing w:after="0" w:line="252" w:lineRule="auto"/>
            </w:pPr>
            <w:r>
              <w:rPr>
                <w:rFonts w:ascii="Calibri" w:hAnsi="Calibri"/>
                <w:sz w:val="16"/>
              </w:rPr>
              <w:t>Pilot scope matrix</w:t>
            </w:r>
          </w:p>
        </w:tc>
        <w:tc>
          <w:tcPr>
            <w:tcW w:type="dxa" w:w="5860"/>
            <w:vAlign w:val="center"/>
            <w:tcMar>
              <w:top w:w="80" w:type="dxa"/>
              <w:bottom w:w="80" w:type="dxa"/>
              <w:start w:w="120" w:type="dxa"/>
              <w:end w:w="120" w:type="dxa"/>
            </w:tcMar>
          </w:tcPr>
          <w:p>
            <w:pPr>
              <w:spacing w:after="0" w:line="252" w:lineRule="auto"/>
            </w:pPr>
            <w:r>
              <w:rPr>
                <w:rFonts w:ascii="Calibri" w:hAnsi="Calibri"/>
                <w:sz w:val="16"/>
              </w:rPr>
              <w:t>Define which surfaces and controls are in or out for a paid pilot.</w:t>
            </w:r>
          </w:p>
        </w:tc>
      </w:tr>
      <w:tr>
        <w:tc>
          <w:tcPr>
            <w:tcW w:type="dxa" w:w="700"/>
            <w:vAlign w:val="center"/>
            <w:tcMar>
              <w:top w:w="80" w:type="dxa"/>
              <w:bottom w:w="80" w:type="dxa"/>
              <w:start w:w="120" w:type="dxa"/>
              <w:end w:w="120" w:type="dxa"/>
            </w:tcMar>
          </w:tcPr>
          <w:p>
            <w:pPr>
              <w:spacing w:after="0" w:line="252" w:lineRule="auto"/>
            </w:pPr>
            <w:r>
              <w:rPr>
                <w:rFonts w:ascii="Calibri" w:hAnsi="Calibri"/>
                <w:sz w:val="16"/>
              </w:rPr>
              <w:t>6</w:t>
            </w:r>
          </w:p>
        </w:tc>
        <w:tc>
          <w:tcPr>
            <w:tcW w:type="dxa" w:w="2800"/>
            <w:vAlign w:val="center"/>
            <w:tcMar>
              <w:top w:w="80" w:type="dxa"/>
              <w:bottom w:w="80" w:type="dxa"/>
              <w:start w:w="120" w:type="dxa"/>
              <w:end w:w="120" w:type="dxa"/>
            </w:tcMar>
          </w:tcPr>
          <w:p>
            <w:pPr>
              <w:spacing w:after="0" w:line="252" w:lineRule="auto"/>
            </w:pPr>
            <w:r>
              <w:rPr>
                <w:rFonts w:ascii="Calibri" w:hAnsi="Calibri"/>
                <w:sz w:val="16"/>
              </w:rPr>
              <w:t>Final Go/No-Go</w:t>
            </w:r>
          </w:p>
        </w:tc>
        <w:tc>
          <w:tcPr>
            <w:tcW w:type="dxa" w:w="5860"/>
            <w:vAlign w:val="center"/>
            <w:tcMar>
              <w:top w:w="80" w:type="dxa"/>
              <w:bottom w:w="80" w:type="dxa"/>
              <w:start w:w="120" w:type="dxa"/>
              <w:end w:w="120" w:type="dxa"/>
            </w:tcMar>
          </w:tcPr>
          <w:p>
            <w:pPr>
              <w:spacing w:after="0" w:line="252" w:lineRule="auto"/>
            </w:pPr>
            <w:r>
              <w:rPr>
                <w:rFonts w:ascii="Calibri" w:hAnsi="Calibri"/>
                <w:sz w:val="16"/>
              </w:rPr>
              <w:t>Run final cross-module smoke/E2E and produce a release decision pack.</w:t>
            </w:r>
          </w:p>
        </w:tc>
      </w:tr>
    </w:tbl>
    <w:p>
      <w:pPr>
        <w:spacing w:before="0" w:after="80" w:line="264" w:lineRule="auto"/>
      </w:pPr>
    </w:p>
    <w:p>
      <w:pPr>
        <w:pStyle w:val="Heading1"/>
        <w:keepNext/>
        <w:spacing w:before="320" w:after="160"/>
      </w:pPr>
      <w:r>
        <w:rPr>
          <w:rFonts w:ascii="Calibri" w:hAnsi="Calibri"/>
          <w:b/>
          <w:color w:val="2E74B5"/>
          <w:sz w:val="32"/>
        </w:rPr>
        <w:t>11. Co-Founder Verdict</w:t>
      </w:r>
    </w:p>
    <w:tbl>
      <w:tblGrid>
        <w:gridCol w:w="9360"/>
      </w:tblGrid>
      <w:tblPr>
        <w:tblW w:type="dxa" w:w="9360"/>
        <w:jc w:val="left"/>
        <w:tblLayout w:type="fixed"/>
        <w:tblLook w:firstColumn="1" w:firstRow="1" w:lastColumn="0" w:lastRow="0" w:noHBand="0" w:noVBand="1" w:val="04A0"/>
        <w:tblInd w:w="120" w:type="dxa"/>
      </w:tblPr>
      <w:tr>
        <w:tc>
          <w:tcPr>
            <w:tcW w:type="dxa" w:w="9360"/>
            <w:vAlign w:val="center"/>
            <w:tcMar>
              <w:top w:w="80" w:type="dxa"/>
              <w:bottom w:w="80" w:type="dxa"/>
              <w:start w:w="120" w:type="dxa"/>
              <w:end w:w="120" w:type="dxa"/>
            </w:tcMar>
            <w:shd w:fill="F4F6F9"/>
          </w:tcPr>
          <w:p>
            <w:pPr>
              <w:spacing w:before="0" w:after="0"/>
            </w:pPr>
            <w:r>
              <w:rPr>
                <w:rFonts w:ascii="Calibri" w:hAnsi="Calibri"/>
                <w:b/>
                <w:color w:val="0B2545"/>
                <w:sz w:val="21"/>
              </w:rPr>
              <w:t xml:space="preserve">Business-facing verdict: </w:t>
            </w:r>
            <w:r>
              <w:rPr>
                <w:rFonts w:ascii="Calibri" w:hAnsi="Calibri"/>
                <w:color w:val="0B2545"/>
                <w:sz w:val="21"/>
              </w:rPr>
              <w:t>Strong progress. RegMind has enough validated control evidence to support serious controlled pilot conversations, provided the limitations remain explicit and unsupported modules are not overclaimed.</w:t>
            </w:r>
          </w:p>
        </w:tc>
      </w:tr>
    </w:tbl>
    <w:p>
      <w:pPr>
        <w:spacing w:before="0" w:after="80" w:line="264" w:lineRule="auto"/>
      </w:pPr>
    </w:p>
    <w:tbl>
      <w:tblGrid>
        <w:gridCol w:w="9360"/>
      </w:tblGrid>
      <w:tblPr>
        <w:tblW w:type="dxa" w:w="9360"/>
        <w:jc w:val="left"/>
        <w:tblLayout w:type="fixed"/>
        <w:tblLook w:firstColumn="1" w:firstRow="1" w:lastColumn="0" w:lastRow="0" w:noHBand="0" w:noVBand="1" w:val="04A0"/>
        <w:tblInd w:w="120" w:type="dxa"/>
      </w:tblPr>
      <w:tr>
        <w:tc>
          <w:tcPr>
            <w:tcW w:type="dxa" w:w="9360"/>
            <w:vAlign w:val="center"/>
            <w:tcMar>
              <w:top w:w="80" w:type="dxa"/>
              <w:bottom w:w="80" w:type="dxa"/>
              <w:start w:w="120" w:type="dxa"/>
              <w:end w:w="120" w:type="dxa"/>
            </w:tcMar>
            <w:shd w:fill="FCE4E4"/>
          </w:tcPr>
          <w:p>
            <w:pPr>
              <w:spacing w:before="0" w:after="0"/>
            </w:pPr>
            <w:r>
              <w:rPr>
                <w:rFonts w:ascii="Calibri" w:hAnsi="Calibri"/>
                <w:b/>
                <w:color w:val="0B2545"/>
                <w:sz w:val="21"/>
              </w:rPr>
              <w:t xml:space="preserve">Risk note: </w:t>
            </w:r>
            <w:r>
              <w:rPr>
                <w:rFonts w:ascii="Calibri" w:hAnsi="Calibri"/>
                <w:color w:val="0B2545"/>
                <w:sz w:val="21"/>
              </w:rPr>
              <w:t>Do not treat closed PR volume as production readiness. Monitoring workflow integration, CA production validation, pilot scope governance, and final Go/No-Go remain required before uncontrolled client rollout.</w:t>
            </w:r>
          </w:p>
        </w:tc>
      </w:tr>
    </w:tbl>
    <w:p>
      <w:pPr>
        <w:spacing w:before="0" w:after="80" w:line="264" w:lineRule="auto"/>
      </w:pPr>
    </w:p>
    <w:p>
      <w:pPr>
        <w:pStyle w:val="Heading1"/>
        <w:keepNext/>
        <w:spacing w:before="320" w:after="160"/>
      </w:pPr>
      <w:r>
        <w:rPr>
          <w:rFonts w:ascii="Calibri" w:hAnsi="Calibri"/>
          <w:b/>
          <w:color w:val="2E74B5"/>
          <w:sz w:val="32"/>
        </w:rPr>
        <w:t>Appendix A - Verdict Definitions</w:t>
      </w:r>
    </w:p>
    <w:tbl>
      <w:tblGrid>
        <w:gridCol w:w="2200"/>
        <w:gridCol w:w="7160"/>
      </w:tblGrid>
      <w:tblPr>
        <w:tblStyle w:val="TableGrid"/>
        <w:tblW w:type="dxa" w:w="9360"/>
        <w:jc w:val="left"/>
        <w:tblLayout w:type="fixed"/>
        <w:tblLook w:firstColumn="1" w:firstRow="1" w:lastColumn="0" w:lastRow="0" w:noHBand="0" w:noVBand="1" w:val="04A0"/>
        <w:tblInd w:w="120" w:type="dxa"/>
      </w:tblPr>
      <w:tr>
        <w:tc>
          <w:tcPr>
            <w:tcW w:type="dxa" w:w="2200"/>
            <w:shd w:fill="F2F4F7"/>
            <w:vAlign w:val="center"/>
            <w:tcMar>
              <w:top w:w="80" w:type="dxa"/>
              <w:bottom w:w="80" w:type="dxa"/>
              <w:start w:w="120" w:type="dxa"/>
              <w:end w:w="120" w:type="dxa"/>
            </w:tcMar>
          </w:tcPr>
          <w:p>
            <w:pPr>
              <w:spacing w:after="0"/>
              <w:jc w:val="left"/>
            </w:pPr>
            <w:r>
              <w:rPr>
                <w:rFonts w:ascii="Calibri" w:hAnsi="Calibri"/>
                <w:b/>
                <w:color w:val="0B2545"/>
                <w:sz w:val="17"/>
              </w:rPr>
              <w:t>Verdict</w:t>
            </w:r>
          </w:p>
        </w:tc>
        <w:tc>
          <w:tcPr>
            <w:tcW w:type="dxa" w:w="7160"/>
            <w:shd w:fill="F2F4F7"/>
            <w:vAlign w:val="center"/>
            <w:tcMar>
              <w:top w:w="80" w:type="dxa"/>
              <w:bottom w:w="80" w:type="dxa"/>
              <w:start w:w="120" w:type="dxa"/>
              <w:end w:w="120" w:type="dxa"/>
            </w:tcMar>
          </w:tcPr>
          <w:p>
            <w:pPr>
              <w:spacing w:after="0"/>
              <w:jc w:val="left"/>
            </w:pPr>
            <w:r>
              <w:rPr>
                <w:rFonts w:ascii="Calibri" w:hAnsi="Calibri"/>
                <w:b/>
                <w:color w:val="0B2545"/>
                <w:sz w:val="17"/>
              </w:rPr>
              <w:t>Meaning</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7"/>
              </w:rPr>
              <w:t>PASS</w:t>
            </w:r>
          </w:p>
        </w:tc>
        <w:tc>
          <w:tcPr>
            <w:tcW w:type="dxa" w:w="7160"/>
            <w:vAlign w:val="center"/>
            <w:tcMar>
              <w:top w:w="80" w:type="dxa"/>
              <w:bottom w:w="80" w:type="dxa"/>
              <w:start w:w="120" w:type="dxa"/>
              <w:end w:w="120" w:type="dxa"/>
            </w:tcMar>
          </w:tcPr>
          <w:p>
            <w:pPr>
              <w:spacing w:after="0" w:line="252" w:lineRule="auto"/>
            </w:pPr>
            <w:r>
              <w:rPr>
                <w:rFonts w:ascii="Calibri" w:hAnsi="Calibri"/>
                <w:sz w:val="17"/>
              </w:rPr>
              <w:t>Merged/deployed/validated with no material limitation.</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7"/>
              </w:rPr>
              <w:t>PASS WITH LIMITATION</w:t>
            </w:r>
          </w:p>
        </w:tc>
        <w:tc>
          <w:tcPr>
            <w:tcW w:type="dxa" w:w="7160"/>
            <w:vAlign w:val="center"/>
            <w:tcMar>
              <w:top w:w="80" w:type="dxa"/>
              <w:bottom w:w="80" w:type="dxa"/>
              <w:start w:w="120" w:type="dxa"/>
              <w:end w:w="120" w:type="dxa"/>
            </w:tcMar>
          </w:tcPr>
          <w:p>
            <w:pPr>
              <w:spacing w:after="0" w:line="252" w:lineRule="auto"/>
            </w:pPr>
            <w:r>
              <w:rPr>
                <w:rFonts w:ascii="Calibri" w:hAnsi="Calibri"/>
                <w:sz w:val="17"/>
              </w:rPr>
              <w:t>Core behavior passed, but one scoped test condition or data state was unavailable or synthetically validated.</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7"/>
              </w:rPr>
              <w:t>PASS WITH VALIDATION LIMITATION</w:t>
            </w:r>
          </w:p>
        </w:tc>
        <w:tc>
          <w:tcPr>
            <w:tcW w:type="dxa" w:w="7160"/>
            <w:vAlign w:val="center"/>
            <w:tcMar>
              <w:top w:w="80" w:type="dxa"/>
              <w:bottom w:w="80" w:type="dxa"/>
              <w:start w:w="120" w:type="dxa"/>
              <w:end w:w="120" w:type="dxa"/>
            </w:tcMar>
          </w:tcPr>
          <w:p>
            <w:pPr>
              <w:spacing w:after="0" w:line="252" w:lineRule="auto"/>
            </w:pPr>
            <w:r>
              <w:rPr>
                <w:rFonts w:ascii="Calibri" w:hAnsi="Calibri"/>
                <w:sz w:val="17"/>
              </w:rPr>
              <w:t>Core behavior passed, but validation occurred on a newer deployed SHA, synthetic branch, read-only fixture, or otherwise limited evidence path.</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7"/>
              </w:rPr>
              <w:t>FAIL / fix needed</w:t>
            </w:r>
          </w:p>
        </w:tc>
        <w:tc>
          <w:tcPr>
            <w:tcW w:type="dxa" w:w="7160"/>
            <w:vAlign w:val="center"/>
            <w:tcMar>
              <w:top w:w="80" w:type="dxa"/>
              <w:bottom w:w="80" w:type="dxa"/>
              <w:start w:w="120" w:type="dxa"/>
              <w:end w:w="120" w:type="dxa"/>
            </w:tcMar>
          </w:tcPr>
          <w:p>
            <w:pPr>
              <w:spacing w:after="0" w:line="252" w:lineRule="auto"/>
            </w:pPr>
            <w:r>
              <w:rPr>
                <w:rFonts w:ascii="Calibri" w:hAnsi="Calibri"/>
                <w:sz w:val="17"/>
              </w:rPr>
              <w:t>A material defect or gap was found requiring a follow-up PR.</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7"/>
              </w:rPr>
              <w:t>BLOCKER</w:t>
            </w:r>
          </w:p>
        </w:tc>
        <w:tc>
          <w:tcPr>
            <w:tcW w:type="dxa" w:w="7160"/>
            <w:vAlign w:val="center"/>
            <w:tcMar>
              <w:top w:w="80" w:type="dxa"/>
              <w:bottom w:w="80" w:type="dxa"/>
              <w:start w:w="120" w:type="dxa"/>
              <w:end w:w="120" w:type="dxa"/>
            </w:tcMar>
          </w:tcPr>
          <w:p>
            <w:pPr>
              <w:spacing w:after="0" w:line="252" w:lineRule="auto"/>
            </w:pPr>
            <w:r>
              <w:rPr>
                <w:rFonts w:ascii="Calibri" w:hAnsi="Calibri"/>
                <w:sz w:val="17"/>
              </w:rPr>
              <w:t>Unsafe or unusable behavior that should stop rollout until fixed.</w:t>
            </w:r>
          </w:p>
        </w:tc>
      </w:tr>
      <w:tr>
        <w:tc>
          <w:tcPr>
            <w:tcW w:type="dxa" w:w="2200"/>
            <w:vAlign w:val="center"/>
            <w:tcMar>
              <w:top w:w="80" w:type="dxa"/>
              <w:bottom w:w="80" w:type="dxa"/>
              <w:start w:w="120" w:type="dxa"/>
              <w:end w:w="120" w:type="dxa"/>
            </w:tcMar>
          </w:tcPr>
          <w:p>
            <w:pPr>
              <w:spacing w:after="0" w:line="252" w:lineRule="auto"/>
            </w:pPr>
            <w:r>
              <w:rPr>
                <w:rFonts w:ascii="Calibri" w:hAnsi="Calibri"/>
                <w:sz w:val="17"/>
              </w:rPr>
              <w:t>audit-only</w:t>
            </w:r>
          </w:p>
        </w:tc>
        <w:tc>
          <w:tcPr>
            <w:tcW w:type="dxa" w:w="7160"/>
            <w:vAlign w:val="center"/>
            <w:tcMar>
              <w:top w:w="80" w:type="dxa"/>
              <w:bottom w:w="80" w:type="dxa"/>
              <w:start w:w="120" w:type="dxa"/>
              <w:end w:w="120" w:type="dxa"/>
            </w:tcMar>
          </w:tcPr>
          <w:p>
            <w:pPr>
              <w:spacing w:after="0" w:line="252" w:lineRule="auto"/>
            </w:pPr>
            <w:r>
              <w:rPr>
                <w:rFonts w:ascii="Calibri" w:hAnsi="Calibri"/>
                <w:sz w:val="17"/>
              </w:rPr>
              <w:t>GitHub metadata or static evidence was reviewed, but direct closure evidence was not located in this reconciliation pass.</w:t>
            </w:r>
          </w:p>
        </w:tc>
      </w:tr>
    </w:tbl>
    <w:p>
      <w:pPr>
        <w:spacing w:before="0" w:after="80" w:line="264" w:lineRule="auto"/>
      </w:pPr>
    </w:p>
    <w:p>
      <w:pPr>
        <w:pStyle w:val="Heading1"/>
        <w:keepNext/>
        <w:spacing w:before="320" w:after="160"/>
      </w:pPr>
      <w:r>
        <w:rPr>
          <w:rFonts w:ascii="Calibri" w:hAnsi="Calibri"/>
          <w:b/>
          <w:color w:val="2E74B5"/>
          <w:sz w:val="32"/>
        </w:rPr>
        <w:t>Appendix B - Evidence Archive</w:t>
      </w:r>
    </w:p>
    <w:p>
      <w:pPr>
        <w:spacing w:before="0" w:after="120" w:line="264" w:lineRule="auto"/>
      </w:pPr>
      <w:r>
        <w:rPr>
          <w:rFonts w:ascii="Calibri" w:hAnsi="Calibri"/>
          <w:b w:val="0"/>
          <w:sz w:val="22"/>
        </w:rPr>
        <w:t>The reconciliation evidence archive is committed under docs/remediation/reconciliation/2026-06/ by PR #628. The key files are:</w:t>
      </w:r>
    </w:p>
    <w:p>
      <w:pPr>
        <w:pStyle w:val="ListBullet"/>
        <w:spacing w:after="160" w:line="280" w:lineRule="auto"/>
      </w:pPr>
      <w:r>
        <w:rPr>
          <w:rFonts w:ascii="Calibri" w:hAnsi="Calibri"/>
          <w:sz w:val="22"/>
        </w:rPr>
        <w:t>RegMind_Full_Remediation_Report_Reconciliation_Findings.md</w:t>
      </w:r>
    </w:p>
    <w:p>
      <w:pPr>
        <w:pStyle w:val="ListBullet"/>
        <w:spacing w:after="160" w:line="280" w:lineRule="auto"/>
      </w:pPr>
      <w:r>
        <w:rPr>
          <w:rFonts w:ascii="Calibri" w:hAnsi="Calibri"/>
          <w:sz w:val="22"/>
        </w:rPr>
        <w:t>regmind-verified-pr-implementation-register.csv</w:t>
      </w:r>
    </w:p>
    <w:p>
      <w:pPr>
        <w:pStyle w:val="ListBullet"/>
        <w:spacing w:after="160" w:line="280" w:lineRule="auto"/>
      </w:pPr>
      <w:r>
        <w:rPr>
          <w:rFonts w:ascii="Calibri" w:hAnsi="Calibri"/>
          <w:sz w:val="22"/>
        </w:rPr>
        <w:t>regmind-verified-pr-implementation-register.md</w:t>
      </w:r>
    </w:p>
    <w:p>
      <w:pPr>
        <w:pStyle w:val="ListBullet"/>
        <w:spacing w:after="160" w:line="280" w:lineRule="auto"/>
      </w:pPr>
      <w:r>
        <w:rPr>
          <w:rFonts w:ascii="Calibri" w:hAnsi="Calibri"/>
          <w:sz w:val="22"/>
        </w:rPr>
        <w:t>reconciliation-discrepancies.md</w:t>
      </w:r>
    </w:p>
    <w:p>
      <w:pPr>
        <w:pStyle w:val="ListBullet"/>
        <w:spacing w:after="160" w:line="280" w:lineRule="auto"/>
      </w:pPr>
      <w:r>
        <w:rPr>
          <w:rFonts w:ascii="Calibri" w:hAnsi="Calibri"/>
          <w:sz w:val="22"/>
        </w:rPr>
        <w:t>report-claims-table.csv</w:t>
      </w:r>
    </w:p>
    <w:p>
      <w:pPr>
        <w:pStyle w:val="ListBullet"/>
        <w:spacing w:after="160" w:line="280" w:lineRule="auto"/>
      </w:pPr>
      <w:r>
        <w:rPr>
          <w:rFonts w:ascii="Calibri" w:hAnsi="Calibri"/>
          <w:sz w:val="22"/>
        </w:rPr>
        <w:t>github-pr-reconciliation-table.csv</w:t>
      </w:r>
    </w:p>
    <w:p>
      <w:pPr>
        <w:pStyle w:val="ListBullet"/>
        <w:spacing w:after="160" w:line="280" w:lineRule="auto"/>
      </w:pPr>
      <w:r>
        <w:rPr>
          <w:rFonts w:ascii="Calibri" w:hAnsi="Calibri"/>
          <w:sz w:val="22"/>
        </w:rPr>
        <w:t>closure-evidence-reconciliation-table.csv</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F6874"/>
        <w:sz w:val="16"/>
      </w:rPr>
      <w:t>Documentation artifact only - no product code or runtime change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F6874"/>
        <w:sz w:val="16"/>
      </w:rPr>
      <w:t>RegMind Remediation Report v2 | Corrected after GitHub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RegMind Remediation &amp; Validation Report - Corrected v2</dc:title>
  <dc:subject>Corrected June 2026 remediation report after GitHub reconciliation</dc:subject>
  <dc:creator>RegMind reconciliation documentation</dc:creator>
  <cp:keywords>RegMind, remediation, reconciliation, PASS WITH CORRECTIONS</cp:keywords>
  <dc:description>generated by python-docx</dc:description>
  <cp:lastModifiedBy/>
  <cp:revision>1</cp:revision>
  <dcterms:created xsi:type="dcterms:W3CDTF">2013-12-23T23:15:00Z</dcterms:created>
  <dcterms:modified xsi:type="dcterms:W3CDTF">2013-12-23T23:15:00Z</dcterms:modified>
  <cp:category/>
</cp:coreProperties>
</file>