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color w:val="333333"/>
          <w:sz w:val="2"/>
          <w:szCs w:val="2"/>
        </w:rPr>
        <w:t xml:space="preserve"/>
      </w:r>
    </w:p>
    <w:p>
      <w:pPr>
        <w:spacing w:after="60" w:before="60"/>
        <w:jc w:val="center"/>
      </w:pPr>
      <w:r>
        <w:rPr>
          <w:rFonts w:ascii="Arial" w:cs="Arial" w:eastAsia="Arial" w:hAnsi="Arial"/>
          <w:b/>
          <w:bCs/>
          <w:color w:val="DC2626"/>
          <w:sz w:val="20"/>
          <w:szCs w:val="20"/>
        </w:rPr>
        <w:t xml:space="preserve">CONFIDENTIAL</w:t>
      </w:r>
    </w:p>
    <w:p>
      <w:pPr>
        <w:spacing w:after="60" w:before="200"/>
      </w:pPr>
      <w:r>
        <w:rPr>
          <w:rFonts w:ascii="Arial" w:cs="Arial" w:eastAsia="Arial" w:hAnsi="Arial"/>
          <w:color w:val="333333"/>
          <w:sz w:val="2"/>
          <w:szCs w:val="2"/>
        </w:rPr>
        <w:t xml:space="preserve"/>
      </w:r>
    </w:p>
    <w:p>
      <w:pPr>
        <w:spacing w:after="60" w:before="60"/>
        <w:jc w:val="center"/>
      </w:pPr>
      <w:r>
        <w:rPr>
          <w:rFonts w:ascii="Arial" w:cs="Arial" w:eastAsia="Arial" w:hAnsi="Arial"/>
          <w:b/>
          <w:bCs/>
          <w:color w:val="0A2463"/>
          <w:sz w:val="44"/>
          <w:szCs w:val="44"/>
        </w:rPr>
        <w:t xml:space="preserve">REGULATORY COMPLIANCE</w:t>
      </w:r>
    </w:p>
    <w:p>
      <w:pPr>
        <w:spacing w:after="60" w:before="60"/>
        <w:jc w:val="center"/>
      </w:pPr>
      <w:r>
        <w:rPr>
          <w:rFonts w:ascii="Arial" w:cs="Arial" w:eastAsia="Arial" w:hAnsi="Arial"/>
          <w:b/>
          <w:bCs/>
          <w:color w:val="0A2463"/>
          <w:sz w:val="44"/>
          <w:szCs w:val="44"/>
        </w:rPr>
        <w:t xml:space="preserve">ASSESSMENT REPORT</w:t>
      </w:r>
    </w:p>
    <w:p>
      <w:pPr>
        <w:spacing w:after="60" w:before="120"/>
      </w:pPr>
      <w:r>
        <w:rPr>
          <w:rFonts w:ascii="Arial" w:cs="Arial" w:eastAsia="Arial" w:hAnsi="Arial"/>
          <w:color w:val="333333"/>
          <w:sz w:val="2"/>
          <w:szCs w:val="2"/>
        </w:rPr>
        <w:t xml:space="preserve"/>
      </w:r>
    </w:p>
    <w:p>
      <w:pPr>
        <w:spacing w:after="60" w:before="60"/>
        <w:jc w:val="center"/>
      </w:pPr>
      <w:r>
        <w:rPr>
          <w:rFonts w:ascii="Arial" w:cs="Arial" w:eastAsia="Arial" w:hAnsi="Arial"/>
          <w:b/>
          <w:bCs/>
          <w:color w:val="2E75B6"/>
          <w:sz w:val="28"/>
          <w:szCs w:val="28"/>
        </w:rPr>
        <w:t xml:space="preserve">RegMind AI Compliance Platform</w:t>
      </w:r>
    </w:p>
    <w:p>
      <w:pPr>
        <w:spacing w:after="60" w:before="80"/>
      </w:pPr>
      <w:r>
        <w:rPr>
          <w:rFonts w:ascii="Arial" w:cs="Arial" w:eastAsia="Arial" w:hAnsi="Arial"/>
          <w:color w:val="333333"/>
          <w:sz w:val="2"/>
          <w:szCs w:val="2"/>
        </w:rP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Frameworks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FSC AI Guidance (Sep 2025)
Data Protection Act 2017
Cybersecurity Act 2021</w:t>
            </w:r>
          </w:p>
        </w:tc>
      </w:tr>
      <w:tr>
        <w:tc>
          <w:tcPr>
            <w:tcW w:type="dxa" w:w="22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Jurisdiction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Republic of Mauritius</w:t>
            </w:r>
          </w:p>
        </w:tc>
      </w:tr>
      <w:tr>
        <w:tc>
          <w:tcPr>
            <w:tcW w:type="dxa" w:w="22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Date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21 March 2026</w:t>
            </w:r>
          </w:p>
        </w:tc>
      </w:tr>
      <w:tr>
        <w:tc>
          <w:tcPr>
            <w:tcW w:type="dxa" w:w="22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Classification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Confidential</w:t>
            </w:r>
          </w:p>
        </w:tc>
      </w:tr>
      <w:tr>
        <w:tc>
          <w:tcPr>
            <w:tcW w:type="dxa" w:w="22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Version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1.0</w:t>
            </w:r>
          </w:p>
        </w:tc>
      </w:tr>
    </w:tbl>
    <w:p>
      <w:pPr>
        <w:spacing w:after="60" w:before="200"/>
      </w:pPr>
      <w:r>
        <w:rPr>
          <w:rFonts w:ascii="Arial" w:cs="Arial" w:eastAsia="Arial" w:hAnsi="Arial"/>
          <w:color w:val="333333"/>
          <w:sz w:val="2"/>
          <w:szCs w:val="2"/>
        </w:rPr>
        <w:t xml:space="preserve"/>
      </w:r>
    </w:p>
    <w:p>
      <w:pPr>
        <w:spacing w:after="60" w:before="60"/>
        <w:jc w:val="center"/>
      </w:pPr>
      <w:r>
        <w:rPr>
          <w:rFonts w:ascii="Arial" w:cs="Arial" w:eastAsia="Arial" w:hAnsi="Arial"/>
          <w:color w:val="64748B"/>
          <w:sz w:val="22"/>
          <w:szCs w:val="22"/>
        </w:rPr>
        <w:t xml:space="preserve">Prepared for: RegMind Ltd</w:t>
      </w:r>
    </w:p>
    <w:p>
      <w:pPr>
        <w:spacing w:after="60" w:before="60"/>
        <w:jc w:val="center"/>
      </w:pPr>
      <w:r>
        <w:rPr>
          <w:rFonts w:ascii="Arial" w:cs="Arial" w:eastAsia="Arial" w:hAnsi="Arial"/>
          <w:i/>
          <w:iCs/>
          <w:color w:val="64748B"/>
          <w:sz w:val="18"/>
          <w:szCs w:val="18"/>
        </w:rPr>
        <w:t xml:space="preserve">This document contains proprietary information and is intended solely for the addressee.</w:t>
      </w:r>
    </w:p>
    <w:p>
      <w:pPr>
        <w:pStyle w:val="Heading1"/>
        <w:pageBreakBefore/>
        <w:spacing w:after="120" w:before="300"/>
      </w:pPr>
      <w:r>
        <w:rPr>
          <w:rFonts w:ascii="Arial" w:cs="Arial" w:eastAsia="Arial" w:hAnsi="Arial"/>
          <w:b/>
          <w:bCs/>
          <w:color w:val="0A2463"/>
          <w:sz w:val="32"/>
          <w:szCs w:val="32"/>
        </w:rPr>
        <w:t xml:space="preserve">A. Executive Summary</w:t>
      </w:r>
    </w:p>
    <w:p>
      <w:pPr>
        <w:pStyle w:val="Heading2"/>
        <w:spacing w:after="80" w:before="200"/>
      </w:pPr>
      <w:r>
        <w:rPr>
          <w:rFonts w:ascii="Arial" w:cs="Arial" w:eastAsia="Arial" w:hAnsi="Arial"/>
          <w:b/>
          <w:bCs/>
          <w:color w:val="1B2A4A"/>
          <w:sz w:val="26"/>
          <w:szCs w:val="26"/>
        </w:rPr>
        <w:t xml:space="preserve">Overall Compliance Rating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Framework</w:t>
            </w:r>
          </w:p>
        </w:tc>
        <w:tc>
          <w:tcPr>
            <w:tcW w:type="dxa" w:w="30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Rating</w:t>
            </w:r>
          </w:p>
        </w:tc>
        <w:tc>
          <w:tcPr>
            <w:tcW w:type="dxa" w:w="3026"/>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Readiness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FSC AI Guidance (Sep 2025)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Partially Compliant</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Ready with minor fixes</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Data Protection Act 2017</w:t>
            </w:r>
          </w:p>
        </w:tc>
        <w:tc>
          <w:tcPr>
            <w:tcW w:type="dxa" w:w="3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Partially Compliant</w:t>
            </w:r>
          </w:p>
        </w:tc>
        <w:tc>
          <w:tcPr>
            <w:tcW w:type="dxa" w:w="30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Ready with minor fixes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Cybersecurity &amp; Cybercrime Act 2021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Partially Compliant</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Ready with minor fixes</w:t>
            </w:r>
          </w:p>
        </w:tc>
      </w:tr>
    </w:tbl>
    <w:p>
      <w:pPr>
        <w:spacing w:after="60" w:before="80"/>
      </w:pPr>
      <w:r>
        <w:rPr>
          <w:rFonts w:ascii="Arial" w:cs="Arial" w:eastAsia="Arial" w:hAnsi="Arial"/>
          <w:color w:val="333333"/>
          <w:sz w:val="2"/>
          <w:szCs w:val="2"/>
        </w:rPr>
        <w:t xml:space="preserve"/>
      </w:r>
    </w:p>
    <w:p>
      <w:pPr>
        <w:spacing w:after="40" w:before="40"/>
      </w:pPr>
      <w:r>
        <w:rPr>
          <w:rFonts w:ascii="Arial" w:cs="Arial" w:eastAsia="Arial" w:hAnsi="Arial"/>
          <w:color w:val="333333"/>
          <w:sz w:val="21"/>
          <w:szCs w:val="21"/>
        </w:rPr>
        <w:t xml:space="preserve">Aggregate assessment: READY WITH MINOR FIXES. The RegMind platform demonstrates a mature compliance architecture across all three regulatory frameworks. The platform implements substantive technical controls including field-level PII encryption (Fernet), append-only hash-chained audit logging, JWT-based RBAC with bcrypt password hashing, comprehensive human-in-the-loop approval gates, AI output schema validation, prompt injection sanitisation, and a 10-agent supervised AI pipeline with contradiction detection and escalation routing. These controls place the platform well ahead of typical early-stage RegTech deployments. However, specific gaps remain that must be remediated before the platform can confidently withstand FSC, Data Protection Office, or CERT-MU scrutiny.</w:t>
      </w:r>
    </w:p>
    <w:p>
      <w:pPr>
        <w:pStyle w:val="Heading3"/>
        <w:spacing w:after="60" w:before="140"/>
      </w:pPr>
      <w:r>
        <w:rPr>
          <w:rFonts w:ascii="Arial" w:cs="Arial" w:eastAsia="Arial" w:hAnsi="Arial"/>
          <w:b/>
          <w:bCs/>
          <w:color w:val="2E75B6"/>
          <w:sz w:val="23"/>
          <w:szCs w:val="23"/>
        </w:rPr>
        <w:t xml:space="preserve">Key Strengths</w:t>
      </w:r>
    </w:p>
    <w:p>
      <w:pPr>
        <w:pStyle w:val="ListParagraph"/>
        <w:numPr>
          <w:ilvl w:val="0"/>
          <w:numId w:val="2"/>
        </w:numPr>
        <w:spacing w:after="20" w:before="20"/>
      </w:pPr>
      <w:r>
        <w:rPr>
          <w:rFonts w:ascii="Arial" w:cs="Arial" w:eastAsia="Arial" w:hAnsi="Arial"/>
          <w:color w:val="333333"/>
          <w:sz w:val="21"/>
          <w:szCs w:val="21"/>
        </w:rPr>
        <w:t xml:space="preserve">Human-in-the-loop architecture: AI never auto-approves. All compliance decisions require officer review, with dual-approval gates for high-risk cases and mandatory escalation for low-confidence outputs.</w:t>
      </w:r>
    </w:p>
    <w:p>
      <w:pPr>
        <w:pStyle w:val="ListParagraph"/>
        <w:numPr>
          <w:ilvl w:val="0"/>
          <w:numId w:val="2"/>
        </w:numPr>
        <w:spacing w:after="20" w:before="20"/>
      </w:pPr>
      <w:r>
        <w:rPr>
          <w:rFonts w:ascii="Arial" w:cs="Arial" w:eastAsia="Arial" w:hAnsi="Arial"/>
          <w:color w:val="333333"/>
          <w:sz w:val="21"/>
          <w:szCs w:val="21"/>
        </w:rPr>
        <w:t xml:space="preserve">AI Explainability Layer: Structured risk-increasing and risk-decreasing factor separation with weights, decision pathway traceability through 10-agent pipeline, and supervisor contradiction detection with auditable verdicts (CONSISTENT / CONSISTENT_WITH_WARNINGS / INCONSISTENT).</w:t>
      </w:r>
    </w:p>
    <w:p>
      <w:pPr>
        <w:pStyle w:val="ListParagraph"/>
        <w:numPr>
          <w:ilvl w:val="0"/>
          <w:numId w:val="2"/>
        </w:numPr>
        <w:spacing w:after="20" w:before="20"/>
      </w:pPr>
      <w:r>
        <w:rPr>
          <w:rFonts w:ascii="Arial" w:cs="Arial" w:eastAsia="Arial" w:hAnsi="Arial"/>
          <w:color w:val="333333"/>
          <w:sz w:val="21"/>
          <w:szCs w:val="21"/>
        </w:rPr>
        <w:t xml:space="preserve">Security posture: Fernet field-level encryption for PII (passport numbers, nationality, PEP flags), S3 server-side AES-256 encryption, PostgreSQL SSL-required connections, rate limiting, HTML input sanitisation, parameterised SQL queries, and prompt injection detection for LLM inputs.</w:t>
      </w:r>
    </w:p>
    <w:p>
      <w:pPr>
        <w:pStyle w:val="ListParagraph"/>
        <w:numPr>
          <w:ilvl w:val="0"/>
          <w:numId w:val="2"/>
        </w:numPr>
        <w:spacing w:after="20" w:before="20"/>
      </w:pPr>
      <w:r>
        <w:rPr>
          <w:rFonts w:ascii="Arial" w:cs="Arial" w:eastAsia="Arial" w:hAnsi="Arial"/>
          <w:color w:val="333333"/>
          <w:sz w:val="21"/>
          <w:szCs w:val="21"/>
        </w:rPr>
        <w:t xml:space="preserve">Audit trail integrity: Append-only supervisor audit log with SHA-256 hash chain for tamper detection, covering all agent runs, human decisions, overrides, escalations, and rule evaluations. Main audit_log captures all API actions with user identity, role, IP address, and timestamp.</w:t>
      </w:r>
    </w:p>
    <w:p>
      <w:pPr>
        <w:pStyle w:val="ListParagraph"/>
        <w:numPr>
          <w:ilvl w:val="0"/>
          <w:numId w:val="2"/>
        </w:numPr>
        <w:spacing w:after="20" w:before="20"/>
      </w:pPr>
      <w:r>
        <w:rPr>
          <w:rFonts w:ascii="Arial" w:cs="Arial" w:eastAsia="Arial" w:hAnsi="Arial"/>
          <w:color w:val="333333"/>
          <w:sz w:val="21"/>
          <w:szCs w:val="21"/>
        </w:rPr>
        <w:t xml:space="preserve">Data retention compliance: Codified retention policies aligned with regulatory expectations (7 years KYC/application data, 5 years audit logs, 3 years incidents) with S3 lifecycle rules for automated tiering and deletion.</w:t>
      </w:r>
    </w:p>
    <w:p>
      <w:pPr>
        <w:pStyle w:val="Heading3"/>
        <w:spacing w:after="60" w:before="140"/>
      </w:pPr>
      <w:r>
        <w:rPr>
          <w:rFonts w:ascii="Arial" w:cs="Arial" w:eastAsia="Arial" w:hAnsi="Arial"/>
          <w:b/>
          <w:bCs/>
          <w:color w:val="2E75B6"/>
          <w:sz w:val="23"/>
          <w:szCs w:val="23"/>
        </w:rPr>
        <w:t xml:space="preserve">Key Regulatory Risks</w:t>
      </w:r>
    </w:p>
    <w:p>
      <w:pPr>
        <w:pStyle w:val="ListParagraph"/>
        <w:numPr>
          <w:ilvl w:val="0"/>
          <w:numId w:val="2"/>
        </w:numPr>
        <w:spacing w:after="20" w:before="20"/>
      </w:pPr>
      <w:r>
        <w:rPr>
          <w:rFonts w:ascii="Arial" w:cs="Arial" w:eastAsia="Arial" w:hAnsi="Arial"/>
          <w:color w:val="333333"/>
          <w:sz w:val="21"/>
          <w:szCs w:val="21"/>
        </w:rPr>
        <w:t xml:space="preserve">No formal AI Governance Policy document or designated AI Accountability Officer, as required under FSC Principle 3 (Accountability).</w:t>
      </w:r>
    </w:p>
    <w:p>
      <w:pPr>
        <w:pStyle w:val="ListParagraph"/>
        <w:numPr>
          <w:ilvl w:val="0"/>
          <w:numId w:val="2"/>
        </w:numPr>
        <w:spacing w:after="20" w:before="20"/>
      </w:pPr>
      <w:r>
        <w:rPr>
          <w:rFonts w:ascii="Arial" w:cs="Arial" w:eastAsia="Arial" w:hAnsi="Arial"/>
          <w:color w:val="333333"/>
          <w:sz w:val="21"/>
          <w:szCs w:val="21"/>
        </w:rPr>
        <w:t xml:space="preserve">Bias and fairness monitoring is absent: no demographic impact analysis, no disparate treatment detection, no fairness metrics dashboard. This is a gap under FSC Principle 1 (Fairness &amp; Bias Mitigation) and DPA Section 38 (automated decision-making).</w:t>
      </w:r>
    </w:p>
    <w:p>
      <w:pPr>
        <w:pStyle w:val="ListParagraph"/>
        <w:numPr>
          <w:ilvl w:val="0"/>
          <w:numId w:val="2"/>
        </w:numPr>
        <w:spacing w:after="20" w:before="20"/>
      </w:pPr>
      <w:r>
        <w:rPr>
          <w:rFonts w:ascii="Arial" w:cs="Arial" w:eastAsia="Arial" w:hAnsi="Arial"/>
          <w:color w:val="333333"/>
          <w:sz w:val="21"/>
          <w:szCs w:val="21"/>
        </w:rPr>
        <w:t xml:space="preserve">Data subject rights under DPA 2017 are incomplete: no explicit right-to-erasure endpoint, no data portability/export in machine-readable format, and no consent withdrawal mechanism. SAR workflow exists but is limited to regulatory filings.</w:t>
      </w:r>
    </w:p>
    <w:p>
      <w:pPr>
        <w:pStyle w:val="ListParagraph"/>
        <w:numPr>
          <w:ilvl w:val="0"/>
          <w:numId w:val="2"/>
        </w:numPr>
        <w:spacing w:after="20" w:before="20"/>
      </w:pPr>
      <w:r>
        <w:rPr>
          <w:rFonts w:ascii="Arial" w:cs="Arial" w:eastAsia="Arial" w:hAnsi="Arial"/>
          <w:color w:val="333333"/>
          <w:sz w:val="21"/>
          <w:szCs w:val="21"/>
        </w:rPr>
        <w:t xml:space="preserve">No documented Data Protection Impact Assessment (DPIA) for the AI processing pipeline, which is mandatory under the DPA 2017 for high-risk automated processing of personal data.</w:t>
      </w:r>
    </w:p>
    <w:p>
      <w:pPr>
        <w:pStyle w:val="ListParagraph"/>
        <w:numPr>
          <w:ilvl w:val="0"/>
          <w:numId w:val="2"/>
        </w:numPr>
        <w:spacing w:after="20" w:before="20"/>
      </w:pPr>
      <w:r>
        <w:rPr>
          <w:rFonts w:ascii="Arial" w:cs="Arial" w:eastAsia="Arial" w:hAnsi="Arial"/>
          <w:color w:val="333333"/>
          <w:sz w:val="21"/>
          <w:szCs w:val="21"/>
        </w:rPr>
        <w:t xml:space="preserve">Third-party AI vendor risk management for the Anthropic Claude dependency lacks a formal contractual framework, data processing agreement, and documented fallback procedures.</w:t>
      </w:r>
    </w:p>
    <w:p>
      <w:pPr>
        <w:pStyle w:val="ListParagraph"/>
        <w:numPr>
          <w:ilvl w:val="0"/>
          <w:numId w:val="2"/>
        </w:numPr>
        <w:spacing w:after="20" w:before="20"/>
      </w:pPr>
      <w:r>
        <w:rPr>
          <w:rFonts w:ascii="Arial" w:cs="Arial" w:eastAsia="Arial" w:hAnsi="Arial"/>
          <w:color w:val="333333"/>
          <w:sz w:val="21"/>
          <w:szCs w:val="21"/>
        </w:rPr>
        <w:t xml:space="preserve">No formal incident response plan, breach notification procedures, or CERT-MU reporting workflow as required under the Cybersecurity and Cybercrime Act 2021.</w:t>
      </w:r>
    </w:p>
    <w:p>
      <w:pPr>
        <w:pStyle w:val="Heading1"/>
        <w:pageBreakBefore/>
        <w:spacing w:after="120" w:before="300"/>
      </w:pPr>
      <w:r>
        <w:rPr>
          <w:rFonts w:ascii="Arial" w:cs="Arial" w:eastAsia="Arial" w:hAnsi="Arial"/>
          <w:b/>
          <w:bCs/>
          <w:color w:val="0A2463"/>
          <w:sz w:val="32"/>
          <w:szCs w:val="32"/>
        </w:rPr>
        <w:t xml:space="preserve">B. FSC AI Principles Assessment</w:t>
      </w:r>
    </w:p>
    <w:p>
      <w:pPr>
        <w:spacing w:after="40" w:before="40"/>
      </w:pPr>
      <w:r>
        <w:rPr>
          <w:rFonts w:ascii="Arial" w:cs="Arial" w:eastAsia="Arial" w:hAnsi="Arial"/>
          <w:color w:val="333333"/>
          <w:sz w:val="21"/>
          <w:szCs w:val="21"/>
        </w:rPr>
        <w:t xml:space="preserve">This section assesses RegMind against all nine principles of the FSC Guidance Note on Responsible Use of Artificial Intelligence in Financial Services (September 2025). Each principle is evaluated against the platform's actual implementation as verified through source code review.</w:t>
      </w:r>
    </w:p>
    <w:p>
      <w:pPr>
        <w:pStyle w:val="Heading2"/>
        <w:spacing w:after="80" w:before="200"/>
      </w:pPr>
      <w:r>
        <w:rPr>
          <w:rFonts w:ascii="Arial" w:cs="Arial" w:eastAsia="Arial" w:hAnsi="Arial"/>
          <w:b/>
          <w:bCs/>
          <w:color w:val="1B2A4A"/>
          <w:sz w:val="26"/>
          <w:szCs w:val="26"/>
        </w:rPr>
        <w:t xml:space="preserve">Principle 1: Fairness &amp; Bias Mitigation</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Financial institutions must ensure AI systems do not produce discriminatory outcomes. Bias testing, monitoring, and remediation must be embedded in the AI lifecycle. Fairness metrics should be tracked across protected characteristics.</w:t>
      </w:r>
    </w:p>
    <w:p>
      <w:pPr>
        <w:pStyle w:val="Heading3"/>
        <w:spacing w:after="60" w:before="140"/>
      </w:pPr>
      <w:r>
        <w:rPr>
          <w:rFonts w:ascii="Arial" w:cs="Arial" w:eastAsia="Arial" w:hAnsi="Arial"/>
          <w:b/>
          <w:bCs/>
          <w:color w:val="2E75B6"/>
          <w:sz w:val="23"/>
          <w:szCs w:val="23"/>
        </w:rPr>
        <w:t xml:space="preserve">How RegMind Addresses It</w:t>
      </w:r>
    </w:p>
    <w:p>
      <w:pPr>
        <w:spacing w:after="40" w:before="40"/>
      </w:pPr>
      <w:r>
        <w:rPr>
          <w:rFonts w:ascii="Arial" w:cs="Arial" w:eastAsia="Arial" w:hAnsi="Arial"/>
          <w:color w:val="333333"/>
          <w:sz w:val="21"/>
          <w:szCs w:val="21"/>
        </w:rPr>
        <w:t xml:space="preserve">RegMind implements a rules-based risk scoring engine with explicit weighted factors (jurisdiction 0.20, ownership 0.25, business 0.15, fincrime 0.10, transaction 0.10, documentation 0.10, data quality 0.10). All risk factors are derived from objective compliance data (PEP status, jurisdiction classification, document verification status) rather than demographic characteristics. The supervisor layer performs inter-section contradiction detection to identify inconsistencies. The validation engine checks factor classification correctness to prevent misattribution of risk-decreasing factors as risk-increasing.</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D97706"/>
          <w:sz w:val="20"/>
          <w:szCs w:val="20"/>
        </w:rPr>
        <w:t xml:space="preserve">  [Partially Compliant]  </w:t>
      </w:r>
      <w:r>
        <w:rPr>
          <w:rFonts w:ascii="Arial" w:cs="Arial" w:eastAsia="Arial" w:hAnsi="Arial"/>
          <w:b/>
          <w:bCs/>
          <w:color w:val="333333"/>
          <w:sz w:val="20"/>
          <w:szCs w:val="20"/>
        </w:rPr>
        <w:t xml:space="preserve">  Risk Level: </w:t>
      </w:r>
      <w:r>
        <w:rPr>
          <w:rFonts w:ascii="Arial" w:cs="Arial" w:eastAsia="Arial" w:hAnsi="Arial"/>
          <w:b/>
          <w:bCs/>
          <w:color w:val="D97706"/>
          <w:sz w:val="20"/>
          <w:szCs w:val="20"/>
        </w:rPr>
        <w:t xml:space="preserve">  [Medium]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demographic bias testing framework. No fairness metrics tracked across protected characteristics (nationality, gender, ethnicity). No disparate impact analysis on approval/rejection rates by jurisdiction or entity type. No bias remediation workflow. No model bias monitoring dashboard.</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Implement a bias monitoring module that tracks approval/rejection rates by jurisdiction, entity type, and sector. Conduct quarterly disparate impact analyses. Establish a Fairness Review Board. Document bias testing methodology and results.</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Principle 2: Transparency</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AI-driven decisions must be explainable. Institutions should provide clear information about how AI systems operate, what data they use, and how decisions are reached. Decision recipients should understand the basis for outcomes.</w:t>
      </w:r>
    </w:p>
    <w:p>
      <w:pPr>
        <w:pStyle w:val="Heading3"/>
        <w:spacing w:after="60" w:before="140"/>
      </w:pPr>
      <w:r>
        <w:rPr>
          <w:rFonts w:ascii="Arial" w:cs="Arial" w:eastAsia="Arial" w:hAnsi="Arial"/>
          <w:b/>
          <w:bCs/>
          <w:color w:val="2E75B6"/>
          <w:sz w:val="23"/>
          <w:szCs w:val="23"/>
        </w:rPr>
        <w:t xml:space="preserve">How RegMind Addresses It</w:t>
      </w:r>
    </w:p>
    <w:p>
      <w:pPr>
        <w:spacing w:after="40" w:before="40"/>
      </w:pPr>
      <w:r>
        <w:rPr>
          <w:rFonts w:ascii="Arial" w:cs="Arial" w:eastAsia="Arial" w:hAnsi="Arial"/>
          <w:color w:val="333333"/>
          <w:sz w:val="21"/>
          <w:szCs w:val="21"/>
        </w:rPr>
        <w:t xml:space="preserve">RegMind implements a comprehensive AI Explainability Layer in every compliance memo. This includes: structured risk-increasing and risk-decreasing factors with numerical weights, model confidence percentages, decision pathway traceability (Agent 1 through Agent 5), ownership risk justification strings, and supervisor verdicts with contradiction details. The 10-agent pipeline architecture is documented within the memo itself. Factor classification separates risk-increasing from risk-decreasing items with explicit weights summing to 1.0. PDF export includes full factor lists and supervisor verdict section.</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16A34A"/>
          <w:sz w:val="20"/>
          <w:szCs w:val="20"/>
        </w:rPr>
        <w:t xml:space="preserve">  [Fully Compliant]  </w:t>
      </w:r>
      <w:r>
        <w:rPr>
          <w:rFonts w:ascii="Arial" w:cs="Arial" w:eastAsia="Arial" w:hAnsi="Arial"/>
          <w:b/>
          <w:bCs/>
          <w:color w:val="333333"/>
          <w:sz w:val="20"/>
          <w:szCs w:val="20"/>
        </w:rPr>
        <w:t xml:space="preserve">  Risk Level: </w:t>
      </w:r>
      <w:r>
        <w:rPr>
          <w:rFonts w:ascii="Arial" w:cs="Arial" w:eastAsia="Arial" w:hAnsi="Arial"/>
          <w:b/>
          <w:bCs/>
          <w:color w:val="16A34A"/>
          <w:sz w:val="20"/>
          <w:szCs w:val="20"/>
        </w:rPr>
        <w:t xml:space="preserve">  [Low]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Factor weights are static (hardcoded) rather than derived from model training, which limits the depth of explainability for the risk scoring methodology. No plain-language summary is generated for non-technical stakeholders.</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Consider adding a plain-language risk summary alongside the technical explainability layer for client-facing communications. Document the methodology behind weight calibration.</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Principle 3: Accountability</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Clear roles and responsibilities for AI governance. An accountable individual or committee should oversee AI systems. Institutions must maintain records of AI system decisions and be able to explain and justify outcomes to regulators.</w:t>
      </w:r>
    </w:p>
    <w:p>
      <w:pPr>
        <w:pStyle w:val="Heading3"/>
        <w:spacing w:after="60" w:before="140"/>
      </w:pPr>
      <w:r>
        <w:rPr>
          <w:rFonts w:ascii="Arial" w:cs="Arial" w:eastAsia="Arial" w:hAnsi="Arial"/>
          <w:b/>
          <w:bCs/>
          <w:color w:val="2E75B6"/>
          <w:sz w:val="23"/>
          <w:szCs w:val="23"/>
        </w:rPr>
        <w:t xml:space="preserve">How RegMind Addresses It</w:t>
      </w:r>
    </w:p>
    <w:p>
      <w:pPr>
        <w:spacing w:after="40" w:before="40"/>
      </w:pPr>
      <w:r>
        <w:rPr>
          <w:rFonts w:ascii="Arial" w:cs="Arial" w:eastAsia="Arial" w:hAnsi="Arial"/>
          <w:color w:val="333333"/>
          <w:sz w:val="21"/>
          <w:szCs w:val="21"/>
        </w:rPr>
        <w:t xml:space="preserve">The platform provides comprehensive audit logging: append-only supervisor audit log with SHA-256 hash chain integrity, main audit_log covering all API actions with actor identity and role, human review records with reviewer_name, reviewer_role, decision_reason, and override tracking with mandatory justification fields. Approval gate validation enforces pre-conditions before any approval. All memo generations, validations, supervisor runs, and human decisions are recorded with timestamps.</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D97706"/>
          <w:sz w:val="20"/>
          <w:szCs w:val="20"/>
        </w:rPr>
        <w:t xml:space="preserve">  [Partially Compliant]  </w:t>
      </w:r>
      <w:r>
        <w:rPr>
          <w:rFonts w:ascii="Arial" w:cs="Arial" w:eastAsia="Arial" w:hAnsi="Arial"/>
          <w:b/>
          <w:bCs/>
          <w:color w:val="333333"/>
          <w:sz w:val="20"/>
          <w:szCs w:val="20"/>
        </w:rPr>
        <w:t xml:space="preserve">  Risk Level: </w:t>
      </w:r>
      <w:r>
        <w:rPr>
          <w:rFonts w:ascii="Arial" w:cs="Arial" w:eastAsia="Arial" w:hAnsi="Arial"/>
          <w:b/>
          <w:bCs/>
          <w:color w:val="D97706"/>
          <w:sz w:val="20"/>
          <w:szCs w:val="20"/>
        </w:rPr>
        <w:t xml:space="preserve">  [Medium]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formal AI Governance Policy document. No designated AI Accountability Officer role defined in the system. No AI ethics committee or governance board structure. While audit trails are comprehensive, the organisational accountability framework is not codified within the platform.</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Draft and implement an AI Governance Policy. Designate an AI Accountability Officer. Create an AI Ethics Committee charter. Embed governance roles into the platform's RBAC system.</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Principle 4: Privacy</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AI systems must comply with data protection legislation. Personal data used for AI processing must be collected, stored, and processed in accordance with the Data Protection Act 2017. Data minimisation, purpose limitation, and consent management must be implemented.</w:t>
      </w:r>
    </w:p>
    <w:p>
      <w:pPr>
        <w:pStyle w:val="Heading3"/>
        <w:spacing w:after="60" w:before="140"/>
      </w:pPr>
      <w:r>
        <w:rPr>
          <w:rFonts w:ascii="Arial" w:cs="Arial" w:eastAsia="Arial" w:hAnsi="Arial"/>
          <w:b/>
          <w:bCs/>
          <w:color w:val="2E75B6"/>
          <w:sz w:val="23"/>
          <w:szCs w:val="23"/>
        </w:rPr>
        <w:t xml:space="preserve">How RegMind Addresses It</w:t>
      </w:r>
    </w:p>
    <w:p>
      <w:pPr>
        <w:spacing w:after="40" w:before="40"/>
      </w:pPr>
      <w:r>
        <w:rPr>
          <w:rFonts w:ascii="Arial" w:cs="Arial" w:eastAsia="Arial" w:hAnsi="Arial"/>
          <w:color w:val="333333"/>
          <w:sz w:val="21"/>
          <w:szCs w:val="21"/>
        </w:rPr>
        <w:t xml:space="preserve">RegMind implements field-level PII encryption using Fernet symmetric encryption for sensitive fields (passport_number, nationality, id_number, pep_flags). Encryption key is mandatory in production (PII_ENCRYPTION_KEY environment variable). The Claude client sanitises all user-controlled data before sending to the LLM via _sanitize_for_prompt() with recursive prompt injection detection. Data retention policies are codified (7 years KYC, 5 years audit logs) with automated S3 lifecycle rules. PostgreSQL connections require SSL.</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D97706"/>
          <w:sz w:val="20"/>
          <w:szCs w:val="20"/>
        </w:rPr>
        <w:t xml:space="preserve">  [Partially Compliant]  </w:t>
      </w:r>
      <w:r>
        <w:rPr>
          <w:rFonts w:ascii="Arial" w:cs="Arial" w:eastAsia="Arial" w:hAnsi="Arial"/>
          <w:b/>
          <w:bCs/>
          <w:color w:val="333333"/>
          <w:sz w:val="20"/>
          <w:szCs w:val="20"/>
        </w:rPr>
        <w:t xml:space="preserve">  Risk Level: </w:t>
      </w:r>
      <w:r>
        <w:rPr>
          <w:rFonts w:ascii="Arial" w:cs="Arial" w:eastAsia="Arial" w:hAnsi="Arial"/>
          <w:b/>
          <w:bCs/>
          <w:color w:val="D97706"/>
          <w:sz w:val="20"/>
          <w:szCs w:val="20"/>
        </w:rPr>
        <w:t xml:space="preserve">  [Medium]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documented data processing agreement with Anthropic (Claude LLM provider) specifying data handling obligations. No explicit consent management mechanism for data subjects. No data minimisation assessment for what data is sent to the LLM. Personal data (names, nationalities, PEP status) is sent to Claude API even after sanitisation. No privacy impact assessment for the AI processing pipeline.</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Execute a Data Protection Impact Assessment (DPIA) for the AI pipeline. Establish a data processing agreement with Anthropic. Implement consent management. Conduct a data minimisation review of LLM prompt contents.</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Principle 5: Security</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AI systems must be protected against cybersecurity threats. Robustness testing, adversarial input handling, and ongoing security monitoring are required.</w:t>
      </w:r>
    </w:p>
    <w:p>
      <w:pPr>
        <w:pStyle w:val="Heading3"/>
        <w:spacing w:after="60" w:before="140"/>
      </w:pPr>
      <w:r>
        <w:rPr>
          <w:rFonts w:ascii="Arial" w:cs="Arial" w:eastAsia="Arial" w:hAnsi="Arial"/>
          <w:b/>
          <w:bCs/>
          <w:color w:val="2E75B6"/>
          <w:sz w:val="23"/>
          <w:szCs w:val="23"/>
        </w:rPr>
        <w:t xml:space="preserve">How RegMind Addresses It</w:t>
      </w:r>
    </w:p>
    <w:p>
      <w:pPr>
        <w:spacing w:after="40" w:before="40"/>
      </w:pPr>
      <w:r>
        <w:rPr>
          <w:rFonts w:ascii="Arial" w:cs="Arial" w:eastAsia="Arial" w:hAnsi="Arial"/>
          <w:color w:val="333333"/>
          <w:sz w:val="21"/>
          <w:szCs w:val="21"/>
        </w:rPr>
        <w:t xml:space="preserve">The platform implements: JWT authentication with HS256 and token revocation, bcrypt password hashing, role-based access control across 79+ endpoints, rate limiting (60 req/60s per IP), HTML input sanitisation, parameterised SQL queries preventing injection, prompt injection detection with recursive pattern matching for LLM inputs, production environment guards blocking mock APIs and requiring all security keys, health check endpoints with database and external API monitoring, and Prometheus metrics for operational monitoring.</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16A34A"/>
          <w:sz w:val="20"/>
          <w:szCs w:val="20"/>
        </w:rPr>
        <w:t xml:space="preserve">  [Fully Compliant]  </w:t>
      </w:r>
      <w:r>
        <w:rPr>
          <w:rFonts w:ascii="Arial" w:cs="Arial" w:eastAsia="Arial" w:hAnsi="Arial"/>
          <w:b/>
          <w:bCs/>
          <w:color w:val="333333"/>
          <w:sz w:val="20"/>
          <w:szCs w:val="20"/>
        </w:rPr>
        <w:t xml:space="preserve">  Risk Level: </w:t>
      </w:r>
      <w:r>
        <w:rPr>
          <w:rFonts w:ascii="Arial" w:cs="Arial" w:eastAsia="Arial" w:hAnsi="Arial"/>
          <w:b/>
          <w:bCs/>
          <w:color w:val="16A34A"/>
          <w:sz w:val="20"/>
          <w:szCs w:val="20"/>
        </w:rPr>
        <w:t xml:space="preserve">  [Low]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formal penetration testing evidence. No adversarial robustness testing for AI outputs specifically. No Web Application Firewall (WAF) configuration documented. JWT uses HS256 (symmetric) rather than RS256 (asymmetric), which means the signing secret is shared.</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Commission an independent penetration test. Implement adversarial testing for LLM outputs. Consider migrating to RS256 JWT signing. Deploy a WAF in production.</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Principle 6: Environmental Sustainability</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Financial institutions should consider the environmental impact of AI systems, including compute resource consumption and carbon footprint.</w:t>
      </w:r>
    </w:p>
    <w:p>
      <w:pPr>
        <w:pStyle w:val="Heading3"/>
        <w:spacing w:after="60" w:before="140"/>
      </w:pPr>
      <w:r>
        <w:rPr>
          <w:rFonts w:ascii="Arial" w:cs="Arial" w:eastAsia="Arial" w:hAnsi="Arial"/>
          <w:b/>
          <w:bCs/>
          <w:color w:val="2E75B6"/>
          <w:sz w:val="23"/>
          <w:szCs w:val="23"/>
        </w:rPr>
        <w:t xml:space="preserve">How RegMind Addresses It</w:t>
      </w:r>
    </w:p>
    <w:p>
      <w:pPr>
        <w:spacing w:after="40" w:before="40"/>
      </w:pPr>
      <w:r>
        <w:rPr>
          <w:rFonts w:ascii="Arial" w:cs="Arial" w:eastAsia="Arial" w:hAnsi="Arial"/>
          <w:color w:val="333333"/>
          <w:sz w:val="21"/>
          <w:szCs w:val="21"/>
        </w:rPr>
        <w:t xml:space="preserve">RegMind implements monthly API budget tracking with cost calculation per Claude API call (token-level tracking for input/output tokens, cost per million tokens). The budget enforcement mechanism prevents excessive compute consumption. The platform uses a lightweight Python/Tornado backend without GPU-intensive on-premises model training.</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D97706"/>
          <w:sz w:val="20"/>
          <w:szCs w:val="20"/>
        </w:rPr>
        <w:t xml:space="preserve">  [Partially Compliant]  </w:t>
      </w:r>
      <w:r>
        <w:rPr>
          <w:rFonts w:ascii="Arial" w:cs="Arial" w:eastAsia="Arial" w:hAnsi="Arial"/>
          <w:b/>
          <w:bCs/>
          <w:color w:val="333333"/>
          <w:sz w:val="20"/>
          <w:szCs w:val="20"/>
        </w:rPr>
        <w:t xml:space="preserve">  Risk Level: </w:t>
      </w:r>
      <w:r>
        <w:rPr>
          <w:rFonts w:ascii="Arial" w:cs="Arial" w:eastAsia="Arial" w:hAnsi="Arial"/>
          <w:b/>
          <w:bCs/>
          <w:color w:val="16A34A"/>
          <w:sz w:val="20"/>
          <w:szCs w:val="20"/>
        </w:rPr>
        <w:t xml:space="preserve">  [Low]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explicit carbon footprint measurement or reporting. No energy consumption metrics. No sustainability policy for AI compute. Budget tracking is cost-focused rather than environmental-impact-focused.</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Add carbon footprint estimation based on API usage. Include sustainability metrics in operational reporting. Document the environmental consideration in the AI Governance Policy.</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Principle 7: Human-Centricity</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AI should augment human capabilities, not replace them. Human oversight must be maintained for consequential decisions. Users should be able to challenge and override AI recommendations.</w:t>
      </w:r>
    </w:p>
    <w:p>
      <w:pPr>
        <w:pStyle w:val="Heading3"/>
        <w:spacing w:after="60" w:before="140"/>
      </w:pPr>
      <w:r>
        <w:rPr>
          <w:rFonts w:ascii="Arial" w:cs="Arial" w:eastAsia="Arial" w:hAnsi="Arial"/>
          <w:b/>
          <w:bCs/>
          <w:color w:val="2E75B6"/>
          <w:sz w:val="23"/>
          <w:szCs w:val="23"/>
        </w:rPr>
        <w:t xml:space="preserve">How RegMind Addresses It</w:t>
      </w:r>
    </w:p>
    <w:p>
      <w:pPr>
        <w:spacing w:after="40" w:before="40"/>
      </w:pPr>
      <w:r>
        <w:rPr>
          <w:rFonts w:ascii="Arial" w:cs="Arial" w:eastAsia="Arial" w:hAnsi="Arial"/>
          <w:color w:val="333333"/>
          <w:sz w:val="21"/>
          <w:szCs w:val="21"/>
        </w:rPr>
        <w:t xml:space="preserve">RegMind's architecture is fundamentally human-in-the-loop: AI never auto-approves any application. The complete workflow is: AI agents analyse data and produce recommendations, the supervisor layer validates consistency, confidence routing determines whether human review is mandatory (confidence &lt; 0.85 triggers review, &lt; 0.65 triggers mandatory escalation), compliance officers review the full package including AI recommendation, contradictions, and rules triggered, and officers can override any AI recommendation with mandatory justification. The ApprovalGateValidator enforces pre-conditions including verified KYC, non-simulated screening, and compliance memo existence. High-risk applications require dual approval.</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16A34A"/>
          <w:sz w:val="20"/>
          <w:szCs w:val="20"/>
        </w:rPr>
        <w:t xml:space="preserve">  [Fully Compliant]  </w:t>
      </w:r>
      <w:r>
        <w:rPr>
          <w:rFonts w:ascii="Arial" w:cs="Arial" w:eastAsia="Arial" w:hAnsi="Arial"/>
          <w:b/>
          <w:bCs/>
          <w:color w:val="333333"/>
          <w:sz w:val="20"/>
          <w:szCs w:val="20"/>
        </w:rPr>
        <w:t xml:space="preserve">  Risk Level: </w:t>
      </w:r>
      <w:r>
        <w:rPr>
          <w:rFonts w:ascii="Arial" w:cs="Arial" w:eastAsia="Arial" w:hAnsi="Arial"/>
          <w:b/>
          <w:bCs/>
          <w:color w:val="16A34A"/>
          <w:sz w:val="20"/>
          <w:szCs w:val="20"/>
        </w:rPr>
        <w:t xml:space="preserve">  [Low]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formal training programme for compliance officers on interpreting AI outputs. No user feedback mechanism to improve AI quality over time.</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Develop officer training materials on AI output interpretation. Implement a feedback loop for officers to flag incorrect AI outputs for model improvement.</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Principle 8: Continuous Monitoring &amp; Evaluation</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AI systems must be continuously monitored for performance degradation, drift, and emerging risks. Regular evaluation against established benchmarks is required.</w:t>
      </w:r>
    </w:p>
    <w:p>
      <w:pPr>
        <w:pStyle w:val="Heading3"/>
        <w:spacing w:after="60" w:before="140"/>
      </w:pPr>
      <w:r>
        <w:rPr>
          <w:rFonts w:ascii="Arial" w:cs="Arial" w:eastAsia="Arial" w:hAnsi="Arial"/>
          <w:b/>
          <w:bCs/>
          <w:color w:val="2E75B6"/>
          <w:sz w:val="23"/>
          <w:szCs w:val="23"/>
        </w:rPr>
        <w:t xml:space="preserve">How RegMind Addresses It</w:t>
      </w:r>
    </w:p>
    <w:p>
      <w:pPr>
        <w:spacing w:after="40" w:before="40"/>
      </w:pPr>
      <w:r>
        <w:rPr>
          <w:rFonts w:ascii="Arial" w:cs="Arial" w:eastAsia="Arial" w:hAnsi="Arial"/>
          <w:color w:val="333333"/>
          <w:sz w:val="21"/>
          <w:szCs w:val="21"/>
        </w:rPr>
        <w:t xml:space="preserve">The supervisor framework tracks agent performance metrics (GET /api/supervisor/metrics). Prometheus integration collects HTTP request metrics, application counts, screening totals, and SAR report statistics. The validation engine scores every memo on 13 quality dimensions with automatic pass/fail/pass_with_fixes determination. The supervisor runs contradiction detection on every memo generation. Agent confidence evaluation assesses output quality per run.</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D97706"/>
          <w:sz w:val="20"/>
          <w:szCs w:val="20"/>
        </w:rPr>
        <w:t xml:space="preserve">  [Partially Compliant]  </w:t>
      </w:r>
      <w:r>
        <w:rPr>
          <w:rFonts w:ascii="Arial" w:cs="Arial" w:eastAsia="Arial" w:hAnsi="Arial"/>
          <w:b/>
          <w:bCs/>
          <w:color w:val="333333"/>
          <w:sz w:val="20"/>
          <w:szCs w:val="20"/>
        </w:rPr>
        <w:t xml:space="preserve">  Risk Level: </w:t>
      </w:r>
      <w:r>
        <w:rPr>
          <w:rFonts w:ascii="Arial" w:cs="Arial" w:eastAsia="Arial" w:hAnsi="Arial"/>
          <w:b/>
          <w:bCs/>
          <w:color w:val="D97706"/>
          <w:sz w:val="20"/>
          <w:szCs w:val="20"/>
        </w:rPr>
        <w:t xml:space="preserve">  [Medium]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model drift detection. No scheduled re-validation of historical outputs. No performance benchmarking against ground truth. No alerting thresholds for quality degradation. Monitoring is operational (request metrics) rather than model-quality focused.</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Implement model drift detection by periodically re-scoring historical cases. Establish quality benchmarks and alerting thresholds. Create a model evaluation schedule (quarterly minimum). Track validation engine scores over time for trend analysis.</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Principle 9: Compliance &amp; Ethics</w:t>
      </w:r>
    </w:p>
    <w:p>
      <w:pPr>
        <w:pStyle w:val="Heading3"/>
        <w:spacing w:after="60" w:before="140"/>
      </w:pPr>
      <w:r>
        <w:rPr>
          <w:rFonts w:ascii="Arial" w:cs="Arial" w:eastAsia="Arial" w:hAnsi="Arial"/>
          <w:b/>
          <w:bCs/>
          <w:color w:val="2E75B6"/>
          <w:sz w:val="23"/>
          <w:szCs w:val="23"/>
        </w:rPr>
        <w:t xml:space="preserve">FSC Expectation</w:t>
      </w:r>
    </w:p>
    <w:p>
      <w:pPr>
        <w:spacing w:after="40" w:before="40"/>
      </w:pPr>
      <w:r>
        <w:rPr>
          <w:rFonts w:ascii="Arial" w:cs="Arial" w:eastAsia="Arial" w:hAnsi="Arial"/>
          <w:color w:val="333333"/>
          <w:sz w:val="21"/>
          <w:szCs w:val="21"/>
        </w:rPr>
        <w:t xml:space="preserve">AI systems must comply with all applicable laws and regulations. Ethical considerations must be embedded in AI design and deployment. Regular compliance reviews must be conducted.</w:t>
      </w:r>
    </w:p>
    <w:p>
      <w:pPr>
        <w:pStyle w:val="Heading3"/>
        <w:spacing w:after="60" w:before="140"/>
      </w:pPr>
      <w:r>
        <w:rPr>
          <w:rFonts w:ascii="Arial" w:cs="Arial" w:eastAsia="Arial" w:hAnsi="Arial"/>
          <w:b/>
          <w:bCs/>
          <w:color w:val="2E75B6"/>
          <w:sz w:val="23"/>
          <w:szCs w:val="23"/>
        </w:rPr>
        <w:t xml:space="preserve">How RegMind Addresses It</w:t>
      </w:r>
    </w:p>
    <w:p>
      <w:pPr>
        <w:spacing w:after="40" w:before="40"/>
      </w:pPr>
      <w:r>
        <w:rPr>
          <w:rFonts w:ascii="Arial" w:cs="Arial" w:eastAsia="Arial" w:hAnsi="Arial"/>
          <w:color w:val="333333"/>
          <w:sz w:val="21"/>
          <w:szCs w:val="21"/>
        </w:rPr>
        <w:t xml:space="preserve">The platform references FATF 40 Recommendations, Basel Committee guidance, and Wolfsberg Group risk factor guidance in its compliance memo methodology. Risk factor weights are calibrated against these frameworks. The supervisor layer enforces rules including sanctions_hit_auto_escalate, confirmed_pep_enhanced_review, missing_ubo_block_approval, and company_not_in_registry. The validation engine checks for regulatory defensibility across 13 categories.</w:t>
      </w:r>
    </w:p>
    <w:p>
      <w:pPr>
        <w:pStyle w:val="Heading3"/>
        <w:spacing w:after="60" w:before="140"/>
      </w:pPr>
      <w:r>
        <w:rPr>
          <w:rFonts w:ascii="Arial" w:cs="Arial" w:eastAsia="Arial" w:hAnsi="Arial"/>
          <w:b/>
          <w:bCs/>
          <w:color w:val="2E75B6"/>
          <w:sz w:val="23"/>
          <w:szCs w:val="23"/>
        </w:rPr>
        <w:t xml:space="preserve">Compliance Rating</w:t>
      </w:r>
    </w:p>
    <w:p>
      <w:pPr>
        <w:spacing w:after="60" w:before="60"/>
      </w:pPr>
      <w:r>
        <w:rPr>
          <w:rFonts w:ascii="Arial" w:cs="Arial" w:eastAsia="Arial" w:hAnsi="Arial"/>
          <w:b/>
          <w:bCs/>
          <w:color w:val="D97706"/>
          <w:sz w:val="20"/>
          <w:szCs w:val="20"/>
        </w:rPr>
        <w:t xml:space="preserve">  [Partially Compliant]  </w:t>
      </w:r>
      <w:r>
        <w:rPr>
          <w:rFonts w:ascii="Arial" w:cs="Arial" w:eastAsia="Arial" w:hAnsi="Arial"/>
          <w:b/>
          <w:bCs/>
          <w:color w:val="333333"/>
          <w:sz w:val="20"/>
          <w:szCs w:val="20"/>
        </w:rPr>
        <w:t xml:space="preserve">  Risk Level: </w:t>
      </w:r>
      <w:r>
        <w:rPr>
          <w:rFonts w:ascii="Arial" w:cs="Arial" w:eastAsia="Arial" w:hAnsi="Arial"/>
          <w:b/>
          <w:bCs/>
          <w:color w:val="D97706"/>
          <w:sz w:val="20"/>
          <w:szCs w:val="20"/>
        </w:rPr>
        <w:t xml:space="preserve">  [Medium]  </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formal AI Ethics Policy. No ethics review board. No documented compliance review schedule. Platform references regulatory frameworks but does not track changes to these frameworks for ongoing compliance. No Mauritius-specific regulatory mapping.</w:t>
      </w:r>
    </w:p>
    <w:p>
      <w:pPr>
        <w:pStyle w:val="Heading3"/>
        <w:spacing w:after="60" w:before="140"/>
      </w:pPr>
      <w:r>
        <w:rPr>
          <w:rFonts w:ascii="Arial" w:cs="Arial" w:eastAsia="Arial" w:hAnsi="Arial"/>
          <w:b/>
          <w:bCs/>
          <w:color w:val="2E75B6"/>
          <w:sz w:val="23"/>
          <w:szCs w:val="23"/>
        </w:rPr>
        <w:t xml:space="preserve">Recommended Remediation</w:t>
      </w:r>
    </w:p>
    <w:p>
      <w:pPr>
        <w:spacing w:after="40" w:before="40"/>
      </w:pPr>
      <w:r>
        <w:rPr>
          <w:rFonts w:ascii="Arial" w:cs="Arial" w:eastAsia="Arial" w:hAnsi="Arial"/>
          <w:color w:val="333333"/>
          <w:sz w:val="21"/>
          <w:szCs w:val="21"/>
        </w:rPr>
        <w:t xml:space="preserve">Draft an AI Ethics Policy. Establish a compliance review calendar. Implement regulatory change tracking. Map platform controls to specific Mauritius regulatory requirements.</w:t>
      </w:r>
    </w:p>
    <w:p>
      <w:pPr>
        <w:spacing w:after="60" w:before="40"/>
      </w:pPr>
      <w:r>
        <w:rPr>
          <w:rFonts w:ascii="Arial" w:cs="Arial" w:eastAsia="Arial" w:hAnsi="Arial"/>
          <w:color w:val="333333"/>
          <w:sz w:val="2"/>
          <w:szCs w:val="2"/>
        </w:rPr>
        <w:t xml:space="preserve"/>
      </w:r>
    </w:p>
    <w:p>
      <w:pPr>
        <w:pStyle w:val="Heading1"/>
        <w:pageBreakBefore/>
        <w:spacing w:after="120" w:before="300"/>
      </w:pPr>
      <w:r>
        <w:rPr>
          <w:rFonts w:ascii="Arial" w:cs="Arial" w:eastAsia="Arial" w:hAnsi="Arial"/>
          <w:b/>
          <w:bCs/>
          <w:color w:val="0A2463"/>
          <w:sz w:val="32"/>
          <w:szCs w:val="32"/>
        </w:rPr>
        <w:t xml:space="preserve">C. Data Protection Act 2017 Assessment</w:t>
      </w:r>
    </w:p>
    <w:p>
      <w:pPr>
        <w:pStyle w:val="Heading2"/>
        <w:spacing w:after="80" w:before="200"/>
      </w:pPr>
      <w:r>
        <w:rPr>
          <w:rFonts w:ascii="Arial" w:cs="Arial" w:eastAsia="Arial" w:hAnsi="Arial"/>
          <w:b/>
          <w:bCs/>
          <w:color w:val="1B2A4A"/>
          <w:sz w:val="26"/>
          <w:szCs w:val="26"/>
        </w:rPr>
        <w:t xml:space="preserve">1. Lawful Processing &amp; Data Minimisation</w:t>
      </w:r>
    </w:p>
    <w:p>
      <w:pPr>
        <w:spacing w:after="60" w:before="60"/>
      </w:pPr>
      <w:r>
        <w:rPr>
          <w:rFonts w:ascii="Arial" w:cs="Arial" w:eastAsia="Arial" w:hAnsi="Arial"/>
          <w:b/>
          <w:bCs/>
          <w:color w:val="333333"/>
          <w:sz w:val="21"/>
          <w:szCs w:val="21"/>
        </w:rPr>
        <w:t xml:space="preserve">Compliance Status: </w:t>
      </w:r>
      <w:r>
        <w:rPr>
          <w:rFonts w:ascii="Arial" w:cs="Arial" w:eastAsia="Arial" w:hAnsi="Arial"/>
          <w:b/>
          <w:bCs/>
          <w:color w:val="D97706"/>
          <w:sz w:val="20"/>
          <w:szCs w:val="20"/>
        </w:rPr>
        <w:t xml:space="preserve">  [Partially Compliant]  </w:t>
      </w:r>
      <w:r>
        <w:rPr>
          <w:rFonts w:ascii="Arial" w:cs="Arial" w:eastAsia="Arial" w:hAnsi="Arial"/>
          <w:b/>
          <w:bCs/>
          <w:color w:val="333333"/>
          <w:sz w:val="21"/>
          <w:szCs w:val="21"/>
        </w:rPr>
        <w:t xml:space="preserve">  Regulatory Risk: </w:t>
      </w:r>
      <w:r>
        <w:rPr>
          <w:rFonts w:ascii="Arial" w:cs="Arial" w:eastAsia="Arial" w:hAnsi="Arial"/>
          <w:b/>
          <w:bCs/>
          <w:color w:val="D97706"/>
          <w:sz w:val="20"/>
          <w:szCs w:val="20"/>
        </w:rPr>
        <w:t xml:space="preserve">  [Medium]  </w:t>
      </w:r>
    </w:p>
    <w:p>
      <w:pPr>
        <w:spacing w:after="40" w:before="40"/>
      </w:pPr>
      <w:r>
        <w:rPr>
          <w:rFonts w:ascii="Arial" w:cs="Arial" w:eastAsia="Arial" w:hAnsi="Arial"/>
          <w:color w:val="333333"/>
          <w:sz w:val="21"/>
          <w:szCs w:val="21"/>
        </w:rPr>
        <w:t xml:space="preserve">RegMind processes personal data (names, nationalities, passport numbers, PEP status, ownership percentages, source of funds) for the purpose of regulatory compliance onboarding (KYC/AML). This processing is lawful under DPA Section 24(1)(c) (compliance with legal obligation) and Section 24(1)(f) (legitimate interests of the controller). Purpose limitation is inherent in the platform design: data is collected solely for compliance assessment. However, the platform does not implement a formal data minimisation assessment. Personal data including full names, nationalities, and PEP status is sent to the Anthropic Claude API for AI analysis. While prompt sanitisation removes injection vectors, the volume of personal data transmitted to a third-party AI provider should be assessed against the proportionality requirement. No lawful basis documentation exists for the AI processing specifically.</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formal lawful basis documentation. No data minimisation assessment for LLM prompts. No proportionality review of data sent to third-party AI. No purpose limitation statement in system configuration.</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Document lawful basis for each processing activity. Conduct data minimisation review of Claude prompts. Implement data pseudonymisation before LLM transmission where feasible. Create a Record of Processing Activities (ROPA).</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2. Data Subject Rights</w:t>
      </w:r>
    </w:p>
    <w:p>
      <w:pPr>
        <w:spacing w:after="60" w:before="60"/>
      </w:pPr>
      <w:r>
        <w:rPr>
          <w:rFonts w:ascii="Arial" w:cs="Arial" w:eastAsia="Arial" w:hAnsi="Arial"/>
          <w:b/>
          <w:bCs/>
          <w:color w:val="333333"/>
          <w:sz w:val="21"/>
          <w:szCs w:val="21"/>
        </w:rPr>
        <w:t xml:space="preserve">Compliance Status: </w:t>
      </w:r>
      <w:r>
        <w:rPr>
          <w:rFonts w:ascii="Arial" w:cs="Arial" w:eastAsia="Arial" w:hAnsi="Arial"/>
          <w:b/>
          <w:bCs/>
          <w:color w:val="D97706"/>
          <w:sz w:val="20"/>
          <w:szCs w:val="20"/>
        </w:rPr>
        <w:t xml:space="preserve">  [Partially Compliant]  </w:t>
      </w:r>
      <w:r>
        <w:rPr>
          <w:rFonts w:ascii="Arial" w:cs="Arial" w:eastAsia="Arial" w:hAnsi="Arial"/>
          <w:b/>
          <w:bCs/>
          <w:color w:val="333333"/>
          <w:sz w:val="21"/>
          <w:szCs w:val="21"/>
        </w:rPr>
        <w:t xml:space="preserve">  Regulatory Risk: </w:t>
      </w:r>
      <w:r>
        <w:rPr>
          <w:rFonts w:ascii="Arial" w:cs="Arial" w:eastAsia="Arial" w:hAnsi="Arial"/>
          <w:b/>
          <w:bCs/>
          <w:color w:val="DC2626"/>
          <w:sz w:val="20"/>
          <w:szCs w:val="20"/>
        </w:rPr>
        <w:t xml:space="preserve">  [High]  </w:t>
      </w:r>
    </w:p>
    <w:p>
      <w:pPr>
        <w:spacing w:after="40" w:before="40"/>
      </w:pPr>
      <w:r>
        <w:rPr>
          <w:rFonts w:ascii="Arial" w:cs="Arial" w:eastAsia="Arial" w:hAnsi="Arial"/>
          <w:color w:val="333333"/>
          <w:sz w:val="21"/>
          <w:szCs w:val="21"/>
        </w:rPr>
        <w:t xml:space="preserve">The platform provides audit logging of all data processing activities (right to information about processing). Application detail views allow data subjects to see their submitted information (right to access). The SAR workflow handles regulatory reporting. However, several DPA data subject rights are not explicitly implemented: no right-to-erasure endpoint exists (data deletion occurs only through retention policy expiry), no data portability endpoint provides data in a machine-readable format, no consent withdrawal mechanism exists, and no explicit right to object to processing is available to data subjects through the platform interface.</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right-to-erasure endpoint (DPA Section 37). No data portability mechanism. No consent withdrawal. No right-to-object mechanism. No privacy notice or information provision to data subjects about AI processing.</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Implement a data subject rights portal with erasure request, data export, and objection workflows. Create a privacy notice explaining AI processing. Add consent management with withdrawal capability. Ensure erasure requests are processed within 40 days per DPA requirements.</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3. Automated Decision-Making (Section 38)</w:t>
      </w:r>
    </w:p>
    <w:p>
      <w:pPr>
        <w:spacing w:after="60" w:before="60"/>
      </w:pPr>
      <w:r>
        <w:rPr>
          <w:rFonts w:ascii="Arial" w:cs="Arial" w:eastAsia="Arial" w:hAnsi="Arial"/>
          <w:b/>
          <w:bCs/>
          <w:color w:val="333333"/>
          <w:sz w:val="21"/>
          <w:szCs w:val="21"/>
        </w:rPr>
        <w:t xml:space="preserve">Compliance Status: </w:t>
      </w:r>
      <w:r>
        <w:rPr>
          <w:rFonts w:ascii="Arial" w:cs="Arial" w:eastAsia="Arial" w:hAnsi="Arial"/>
          <w:b/>
          <w:bCs/>
          <w:color w:val="D97706"/>
          <w:sz w:val="20"/>
          <w:szCs w:val="20"/>
        </w:rPr>
        <w:t xml:space="preserve">  [Partially Compliant]  </w:t>
      </w:r>
      <w:r>
        <w:rPr>
          <w:rFonts w:ascii="Arial" w:cs="Arial" w:eastAsia="Arial" w:hAnsi="Arial"/>
          <w:b/>
          <w:bCs/>
          <w:color w:val="333333"/>
          <w:sz w:val="21"/>
          <w:szCs w:val="21"/>
        </w:rPr>
        <w:t xml:space="preserve">  Regulatory Risk: </w:t>
      </w:r>
      <w:r>
        <w:rPr>
          <w:rFonts w:ascii="Arial" w:cs="Arial" w:eastAsia="Arial" w:hAnsi="Arial"/>
          <w:b/>
          <w:bCs/>
          <w:color w:val="D97706"/>
          <w:sz w:val="20"/>
          <w:szCs w:val="20"/>
        </w:rPr>
        <w:t xml:space="preserve">  [Medium]  </w:t>
      </w:r>
    </w:p>
    <w:p>
      <w:pPr>
        <w:spacing w:after="40" w:before="40"/>
      </w:pPr>
      <w:r>
        <w:rPr>
          <w:rFonts w:ascii="Arial" w:cs="Arial" w:eastAsia="Arial" w:hAnsi="Arial"/>
          <w:color w:val="333333"/>
          <w:sz w:val="21"/>
          <w:szCs w:val="21"/>
        </w:rPr>
        <w:t xml:space="preserve">DPA Section 38 provides data subjects with the right not to be subject to decisions based solely on automated processing that significantly affects them. RegMind is architecturally compliant: AI produces recommendations, never final decisions. All compliance decisions require human officer review. The human-in-the-loop workflow, approval gates, escalation paths, and override capabilities ensure that no decision is made solely by automated means. The AI Explainability Layer provides meaningful logic about how risk scores are computed, with structured factor lists and weights. However, the platform does not provide data subjects themselves with access to the logic of AI decisions or the ability to challenge AI recommendations directly.</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Data subjects cannot view or challenge AI recommendations. No mechanism for data subjects to request human intervention in AI processing. Explainability is available to compliance officers but not to applicants.</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Implement an applicant-facing summary of how their application was assessed. Provide a mechanism for applicants to request human review. Ensure that the right to challenge automated decisions is communicated in the privacy notice.</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4. Data Protection Impact Assessment (DPIA)</w:t>
      </w:r>
    </w:p>
    <w:p>
      <w:pPr>
        <w:spacing w:after="60" w:before="60"/>
      </w:pPr>
      <w:r>
        <w:rPr>
          <w:rFonts w:ascii="Arial" w:cs="Arial" w:eastAsia="Arial" w:hAnsi="Arial"/>
          <w:b/>
          <w:bCs/>
          <w:color w:val="333333"/>
          <w:sz w:val="21"/>
          <w:szCs w:val="21"/>
        </w:rPr>
        <w:t xml:space="preserve">Compliance Status: </w:t>
      </w:r>
      <w:r>
        <w:rPr>
          <w:rFonts w:ascii="Arial" w:cs="Arial" w:eastAsia="Arial" w:hAnsi="Arial"/>
          <w:b/>
          <w:bCs/>
          <w:color w:val="DC2626"/>
          <w:sz w:val="20"/>
          <w:szCs w:val="20"/>
        </w:rPr>
        <w:t xml:space="preserve">  [Not Compliant]  </w:t>
      </w:r>
      <w:r>
        <w:rPr>
          <w:rFonts w:ascii="Arial" w:cs="Arial" w:eastAsia="Arial" w:hAnsi="Arial"/>
          <w:b/>
          <w:bCs/>
          <w:color w:val="333333"/>
          <w:sz w:val="21"/>
          <w:szCs w:val="21"/>
        </w:rPr>
        <w:t xml:space="preserve">  Regulatory Risk: </w:t>
      </w:r>
      <w:r>
        <w:rPr>
          <w:rFonts w:ascii="Arial" w:cs="Arial" w:eastAsia="Arial" w:hAnsi="Arial"/>
          <w:b/>
          <w:bCs/>
          <w:color w:val="DC2626"/>
          <w:sz w:val="20"/>
          <w:szCs w:val="20"/>
        </w:rPr>
        <w:t xml:space="preserve">  [High]  </w:t>
      </w:r>
    </w:p>
    <w:p>
      <w:pPr>
        <w:spacing w:after="40" w:before="40"/>
      </w:pPr>
      <w:r>
        <w:rPr>
          <w:rFonts w:ascii="Arial" w:cs="Arial" w:eastAsia="Arial" w:hAnsi="Arial"/>
          <w:color w:val="333333"/>
          <w:sz w:val="21"/>
          <w:szCs w:val="21"/>
        </w:rPr>
        <w:t xml:space="preserve">Under DPA 2017, a DPIA is required where processing is likely to result in a high risk to the rights and freedoms of data subjects. RegMind processes sensitive personal data (PEP status, financial information, identity documents) through AI systems for compliance decisions that significantly affect individuals (approval or rejection of financial services access). This processing clearly meets the threshold for mandatory DPIA. No evidence of a completed DPIA was found in the codebase or documentation.</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DPIA has been conducted or documented. No risk classification of the AI processing system. No consultation with the Data Protection Office (DPO) of Mauritius.</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Conduct a comprehensive DPIA covering the full AI processing pipeline. Document the assessment including: purpose, necessity, proportionality, risks to data subjects, and mitigating measures. Consult with the Data Protection Commissioner if the DPIA indicates high residual risk. Review and update the DPIA annually.</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5. Data Security &amp; Confidentiality</w:t>
      </w:r>
    </w:p>
    <w:p>
      <w:pPr>
        <w:spacing w:after="60" w:before="60"/>
      </w:pPr>
      <w:r>
        <w:rPr>
          <w:rFonts w:ascii="Arial" w:cs="Arial" w:eastAsia="Arial" w:hAnsi="Arial"/>
          <w:b/>
          <w:bCs/>
          <w:color w:val="333333"/>
          <w:sz w:val="21"/>
          <w:szCs w:val="21"/>
        </w:rPr>
        <w:t xml:space="preserve">Compliance Status: </w:t>
      </w:r>
      <w:r>
        <w:rPr>
          <w:rFonts w:ascii="Arial" w:cs="Arial" w:eastAsia="Arial" w:hAnsi="Arial"/>
          <w:b/>
          <w:bCs/>
          <w:color w:val="16A34A"/>
          <w:sz w:val="20"/>
          <w:szCs w:val="20"/>
        </w:rPr>
        <w:t xml:space="preserve">  [Fully Compliant]  </w:t>
      </w:r>
      <w:r>
        <w:rPr>
          <w:rFonts w:ascii="Arial" w:cs="Arial" w:eastAsia="Arial" w:hAnsi="Arial"/>
          <w:b/>
          <w:bCs/>
          <w:color w:val="333333"/>
          <w:sz w:val="21"/>
          <w:szCs w:val="21"/>
        </w:rPr>
        <w:t xml:space="preserve">  Regulatory Risk: </w:t>
      </w:r>
      <w:r>
        <w:rPr>
          <w:rFonts w:ascii="Arial" w:cs="Arial" w:eastAsia="Arial" w:hAnsi="Arial"/>
          <w:b/>
          <w:bCs/>
          <w:color w:val="16A34A"/>
          <w:sz w:val="20"/>
          <w:szCs w:val="20"/>
        </w:rPr>
        <w:t xml:space="preserve">  [Low]  </w:t>
      </w:r>
    </w:p>
    <w:p>
      <w:pPr>
        <w:spacing w:after="40" w:before="40"/>
      </w:pPr>
      <w:r>
        <w:rPr>
          <w:rFonts w:ascii="Arial" w:cs="Arial" w:eastAsia="Arial" w:hAnsi="Arial"/>
          <w:color w:val="333333"/>
          <w:sz w:val="21"/>
          <w:szCs w:val="21"/>
        </w:rPr>
        <w:t xml:space="preserve">The platform implements comprehensive data security controls: field-level PII encryption using Fernet symmetric encryption (mandatory in production), S3 server-side AES-256 encryption with bucket policies denying unencrypted uploads, PostgreSQL SSL-required connections, bcrypt password hashing, JWT authentication with token revocation, role-based access control across 79+ endpoints, rate limiting, and parameterised SQL queries. Access controls are role-granular (admin, SCO, CO, analyst, client) with specific permissions per endpoint. Audit logging tracks all access with user identity, role, and IP address.</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No database-level encryption at rest for SQLite (development). No key rotation schedule for PII encryption key. No documented access control matrix.</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Implement key rotation for PII_ENCRYPTION_KEY. Document the access control matrix. Ensure SQLite is not used in production (enforce PostgreSQL requirement at startup).</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6. Data Retention &amp; Deletion</w:t>
      </w:r>
    </w:p>
    <w:p>
      <w:pPr>
        <w:spacing w:after="60" w:before="60"/>
      </w:pPr>
      <w:r>
        <w:rPr>
          <w:rFonts w:ascii="Arial" w:cs="Arial" w:eastAsia="Arial" w:hAnsi="Arial"/>
          <w:b/>
          <w:bCs/>
          <w:color w:val="333333"/>
          <w:sz w:val="21"/>
          <w:szCs w:val="21"/>
        </w:rPr>
        <w:t xml:space="preserve">Compliance Status: </w:t>
      </w:r>
      <w:r>
        <w:rPr>
          <w:rFonts w:ascii="Arial" w:cs="Arial" w:eastAsia="Arial" w:hAnsi="Arial"/>
          <w:b/>
          <w:bCs/>
          <w:color w:val="16A34A"/>
          <w:sz w:val="20"/>
          <w:szCs w:val="20"/>
        </w:rPr>
        <w:t xml:space="preserve">  [Fully Compliant]  </w:t>
      </w:r>
      <w:r>
        <w:rPr>
          <w:rFonts w:ascii="Arial" w:cs="Arial" w:eastAsia="Arial" w:hAnsi="Arial"/>
          <w:b/>
          <w:bCs/>
          <w:color w:val="333333"/>
          <w:sz w:val="21"/>
          <w:szCs w:val="21"/>
        </w:rPr>
        <w:t xml:space="preserve">  Regulatory Risk: </w:t>
      </w:r>
      <w:r>
        <w:rPr>
          <w:rFonts w:ascii="Arial" w:cs="Arial" w:eastAsia="Arial" w:hAnsi="Arial"/>
          <w:b/>
          <w:bCs/>
          <w:color w:val="16A34A"/>
          <w:sz w:val="20"/>
          <w:szCs w:val="20"/>
        </w:rPr>
        <w:t xml:space="preserve">  [Low]  </w:t>
      </w:r>
    </w:p>
    <w:p>
      <w:pPr>
        <w:spacing w:after="40" w:before="40"/>
      </w:pPr>
      <w:r>
        <w:rPr>
          <w:rFonts w:ascii="Arial" w:cs="Arial" w:eastAsia="Arial" w:hAnsi="Arial"/>
          <w:color w:val="333333"/>
          <w:sz w:val="21"/>
          <w:szCs w:val="21"/>
        </w:rPr>
        <w:t xml:space="preserve">RegMind implements codified retention policies: 7 years for KYC documents and application data (aligned with AML regulatory requirements), 5 years for audit logs, 3 years for incidents, 90 days for session data, and 30 days for temporary uploads. S3 lifecycle rules automate tiering (Standard to Standard-IA to Glacier) and deletion. The RetentionManager class enforces retention with automated cleanup and audit logging of all deletions. Data versioning in S3 provides recovery capability.</w:t>
      </w:r>
    </w:p>
    <w:p>
      <w:pPr>
        <w:pStyle w:val="Heading3"/>
        <w:spacing w:after="60" w:before="140"/>
      </w:pPr>
      <w:r>
        <w:rPr>
          <w:rFonts w:ascii="Arial" w:cs="Arial" w:eastAsia="Arial" w:hAnsi="Arial"/>
          <w:b/>
          <w:bCs/>
          <w:color w:val="2E75B6"/>
          <w:sz w:val="23"/>
          <w:szCs w:val="23"/>
        </w:rPr>
        <w:t xml:space="preserve">Gaps</w:t>
      </w:r>
    </w:p>
    <w:p>
      <w:pPr>
        <w:spacing w:after="40" w:before="40"/>
      </w:pPr>
      <w:r>
        <w:rPr>
          <w:rFonts w:ascii="Arial" w:cs="Arial" w:eastAsia="Arial" w:hAnsi="Arial"/>
          <w:color w:val="333333"/>
          <w:sz w:val="21"/>
          <w:szCs w:val="21"/>
        </w:rPr>
        <w:t xml:space="preserve">Retention policies are codified in code but not in a formal data retention policy document. No data destruction certificates are generated.</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Create a formal Data Retention Policy document. Implement data destruction certificates for regulatory audit purposes. Ensure retention enforcement runs on a documented schedule.</w:t>
      </w:r>
    </w:p>
    <w:p>
      <w:pPr>
        <w:spacing w:after="60" w:before="40"/>
      </w:pPr>
      <w:r>
        <w:rPr>
          <w:rFonts w:ascii="Arial" w:cs="Arial" w:eastAsia="Arial" w:hAnsi="Arial"/>
          <w:color w:val="333333"/>
          <w:sz w:val="2"/>
          <w:szCs w:val="2"/>
        </w:rPr>
        <w:t xml:space="preserve"/>
      </w:r>
    </w:p>
    <w:p>
      <w:pPr>
        <w:pStyle w:val="Heading1"/>
        <w:pageBreakBefore/>
        <w:spacing w:after="120" w:before="300"/>
      </w:pPr>
      <w:r>
        <w:rPr>
          <w:rFonts w:ascii="Arial" w:cs="Arial" w:eastAsia="Arial" w:hAnsi="Arial"/>
          <w:b/>
          <w:bCs/>
          <w:color w:val="0A2463"/>
          <w:sz w:val="32"/>
          <w:szCs w:val="32"/>
        </w:rPr>
        <w:t xml:space="preserve">D. Cybersecurity &amp; Cybercrime Act 2021 Assessment</w:t>
      </w:r>
    </w:p>
    <w:p>
      <w:pPr>
        <w:pStyle w:val="Heading2"/>
        <w:spacing w:after="80" w:before="200"/>
      </w:pPr>
      <w:r>
        <w:rPr>
          <w:rFonts w:ascii="Arial" w:cs="Arial" w:eastAsia="Arial" w:hAnsi="Arial"/>
          <w:b/>
          <w:bCs/>
          <w:color w:val="1B2A4A"/>
          <w:sz w:val="26"/>
          <w:szCs w:val="26"/>
        </w:rPr>
        <w:t xml:space="preserve">1. System Security</w:t>
      </w:r>
    </w:p>
    <w:p>
      <w:pPr>
        <w:spacing w:after="60" w:before="60"/>
      </w:pPr>
      <w:r>
        <w:rPr>
          <w:rFonts w:ascii="Arial" w:cs="Arial" w:eastAsia="Arial" w:hAnsi="Arial"/>
          <w:b/>
          <w:bCs/>
          <w:color w:val="333333"/>
          <w:sz w:val="21"/>
          <w:szCs w:val="21"/>
        </w:rPr>
        <w:t xml:space="preserve">Compliance Rating: </w:t>
      </w:r>
      <w:r>
        <w:rPr>
          <w:rFonts w:ascii="Arial" w:cs="Arial" w:eastAsia="Arial" w:hAnsi="Arial"/>
          <w:b/>
          <w:bCs/>
          <w:color w:val="16A34A"/>
          <w:sz w:val="20"/>
          <w:szCs w:val="20"/>
        </w:rPr>
        <w:t xml:space="preserve">  [Fully Compliant]  </w:t>
      </w:r>
      <w:r>
        <w:rPr>
          <w:rFonts w:ascii="Arial" w:cs="Arial" w:eastAsia="Arial" w:hAnsi="Arial"/>
          <w:b/>
          <w:bCs/>
          <w:color w:val="333333"/>
          <w:sz w:val="21"/>
          <w:szCs w:val="21"/>
        </w:rPr>
        <w:t xml:space="preserve">  Risk: </w:t>
      </w:r>
      <w:r>
        <w:rPr>
          <w:rFonts w:ascii="Arial" w:cs="Arial" w:eastAsia="Arial" w:hAnsi="Arial"/>
          <w:b/>
          <w:bCs/>
          <w:color w:val="16A34A"/>
          <w:sz w:val="20"/>
          <w:szCs w:val="20"/>
        </w:rPr>
        <w:t xml:space="preserve">Low</w:t>
      </w:r>
    </w:p>
    <w:p>
      <w:pPr>
        <w:spacing w:after="40" w:before="40"/>
      </w:pPr>
      <w:r>
        <w:rPr>
          <w:rFonts w:ascii="Arial" w:cs="Arial" w:eastAsia="Arial" w:hAnsi="Arial"/>
          <w:color w:val="333333"/>
          <w:sz w:val="21"/>
          <w:szCs w:val="21"/>
        </w:rPr>
        <w:t xml:space="preserve">Protection against unauthorised access is implemented through: JWT authentication with HS256 signing and session-bound jti claims, token revocation capability, bcrypt password hashing with automatic salt generation, role-based access control with 5 role tiers across 79+ protected endpoints, production environment guards that block insecure configurations, and rate limiting to prevent brute-force attacks. Infrastructure resilience features include health check endpoints with database and external API monitoring, Prometheus metrics integration for operational monitoring, and background cleanup threads for resource management.</w:t>
      </w:r>
    </w:p>
    <w:p>
      <w:pPr>
        <w:pStyle w:val="Heading3"/>
        <w:spacing w:after="60" w:before="140"/>
      </w:pPr>
      <w:r>
        <w:rPr>
          <w:rFonts w:ascii="Arial" w:cs="Arial" w:eastAsia="Arial" w:hAnsi="Arial"/>
          <w:b/>
          <w:bCs/>
          <w:color w:val="2E75B6"/>
          <w:sz w:val="23"/>
          <w:szCs w:val="23"/>
        </w:rPr>
        <w:t xml:space="preserve">Risks</w:t>
      </w:r>
    </w:p>
    <w:p>
      <w:pPr>
        <w:spacing w:after="40" w:before="40"/>
      </w:pPr>
      <w:r>
        <w:rPr>
          <w:rFonts w:ascii="Arial" w:cs="Arial" w:eastAsia="Arial" w:hAnsi="Arial"/>
          <w:color w:val="333333"/>
          <w:sz w:val="21"/>
          <w:szCs w:val="21"/>
        </w:rPr>
        <w:t xml:space="preserve">JWT uses HS256 (symmetric key) rather than RS256 (asymmetric). No documented infrastructure hardening guide. No multi-factor authentication.</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Consider migration to RS256 JWT. Implement MFA for privileged roles (admin, SCO). Document infrastructure hardening requirements for deployment.</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2. Data Integrity</w:t>
      </w:r>
    </w:p>
    <w:p>
      <w:pPr>
        <w:spacing w:after="60" w:before="60"/>
      </w:pPr>
      <w:r>
        <w:rPr>
          <w:rFonts w:ascii="Arial" w:cs="Arial" w:eastAsia="Arial" w:hAnsi="Arial"/>
          <w:b/>
          <w:bCs/>
          <w:color w:val="333333"/>
          <w:sz w:val="21"/>
          <w:szCs w:val="21"/>
        </w:rPr>
        <w:t xml:space="preserve">Compliance Rating: </w:t>
      </w:r>
      <w:r>
        <w:rPr>
          <w:rFonts w:ascii="Arial" w:cs="Arial" w:eastAsia="Arial" w:hAnsi="Arial"/>
          <w:b/>
          <w:bCs/>
          <w:color w:val="16A34A"/>
          <w:sz w:val="20"/>
          <w:szCs w:val="20"/>
        </w:rPr>
        <w:t xml:space="preserve">  [Fully Compliant]  </w:t>
      </w:r>
      <w:r>
        <w:rPr>
          <w:rFonts w:ascii="Arial" w:cs="Arial" w:eastAsia="Arial" w:hAnsi="Arial"/>
          <w:b/>
          <w:bCs/>
          <w:color w:val="333333"/>
          <w:sz w:val="21"/>
          <w:szCs w:val="21"/>
        </w:rPr>
        <w:t xml:space="preserve">  Risk: </w:t>
      </w:r>
      <w:r>
        <w:rPr>
          <w:rFonts w:ascii="Arial" w:cs="Arial" w:eastAsia="Arial" w:hAnsi="Arial"/>
          <w:b/>
          <w:bCs/>
          <w:color w:val="16A34A"/>
          <w:sz w:val="20"/>
          <w:szCs w:val="20"/>
        </w:rPr>
        <w:t xml:space="preserve">Low</w:t>
      </w:r>
    </w:p>
    <w:p>
      <w:pPr>
        <w:spacing w:after="40" w:before="40"/>
      </w:pPr>
      <w:r>
        <w:rPr>
          <w:rFonts w:ascii="Arial" w:cs="Arial" w:eastAsia="Arial" w:hAnsi="Arial"/>
          <w:color w:val="333333"/>
          <w:sz w:val="21"/>
          <w:szCs w:val="21"/>
        </w:rPr>
        <w:t xml:space="preserve">The supervisor audit log implements a SHA-256 hash chain for tamper detection: each entry's hash incorporates the previous entry's hash, creating a cryptographic chain of custody. Any modification to historical entries would break the chain and be detectable via the chain verification endpoint. AI output validation uses Pydantic schemas to ensure type safety, bounds checking, and structural integrity of all agent outputs. The validation engine cross-checks memo consistency across 13 quality dimensions. The supervisor performs 9 inter-section contradiction checks on every memo.</w:t>
      </w:r>
    </w:p>
    <w:p>
      <w:pPr>
        <w:pStyle w:val="Heading3"/>
        <w:spacing w:after="60" w:before="140"/>
      </w:pPr>
      <w:r>
        <w:rPr>
          <w:rFonts w:ascii="Arial" w:cs="Arial" w:eastAsia="Arial" w:hAnsi="Arial"/>
          <w:b/>
          <w:bCs/>
          <w:color w:val="2E75B6"/>
          <w:sz w:val="23"/>
          <w:szCs w:val="23"/>
        </w:rPr>
        <w:t xml:space="preserve">Risks</w:t>
      </w:r>
    </w:p>
    <w:p>
      <w:pPr>
        <w:spacing w:after="40" w:before="40"/>
      </w:pPr>
      <w:r>
        <w:rPr>
          <w:rFonts w:ascii="Arial" w:cs="Arial" w:eastAsia="Arial" w:hAnsi="Arial"/>
          <w:color w:val="333333"/>
          <w:sz w:val="21"/>
          <w:szCs w:val="21"/>
        </w:rPr>
        <w:t xml:space="preserve">Hash chain is application-level, not database-enforced. No Write-Once-Read-Many (WORM) storage for audit logs. No digital signatures on individual audit entries.</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Consider database-level immutability controls (PostgreSQL RLS + triggers). Implement digital signing of audit entries. Evaluate WORM storage for production audit logs.</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3. Cyber Risk Management</w:t>
      </w:r>
    </w:p>
    <w:p>
      <w:pPr>
        <w:spacing w:after="60" w:before="60"/>
      </w:pPr>
      <w:r>
        <w:rPr>
          <w:rFonts w:ascii="Arial" w:cs="Arial" w:eastAsia="Arial" w:hAnsi="Arial"/>
          <w:b/>
          <w:bCs/>
          <w:color w:val="333333"/>
          <w:sz w:val="21"/>
          <w:szCs w:val="21"/>
        </w:rPr>
        <w:t xml:space="preserve">Compliance Rating: </w:t>
      </w:r>
      <w:r>
        <w:rPr>
          <w:rFonts w:ascii="Arial" w:cs="Arial" w:eastAsia="Arial" w:hAnsi="Arial"/>
          <w:b/>
          <w:bCs/>
          <w:color w:val="D97706"/>
          <w:sz w:val="20"/>
          <w:szCs w:val="20"/>
        </w:rPr>
        <w:t xml:space="preserve">  [Partially Compliant]  </w:t>
      </w:r>
      <w:r>
        <w:rPr>
          <w:rFonts w:ascii="Arial" w:cs="Arial" w:eastAsia="Arial" w:hAnsi="Arial"/>
          <w:b/>
          <w:bCs/>
          <w:color w:val="333333"/>
          <w:sz w:val="21"/>
          <w:szCs w:val="21"/>
        </w:rPr>
        <w:t xml:space="preserve">  Risk: </w:t>
      </w:r>
      <w:r>
        <w:rPr>
          <w:rFonts w:ascii="Arial" w:cs="Arial" w:eastAsia="Arial" w:hAnsi="Arial"/>
          <w:b/>
          <w:bCs/>
          <w:color w:val="16A34A"/>
          <w:sz w:val="20"/>
          <w:szCs w:val="20"/>
        </w:rPr>
        <w:t xml:space="preserve">Low</w:t>
      </w:r>
    </w:p>
    <w:p>
      <w:pPr>
        <w:spacing w:after="40" w:before="40"/>
      </w:pPr>
      <w:r>
        <w:rPr>
          <w:rFonts w:ascii="Arial" w:cs="Arial" w:eastAsia="Arial" w:hAnsi="Arial"/>
          <w:color w:val="333333"/>
          <w:sz w:val="21"/>
          <w:szCs w:val="21"/>
        </w:rPr>
        <w:t xml:space="preserve">The platform monitors system health via the /health endpoint (database connectivity, external API status). Prometheus metrics track HTTP requests, application processing, screening operations, and SAR reports. The IncidentLogger class classifies incidents by severity (CRITICAL, HIGH, MEDIUM, LOW). Email alerting is available via IncidentAlertingService with escalation levels.</w:t>
      </w:r>
    </w:p>
    <w:p>
      <w:pPr>
        <w:pStyle w:val="Heading3"/>
        <w:spacing w:after="60" w:before="140"/>
      </w:pPr>
      <w:r>
        <w:rPr>
          <w:rFonts w:ascii="Arial" w:cs="Arial" w:eastAsia="Arial" w:hAnsi="Arial"/>
          <w:b/>
          <w:bCs/>
          <w:color w:val="2E75B6"/>
          <w:sz w:val="23"/>
          <w:szCs w:val="23"/>
        </w:rPr>
        <w:t xml:space="preserve">Risks</w:t>
      </w:r>
    </w:p>
    <w:p>
      <w:pPr>
        <w:spacing w:after="40" w:before="40"/>
      </w:pPr>
      <w:r>
        <w:rPr>
          <w:rFonts w:ascii="Arial" w:cs="Arial" w:eastAsia="Arial" w:hAnsi="Arial"/>
          <w:color w:val="333333"/>
          <w:sz w:val="21"/>
          <w:szCs w:val="21"/>
        </w:rPr>
        <w:t xml:space="preserve">No Security Information and Event Management (SIEM) integration. No anomaly detection for unusual access patterns. No real-time threat monitoring. No security operations centre (SOC) procedures.</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Integrate with a SIEM solution. Implement anomaly detection for login patterns and API access. Establish SOC procedures. Deploy automated alerting for suspicious activities.</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4. Third-Party / Vendor Risk</w:t>
      </w:r>
    </w:p>
    <w:p>
      <w:pPr>
        <w:spacing w:after="60" w:before="60"/>
      </w:pPr>
      <w:r>
        <w:rPr>
          <w:rFonts w:ascii="Arial" w:cs="Arial" w:eastAsia="Arial" w:hAnsi="Arial"/>
          <w:b/>
          <w:bCs/>
          <w:color w:val="333333"/>
          <w:sz w:val="21"/>
          <w:szCs w:val="21"/>
        </w:rPr>
        <w:t xml:space="preserve">Compliance Rating: </w:t>
      </w:r>
      <w:r>
        <w:rPr>
          <w:rFonts w:ascii="Arial" w:cs="Arial" w:eastAsia="Arial" w:hAnsi="Arial"/>
          <w:b/>
          <w:bCs/>
          <w:color w:val="D97706"/>
          <w:sz w:val="20"/>
          <w:szCs w:val="20"/>
        </w:rPr>
        <w:t xml:space="preserve">  [Partially Compliant]  </w:t>
      </w:r>
      <w:r>
        <w:rPr>
          <w:rFonts w:ascii="Arial" w:cs="Arial" w:eastAsia="Arial" w:hAnsi="Arial"/>
          <w:b/>
          <w:bCs/>
          <w:color w:val="333333"/>
          <w:sz w:val="21"/>
          <w:szCs w:val="21"/>
        </w:rPr>
        <w:t xml:space="preserve">  Risk: </w:t>
      </w:r>
      <w:r>
        <w:rPr>
          <w:rFonts w:ascii="Arial" w:cs="Arial" w:eastAsia="Arial" w:hAnsi="Arial"/>
          <w:b/>
          <w:bCs/>
          <w:color w:val="D97706"/>
          <w:sz w:val="20"/>
          <w:szCs w:val="20"/>
        </w:rPr>
        <w:t xml:space="preserve">Medium</w:t>
      </w:r>
    </w:p>
    <w:p>
      <w:pPr>
        <w:spacing w:after="40" w:before="40"/>
      </w:pPr>
      <w:r>
        <w:rPr>
          <w:rFonts w:ascii="Arial" w:cs="Arial" w:eastAsia="Arial" w:hAnsi="Arial"/>
          <w:color w:val="333333"/>
          <w:sz w:val="21"/>
          <w:szCs w:val="21"/>
        </w:rPr>
        <w:t xml:space="preserve">RegMind relies on Anthropic Claude API as the core AI provider. The integration includes monthly budget tracking, token usage monitoring, and cost calculation. Prompt sanitisation reduces data exposure risk. Production guards prevent mock API usage. External API integrations include OpenSanctions, OpenCorporates, Sumsub (KYC), and IP geolocation services. S3 is used for document storage with encryption enforced.</w:t>
      </w:r>
    </w:p>
    <w:p>
      <w:pPr>
        <w:pStyle w:val="Heading3"/>
        <w:spacing w:after="60" w:before="140"/>
      </w:pPr>
      <w:r>
        <w:rPr>
          <w:rFonts w:ascii="Arial" w:cs="Arial" w:eastAsia="Arial" w:hAnsi="Arial"/>
          <w:b/>
          <w:bCs/>
          <w:color w:val="2E75B6"/>
          <w:sz w:val="23"/>
          <w:szCs w:val="23"/>
        </w:rPr>
        <w:t xml:space="preserve">Risks</w:t>
      </w:r>
    </w:p>
    <w:p>
      <w:pPr>
        <w:spacing w:after="40" w:before="40"/>
      </w:pPr>
      <w:r>
        <w:rPr>
          <w:rFonts w:ascii="Arial" w:cs="Arial" w:eastAsia="Arial" w:hAnsi="Arial"/>
          <w:color w:val="333333"/>
          <w:sz w:val="21"/>
          <w:szCs w:val="21"/>
        </w:rPr>
        <w:t xml:space="preserve">No formal vendor risk assessment for Anthropic. No data processing agreement covering LLM data handling. No documented fallback procedures if Claude API is unavailable. No supply chain security assessment for npm/pip dependencies. No SLA documentation for critical third-party services.</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Execute formal vendor risk assessments for all critical providers. Establish a data processing agreement with Anthropic. Document fallback procedures. Implement dependency vulnerability scanning. Establish SLAs with uptime and data handling requirements.</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5. Incident Response</w:t>
      </w:r>
    </w:p>
    <w:p>
      <w:pPr>
        <w:spacing w:after="60" w:before="60"/>
      </w:pPr>
      <w:r>
        <w:rPr>
          <w:rFonts w:ascii="Arial" w:cs="Arial" w:eastAsia="Arial" w:hAnsi="Arial"/>
          <w:b/>
          <w:bCs/>
          <w:color w:val="333333"/>
          <w:sz w:val="21"/>
          <w:szCs w:val="21"/>
        </w:rPr>
        <w:t xml:space="preserve">Compliance Rating: </w:t>
      </w:r>
      <w:r>
        <w:rPr>
          <w:rFonts w:ascii="Arial" w:cs="Arial" w:eastAsia="Arial" w:hAnsi="Arial"/>
          <w:b/>
          <w:bCs/>
          <w:color w:val="D97706"/>
          <w:sz w:val="20"/>
          <w:szCs w:val="20"/>
        </w:rPr>
        <w:t xml:space="preserve">  [Partially Compliant]  </w:t>
      </w:r>
      <w:r>
        <w:rPr>
          <w:rFonts w:ascii="Arial" w:cs="Arial" w:eastAsia="Arial" w:hAnsi="Arial"/>
          <w:b/>
          <w:bCs/>
          <w:color w:val="333333"/>
          <w:sz w:val="21"/>
          <w:szCs w:val="21"/>
        </w:rPr>
        <w:t xml:space="preserve">  Risk: </w:t>
      </w:r>
      <w:r>
        <w:rPr>
          <w:rFonts w:ascii="Arial" w:cs="Arial" w:eastAsia="Arial" w:hAnsi="Arial"/>
          <w:b/>
          <w:bCs/>
          <w:color w:val="D97706"/>
          <w:sz w:val="20"/>
          <w:szCs w:val="20"/>
        </w:rPr>
        <w:t xml:space="preserve">Medium</w:t>
      </w:r>
    </w:p>
    <w:p>
      <w:pPr>
        <w:spacing w:after="40" w:before="40"/>
      </w:pPr>
      <w:r>
        <w:rPr>
          <w:rFonts w:ascii="Arial" w:cs="Arial" w:eastAsia="Arial" w:hAnsi="Arial"/>
          <w:color w:val="333333"/>
          <w:sz w:val="21"/>
          <w:szCs w:val="21"/>
        </w:rPr>
        <w:t xml:space="preserve">The IncidentLogger class provides structured incident recording with severity classification. The IncidentAlertingService enables email-based alerting with escalation. Audit logging captures all system events for forensic analysis. Health checks provide basic monitoring. However, no formal incident response plan exists, and no CERT-MU reporting workflow has been implemented.</w:t>
      </w:r>
    </w:p>
    <w:p>
      <w:pPr>
        <w:pStyle w:val="Heading3"/>
        <w:spacing w:after="60" w:before="140"/>
      </w:pPr>
      <w:r>
        <w:rPr>
          <w:rFonts w:ascii="Arial" w:cs="Arial" w:eastAsia="Arial" w:hAnsi="Arial"/>
          <w:b/>
          <w:bCs/>
          <w:color w:val="2E75B6"/>
          <w:sz w:val="23"/>
          <w:szCs w:val="23"/>
        </w:rPr>
        <w:t xml:space="preserve">Risks</w:t>
      </w:r>
    </w:p>
    <w:p>
      <w:pPr>
        <w:spacing w:after="40" w:before="40"/>
      </w:pPr>
      <w:r>
        <w:rPr>
          <w:rFonts w:ascii="Arial" w:cs="Arial" w:eastAsia="Arial" w:hAnsi="Arial"/>
          <w:color w:val="333333"/>
          <w:sz w:val="21"/>
          <w:szCs w:val="21"/>
        </w:rPr>
        <w:t xml:space="preserve">No formal Incident Response Plan (IRP). No CERT-MU notification procedures. No breach notification workflow compliant with DPA 2017 requirements (notification within 72 hours). No tabletop exercises or simulation drills documented.</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Develop a formal Incident Response Plan. Implement CERT-MU reporting workflows. Create breach notification procedures aligned with DPA 2017 timelines. Conduct quarterly incident response drills.</w:t>
      </w:r>
    </w:p>
    <w:p>
      <w:pPr>
        <w:spacing w:after="60" w:before="40"/>
      </w:pPr>
      <w:r>
        <w:rPr>
          <w:rFonts w:ascii="Arial" w:cs="Arial" w:eastAsia="Arial" w:hAnsi="Arial"/>
          <w:color w:val="333333"/>
          <w:sz w:val="2"/>
          <w:szCs w:val="2"/>
        </w:rPr>
        <w:t xml:space="preserve"/>
      </w:r>
    </w:p>
    <w:p>
      <w:pPr>
        <w:pStyle w:val="Heading2"/>
        <w:spacing w:after="80" w:before="200"/>
      </w:pPr>
      <w:r>
        <w:rPr>
          <w:rFonts w:ascii="Arial" w:cs="Arial" w:eastAsia="Arial" w:hAnsi="Arial"/>
          <w:b/>
          <w:bCs/>
          <w:color w:val="1B2A4A"/>
          <w:sz w:val="26"/>
          <w:szCs w:val="26"/>
        </w:rPr>
        <w:t xml:space="preserve">6. Cybercrime Exposure</w:t>
      </w:r>
    </w:p>
    <w:p>
      <w:pPr>
        <w:spacing w:after="60" w:before="60"/>
      </w:pPr>
      <w:r>
        <w:rPr>
          <w:rFonts w:ascii="Arial" w:cs="Arial" w:eastAsia="Arial" w:hAnsi="Arial"/>
          <w:b/>
          <w:bCs/>
          <w:color w:val="333333"/>
          <w:sz w:val="21"/>
          <w:szCs w:val="21"/>
        </w:rPr>
        <w:t xml:space="preserve">Compliance Rating: </w:t>
      </w:r>
      <w:r>
        <w:rPr>
          <w:rFonts w:ascii="Arial" w:cs="Arial" w:eastAsia="Arial" w:hAnsi="Arial"/>
          <w:b/>
          <w:bCs/>
          <w:color w:val="D97706"/>
          <w:sz w:val="20"/>
          <w:szCs w:val="20"/>
        </w:rPr>
        <w:t xml:space="preserve">  [Partially Compliant]  </w:t>
      </w:r>
      <w:r>
        <w:rPr>
          <w:rFonts w:ascii="Arial" w:cs="Arial" w:eastAsia="Arial" w:hAnsi="Arial"/>
          <w:b/>
          <w:bCs/>
          <w:color w:val="333333"/>
          <w:sz w:val="21"/>
          <w:szCs w:val="21"/>
        </w:rPr>
        <w:t xml:space="preserve">  Risk: </w:t>
      </w:r>
      <w:r>
        <w:rPr>
          <w:rFonts w:ascii="Arial" w:cs="Arial" w:eastAsia="Arial" w:hAnsi="Arial"/>
          <w:b/>
          <w:bCs/>
          <w:color w:val="16A34A"/>
          <w:sz w:val="20"/>
          <w:szCs w:val="20"/>
        </w:rPr>
        <w:t xml:space="preserve">Low</w:t>
      </w:r>
    </w:p>
    <w:p>
      <w:pPr>
        <w:spacing w:after="40" w:before="40"/>
      </w:pPr>
      <w:r>
        <w:rPr>
          <w:rFonts w:ascii="Arial" w:cs="Arial" w:eastAsia="Arial" w:hAnsi="Arial"/>
          <w:color w:val="333333"/>
          <w:sz w:val="21"/>
          <w:szCs w:val="21"/>
        </w:rPr>
        <w:t xml:space="preserve">The platform addresses several cybercrime vectors: prompt injection prevention via recursive pattern matching and sanitisation of LLM inputs, rate limiting to prevent denial-of-service, parameterised SQL to prevent injection, HTML sanitisation to prevent XSS, and production guards preventing use of simulated data. AI source tracking (tag_ai_response) ensures outputs are attributed to verified AI providers, preventing mock data from entering production decisions.</w:t>
      </w:r>
    </w:p>
    <w:p>
      <w:pPr>
        <w:pStyle w:val="Heading3"/>
        <w:spacing w:after="60" w:before="140"/>
      </w:pPr>
      <w:r>
        <w:rPr>
          <w:rFonts w:ascii="Arial" w:cs="Arial" w:eastAsia="Arial" w:hAnsi="Arial"/>
          <w:b/>
          <w:bCs/>
          <w:color w:val="2E75B6"/>
          <w:sz w:val="23"/>
          <w:szCs w:val="23"/>
        </w:rPr>
        <w:t xml:space="preserve">Risks</w:t>
      </w:r>
    </w:p>
    <w:p>
      <w:pPr>
        <w:spacing w:after="40" w:before="40"/>
      </w:pPr>
      <w:r>
        <w:rPr>
          <w:rFonts w:ascii="Arial" w:cs="Arial" w:eastAsia="Arial" w:hAnsi="Arial"/>
          <w:color w:val="333333"/>
          <w:sz w:val="21"/>
          <w:szCs w:val="21"/>
        </w:rPr>
        <w:t xml:space="preserve">No adversarial input testing (jailbreak attempts on LLM). No fraud detection for manipulated identity documents beyond AI verification. No deepfake detection for submitted documents. No model extraction protection.</w:t>
      </w:r>
    </w:p>
    <w:p>
      <w:pPr>
        <w:pStyle w:val="Heading3"/>
        <w:spacing w:after="60" w:before="140"/>
      </w:pPr>
      <w:r>
        <w:rPr>
          <w:rFonts w:ascii="Arial" w:cs="Arial" w:eastAsia="Arial" w:hAnsi="Arial"/>
          <w:b/>
          <w:bCs/>
          <w:color w:val="2E75B6"/>
          <w:sz w:val="23"/>
          <w:szCs w:val="23"/>
        </w:rPr>
        <w:t xml:space="preserve">Recommendations</w:t>
      </w:r>
    </w:p>
    <w:p>
      <w:pPr>
        <w:spacing w:after="40" w:before="40"/>
      </w:pPr>
      <w:r>
        <w:rPr>
          <w:rFonts w:ascii="Arial" w:cs="Arial" w:eastAsia="Arial" w:hAnsi="Arial"/>
          <w:color w:val="333333"/>
          <w:sz w:val="21"/>
          <w:szCs w:val="21"/>
        </w:rPr>
        <w:t xml:space="preserve">Implement adversarial robustness testing for the LLM pipeline. Add deepfake detection for identity document verification. Consider model output watermarking. Conduct regular red-team exercises targeting the AI pipeline.</w:t>
      </w:r>
    </w:p>
    <w:p>
      <w:pPr>
        <w:spacing w:after="60" w:before="40"/>
      </w:pPr>
      <w:r>
        <w:rPr>
          <w:rFonts w:ascii="Arial" w:cs="Arial" w:eastAsia="Arial" w:hAnsi="Arial"/>
          <w:color w:val="333333"/>
          <w:sz w:val="2"/>
          <w:szCs w:val="2"/>
        </w:rPr>
        <w:t xml:space="preserve"/>
      </w:r>
    </w:p>
    <w:p>
      <w:pPr>
        <w:pStyle w:val="Heading1"/>
        <w:pageBreakBefore/>
        <w:spacing w:after="120" w:before="300"/>
      </w:pPr>
      <w:r>
        <w:rPr>
          <w:rFonts w:ascii="Arial" w:cs="Arial" w:eastAsia="Arial" w:hAnsi="Arial"/>
          <w:b/>
          <w:bCs/>
          <w:color w:val="0A2463"/>
          <w:sz w:val="32"/>
          <w:szCs w:val="32"/>
        </w:rPr>
        <w:t xml:space="preserve">E. Cross-Framework Critical Themes</w:t>
      </w:r>
    </w:p>
    <w:p>
      <w:pPr>
        <w:pStyle w:val="Heading2"/>
        <w:spacing w:after="80" w:before="200"/>
      </w:pPr>
      <w:r>
        <w:rPr>
          <w:rFonts w:ascii="Arial" w:cs="Arial" w:eastAsia="Arial" w:hAnsi="Arial"/>
          <w:b/>
          <w:bCs/>
          <w:color w:val="1B2A4A"/>
          <w:sz w:val="26"/>
          <w:szCs w:val="26"/>
        </w:rPr>
        <w:t xml:space="preserve">1. AI Governance &amp; Accountability</w:t>
      </w:r>
    </w:p>
    <w:p>
      <w:pPr>
        <w:spacing w:after="40" w:before="40"/>
      </w:pPr>
      <w:r>
        <w:rPr>
          <w:rFonts w:ascii="Arial" w:cs="Arial" w:eastAsia="Arial" w:hAnsi="Arial"/>
          <w:color w:val="333333"/>
          <w:sz w:val="21"/>
          <w:szCs w:val="21"/>
        </w:rPr>
        <w:t xml:space="preserve">The platform provides comprehensive technical controls for accountability (audit logging, hash chain integrity, human review records with actor identification, override tracking). However, the organisational governance layer is absent: no AI Governance Policy, no designated AI Accountability Officer, no AI ethics committee, and no documented governance framework. This creates a gap where the technology supports accountability but the institutional framework to exercise it is missing. Under both FSC Principle 3 and the DPA 2017, the regulated institution must designate accountable individuals for AI systems. The platform should embed governance roles into its RBAC system and provide governance dashboards for designated officers.</w:t>
      </w:r>
    </w:p>
    <w:p>
      <w:pPr>
        <w:pStyle w:val="Heading2"/>
        <w:spacing w:after="80" w:before="200"/>
      </w:pPr>
      <w:r>
        <w:rPr>
          <w:rFonts w:ascii="Arial" w:cs="Arial" w:eastAsia="Arial" w:hAnsi="Arial"/>
          <w:b/>
          <w:bCs/>
          <w:color w:val="1B2A4A"/>
          <w:sz w:val="26"/>
          <w:szCs w:val="26"/>
        </w:rPr>
        <w:t xml:space="preserve">2. Human Oversight</w:t>
      </w:r>
    </w:p>
    <w:p>
      <w:pPr>
        <w:spacing w:after="40" w:before="40"/>
      </w:pPr>
      <w:r>
        <w:rPr>
          <w:rFonts w:ascii="Arial" w:cs="Arial" w:eastAsia="Arial" w:hAnsi="Arial"/>
          <w:color w:val="333333"/>
          <w:sz w:val="21"/>
          <w:szCs w:val="21"/>
        </w:rPr>
        <w:t xml:space="preserve">This is a clear strength of the platform. The architecture enforces human oversight at multiple levels: AI recommendations require officer review before any decision, confidence routing (&gt;0.85 normal, 0.65-0.85 mandatory review, &lt;0.65 mandatory escalation) ensures low-confidence outputs are escalated, the ApprovalGateValidator enforces pre-conditions before approval (verified KYC, non-simulated screening, memo existence, no flagged documents, AI source not mock), high-risk applications require dual approval, and the override tracking system with mandatory justification fields creates accountability for human decisions that diverge from AI recommendations. This architecture is well-aligned with the FSC Principle 7 (Human-Centricity) requirement and DPA Section 38 (right not to be subject to solely automated decisions).</w:t>
      </w:r>
    </w:p>
    <w:p>
      <w:pPr>
        <w:pStyle w:val="Heading2"/>
        <w:spacing w:after="80" w:before="200"/>
      </w:pPr>
      <w:r>
        <w:rPr>
          <w:rFonts w:ascii="Arial" w:cs="Arial" w:eastAsia="Arial" w:hAnsi="Arial"/>
          <w:b/>
          <w:bCs/>
          <w:color w:val="1B2A4A"/>
          <w:sz w:val="26"/>
          <w:szCs w:val="26"/>
        </w:rPr>
        <w:t xml:space="preserve">3. Explainability &amp; Auditability</w:t>
      </w:r>
    </w:p>
    <w:p>
      <w:pPr>
        <w:spacing w:after="40" w:before="40"/>
      </w:pPr>
      <w:r>
        <w:rPr>
          <w:rFonts w:ascii="Arial" w:cs="Arial" w:eastAsia="Arial" w:hAnsi="Arial"/>
          <w:color w:val="333333"/>
          <w:sz w:val="21"/>
          <w:szCs w:val="21"/>
        </w:rPr>
        <w:t xml:space="preserve">The explainability framework is robust: structured risk factor separation into risk-increasing and risk-decreasing categories with numerical weights, supervisor verdict (CONSISTENT/CONSISTENT_WITH_WARNINGS/INCONSISTENT) with contradiction details and confidence scores, 13-category validation engine with quality scoring, decision pathway traceability through the 10-agent pipeline, and PDF export including all explainability data and supervisor verdict. For regulator audit readiness, the append-only hash-chained audit log provides a verifiable chain of custody for all system events. The main audit_log captures user identity, role, action, target, detail, IP address, and timestamp for every API operation. This level of traceability should satisfy FSC and Data Protection Office audit requirements.</w:t>
      </w:r>
    </w:p>
    <w:p>
      <w:pPr>
        <w:pStyle w:val="Heading2"/>
        <w:spacing w:after="80" w:before="200"/>
      </w:pPr>
      <w:r>
        <w:rPr>
          <w:rFonts w:ascii="Arial" w:cs="Arial" w:eastAsia="Arial" w:hAnsi="Arial"/>
          <w:b/>
          <w:bCs/>
          <w:color w:val="1B2A4A"/>
          <w:sz w:val="26"/>
          <w:szCs w:val="26"/>
        </w:rPr>
        <w:t xml:space="preserve">4. Bias &amp; Fairness Controls</w:t>
      </w:r>
    </w:p>
    <w:p>
      <w:pPr>
        <w:spacing w:after="40" w:before="40"/>
      </w:pPr>
      <w:r>
        <w:rPr>
          <w:rFonts w:ascii="Arial" w:cs="Arial" w:eastAsia="Arial" w:hAnsi="Arial"/>
          <w:color w:val="333333"/>
          <w:sz w:val="21"/>
          <w:szCs w:val="21"/>
        </w:rPr>
        <w:t xml:space="preserve">This is the most significant gap across all three frameworks. While the risk scoring methodology uses objective compliance factors rather than demographic characteristics, the absence of bias monitoring means the platform cannot demonstrate that its AI outputs do not produce systematically discriminatory outcomes. No fairness metrics are tracked. No disparate impact analysis is performed. No demographic breakdown of decisions is available. This gap is relevant to FSC Principle 1, DPA Section 38 (automated decision-making must not discriminate), and general regulatory expectations for AI in financial services. Remediation should be treated as a priority.</w:t>
      </w:r>
    </w:p>
    <w:p>
      <w:pPr>
        <w:pStyle w:val="Heading2"/>
        <w:spacing w:after="80" w:before="200"/>
      </w:pPr>
      <w:r>
        <w:rPr>
          <w:rFonts w:ascii="Arial" w:cs="Arial" w:eastAsia="Arial" w:hAnsi="Arial"/>
          <w:b/>
          <w:bCs/>
          <w:color w:val="1B2A4A"/>
          <w:sz w:val="26"/>
          <w:szCs w:val="26"/>
        </w:rPr>
        <w:t xml:space="preserve">5. Data Protection &amp; Privacy Risks</w:t>
      </w:r>
    </w:p>
    <w:p>
      <w:pPr>
        <w:spacing w:after="40" w:before="40"/>
      </w:pPr>
      <w:r>
        <w:rPr>
          <w:rFonts w:ascii="Arial" w:cs="Arial" w:eastAsia="Arial" w:hAnsi="Arial"/>
          <w:color w:val="333333"/>
          <w:sz w:val="21"/>
          <w:szCs w:val="21"/>
        </w:rPr>
        <w:t xml:space="preserve">The platform's data protection posture is technically strong (field-level encryption, production-mandatory keys, retention policies, access controls) but procedurally incomplete. The absence of a DPIA is the most critical gap: the processing of PEP status, identity documents, and financial information through an AI pipeline clearly requires a formal impact assessment under DPA 2017. The transmission of personal data to the Anthropic Claude API (a US-based processor) raises cross-border data transfer questions under the DPA 2017. While the platform sanitises inputs, names, nationalities, and PEP statuses are necessarily included in prompts for compliance analysis. A data processing agreement and transfer impact assessment are required.</w:t>
      </w:r>
    </w:p>
    <w:p>
      <w:pPr>
        <w:pStyle w:val="Heading2"/>
        <w:spacing w:after="80" w:before="200"/>
      </w:pPr>
      <w:r>
        <w:rPr>
          <w:rFonts w:ascii="Arial" w:cs="Arial" w:eastAsia="Arial" w:hAnsi="Arial"/>
          <w:b/>
          <w:bCs/>
          <w:color w:val="1B2A4A"/>
          <w:sz w:val="26"/>
          <w:szCs w:val="26"/>
        </w:rPr>
        <w:t xml:space="preserve">6. Cybersecurity &amp; System Resilience</w:t>
      </w:r>
    </w:p>
    <w:p>
      <w:pPr>
        <w:spacing w:after="40" w:before="40"/>
      </w:pPr>
      <w:r>
        <w:rPr>
          <w:rFonts w:ascii="Arial" w:cs="Arial" w:eastAsia="Arial" w:hAnsi="Arial"/>
          <w:color w:val="333333"/>
          <w:sz w:val="21"/>
          <w:szCs w:val="21"/>
        </w:rPr>
        <w:t xml:space="preserve">The platform demonstrates a mature security posture for its stage of development. Authentication, encryption, access control, input validation, and rate limiting are all implemented. The prompt injection detection is particularly noteworthy as a defence against an AI-specific attack vector. The main gaps are operational rather than architectural: no penetration testing evidence, no SIEM integration, no formal incident response plan, and no CERT-MU reporting workflow. These are implementation items that build on a solid architectural foundation.</w:t>
      </w:r>
    </w:p>
    <w:p>
      <w:pPr>
        <w:pStyle w:val="Heading1"/>
        <w:pageBreakBefore/>
        <w:spacing w:after="120" w:before="300"/>
      </w:pPr>
      <w:r>
        <w:rPr>
          <w:rFonts w:ascii="Arial" w:cs="Arial" w:eastAsia="Arial" w:hAnsi="Arial"/>
          <w:b/>
          <w:bCs/>
          <w:color w:val="0A2463"/>
          <w:sz w:val="32"/>
          <w:szCs w:val="32"/>
        </w:rPr>
        <w:t xml:space="preserve">F. Gap Analysis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2200"/>
        <w:gridCol w:w="800"/>
        <w:gridCol w:w="800"/>
        <w:gridCol w:w="2526"/>
      </w:tblGrid>
      <w:tr>
        <w:trPr>
          <w:tblHeader/>
        </w:trPr>
        <w:tc>
          <w:tcPr>
            <w:tcW w:type="dxa" w:w="14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Area</w:t>
            </w:r>
          </w:p>
        </w:tc>
        <w:tc>
          <w:tcPr>
            <w:tcW w:type="dxa" w:w="13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Regulation</w:t>
            </w:r>
          </w:p>
        </w:tc>
        <w:tc>
          <w:tcPr>
            <w:tcW w:type="dxa" w:w="22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Gap</w:t>
            </w:r>
          </w:p>
        </w:tc>
        <w:tc>
          <w:tcPr>
            <w:tcW w:type="dxa" w:w="8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Risk</w:t>
            </w:r>
          </w:p>
        </w:tc>
        <w:tc>
          <w:tcPr>
            <w:tcW w:type="dxa" w:w="8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Impact</w:t>
            </w:r>
          </w:p>
        </w:tc>
        <w:tc>
          <w:tcPr>
            <w:tcW w:type="dxa" w:w="2526"/>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Recommended Fix</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DPIA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DPA 2017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Data Protection Impact Assessment conducted for AI processing pipeline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High</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Conduct comprehensive DPIA; consult Data Protection Commissioner</w:t>
            </w:r>
          </w:p>
        </w:tc>
      </w:tr>
      <w:tr>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Bias Monitoring</w:t>
            </w:r>
          </w:p>
        </w:tc>
        <w:tc>
          <w:tcPr>
            <w:tcW w:type="dxa" w:w="1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FSC Principle 1</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demographic bias testing, fairness metrics, or disparate impact analysis</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High</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High</w:t>
            </w:r>
          </w:p>
        </w:tc>
        <w:tc>
          <w:tcPr>
            <w:tcW w:type="dxa" w:w="25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Implement bias monitoring module; quarterly disparate impact reviews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Data Subject Rights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DPA 2017 S.37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right-to-erasure, data portability, or consent withdrawal endpoints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High</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Build data subject rights portal; ensure 40-day response SLA</w:t>
            </w:r>
          </w:p>
        </w:tc>
      </w:tr>
      <w:tr>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AI Governance Policy</w:t>
            </w:r>
          </w:p>
        </w:tc>
        <w:tc>
          <w:tcPr>
            <w:tcW w:type="dxa" w:w="1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FSC Principle 3</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formal AI governance document or designated accountability officer</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25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Draft AI Governance Policy; designate AI Accountability Officer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Vendor Risk Management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Cybersecurity 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formal risk assessment or DPA with Anthropic Claude provider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High</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Execute vendor risk assessment; establish data processing agreement</w:t>
            </w:r>
          </w:p>
        </w:tc>
      </w:tr>
      <w:tr>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Incident Response Plan</w:t>
            </w:r>
          </w:p>
        </w:tc>
        <w:tc>
          <w:tcPr>
            <w:tcW w:type="dxa" w:w="1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Cybersecurity Act</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formal IRP or CERT-MU reporting workflow</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25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Develop IRP; implement CERT-MU notification procedures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Model Drift Detection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FSC Principle 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continuous monitoring for AI model performance degradation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Implement drift detection; quarterly re-evaluation benchmarks</w:t>
            </w:r>
          </w:p>
        </w:tc>
      </w:tr>
      <w:tr>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Consent Management</w:t>
            </w:r>
          </w:p>
        </w:tc>
        <w:tc>
          <w:tcPr>
            <w:tcW w:type="dxa" w:w="1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DPA 2017</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explicit consent collection or withdrawal mechanism</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25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Implement consent management with granular processing choices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Adversarial Testing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Cybersecurity 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red-team testing of AI pipeline for adversarial inputs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Conduct adversarial robustness testing; regular red-team exercises</w:t>
            </w:r>
          </w:p>
        </w:tc>
      </w:tr>
      <w:tr>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MFA</w:t>
            </w:r>
          </w:p>
        </w:tc>
        <w:tc>
          <w:tcPr>
            <w:tcW w:type="dxa" w:w="1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Cybersecurity Act</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multi-factor authentication for privileged access</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Low</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25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Implement MFA for admin and SCO roles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Environmental Metrics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FSC Principle 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carbon footprint or energy consumption tracking for AI compute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Low</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Add carbon footprint estimation to API usage reporting</w:t>
            </w:r>
          </w:p>
        </w:tc>
      </w:tr>
      <w:tr>
        <w:tc>
          <w:tcPr>
            <w:tcW w:type="dxa" w:w="14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Officer Training</w:t>
            </w:r>
          </w:p>
        </w:tc>
        <w:tc>
          <w:tcPr>
            <w:tcW w:type="dxa" w:w="13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FSC Principle 7</w:t>
            </w:r>
          </w:p>
        </w:tc>
        <w:tc>
          <w:tcPr>
            <w:tcW w:type="dxa" w:w="22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No documented training for officers on AI output interpretation</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Low</w:t>
            </w:r>
          </w:p>
        </w:tc>
        <w:tc>
          <w:tcPr>
            <w:tcW w:type="dxa" w:w="8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Low</w:t>
            </w:r>
          </w:p>
        </w:tc>
        <w:tc>
          <w:tcPr>
            <w:tcW w:type="dxa" w:w="25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Develop training programme and materials</w:t>
            </w:r>
          </w:p>
        </w:tc>
      </w:tr>
    </w:tbl>
    <w:p>
      <w:pPr>
        <w:pStyle w:val="Heading1"/>
        <w:pageBreakBefore/>
        <w:spacing w:after="120" w:before="300"/>
      </w:pPr>
      <w:r>
        <w:rPr>
          <w:rFonts w:ascii="Arial" w:cs="Arial" w:eastAsia="Arial" w:hAnsi="Arial"/>
          <w:b/>
          <w:bCs/>
          <w:color w:val="0A2463"/>
          <w:sz w:val="32"/>
          <w:szCs w:val="32"/>
        </w:rPr>
        <w:t xml:space="preserve">G.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26"/>
      </w:tblGrid>
      <w:tr>
        <w:trPr>
          <w:tblHeader/>
        </w:trPr>
        <w:tc>
          <w:tcPr>
            <w:tcW w:type="dxa" w:w="20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Risk Category</w:t>
            </w:r>
          </w:p>
        </w:tc>
        <w:tc>
          <w:tcPr>
            <w:tcW w:type="dxa" w:w="15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Level</w:t>
            </w:r>
          </w:p>
        </w:tc>
        <w:tc>
          <w:tcPr>
            <w:tcW w:type="dxa" w:w="1500"/>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Trend</w:t>
            </w:r>
          </w:p>
        </w:tc>
        <w:tc>
          <w:tcPr>
            <w:tcW w:type="dxa" w:w="4026"/>
            <w:tcBorders>
              <w:top w:val="single" w:color="CCCCCC" w:sz="1"/>
              <w:left w:val="single" w:color="CCCCCC" w:sz="1"/>
              <w:bottom w:val="single" w:color="CCCCCC" w:sz="1"/>
              <w:right w:val="single" w:color="CCCCCC" w:sz="1"/>
            </w:tcBorders>
            <w:shd w:fill="0A2463" w:val="clear"/>
            <w:tcMar>
              <w:top w:type="dxa" w:w="60"/>
              <w:left w:type="dxa" w:w="100"/>
              <w:bottom w:type="dxa" w:w="60"/>
              <w:right w:type="dxa" w:w="100"/>
            </w:tcMar>
            <w:vAlign w:val="center"/>
          </w:tcPr>
          <w:p>
            <w:pPr>
              <w:spacing w:after="20" w:before="20"/>
            </w:pPr>
            <w:r>
              <w:rPr>
                <w:rFonts w:ascii="Arial" w:cs="Arial" w:eastAsia="Arial" w:hAnsi="Arial"/>
                <w:b/>
                <w:bCs/>
                <w:color w:val="FFFFFF"/>
                <w:sz w:val="18"/>
                <w:szCs w:val="18"/>
              </w:rPr>
              <w:t xml:space="preserve">Assessment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Regulatory Risk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Improving</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Platform architecture is sound but missing formal governance documents (AI Policy, DPIA, IRP). These are remediable within 3 months without architectural changes.</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Operational Risk</w:t>
            </w:r>
          </w:p>
        </w:tc>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Low</w:t>
            </w:r>
          </w:p>
        </w:tc>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Stable</w:t>
            </w:r>
          </w:p>
        </w:tc>
        <w:tc>
          <w:tcPr>
            <w:tcW w:type="dxa" w:w="40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The 10-agent supervised pipeline with validation engine, supervisor contradiction detection, and human-in-the-loop workflow provides robust operational controls. Monitoring could be enhanced.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Data Privacy Risk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Medium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Needs Attention</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Technical controls are strong (encryption, access control, retention). Procedural gaps in DPIA, data subject rights, and LLM data exposure require urgent remediation.</w:t>
            </w:r>
          </w:p>
        </w:tc>
      </w:tr>
      <w:tr>
        <w:tc>
          <w:tcPr>
            <w:tcW w:type="dxa" w:w="20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Cybersecurity Risk</w:t>
            </w:r>
          </w:p>
        </w:tc>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Low-Medium</w:t>
            </w:r>
          </w:p>
        </w:tc>
        <w:tc>
          <w:tcPr>
            <w:tcW w:type="dxa" w:w="1500"/>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Stable</w:t>
            </w:r>
          </w:p>
        </w:tc>
        <w:tc>
          <w:tcPr>
            <w:tcW w:type="dxa" w:w="4026"/>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Authentication, encryption, input validation, and prompt injection prevention are in place. Gaps in SIEM, penetration testing, and incident response are operational rather than architectural.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Reputational Risk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Low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Stable</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20" w:before="20"/>
            </w:pPr>
            <w:r>
              <w:rPr>
                <w:rFonts w:ascii="Arial" w:cs="Arial" w:eastAsia="Arial" w:hAnsi="Arial"/>
                <w:color w:val="333333"/>
                <w:sz w:val="18"/>
                <w:szCs w:val="18"/>
              </w:rPr>
              <w:t xml:space="preserve">Human-in-the-loop architecture and explainability layer reduce the risk of indefensible AI decisions. Bias monitoring gap could pose reputational risk if discriminatory outcomes emerge undetected.</w:t>
            </w:r>
          </w:p>
        </w:tc>
      </w:tr>
    </w:tbl>
    <w:p>
      <w:pPr>
        <w:pStyle w:val="Heading1"/>
        <w:pageBreakBefore/>
        <w:spacing w:after="120" w:before="300"/>
      </w:pPr>
      <w:r>
        <w:rPr>
          <w:rFonts w:ascii="Arial" w:cs="Arial" w:eastAsia="Arial" w:hAnsi="Arial"/>
          <w:b/>
          <w:bCs/>
          <w:color w:val="0A2463"/>
          <w:sz w:val="32"/>
          <w:szCs w:val="32"/>
        </w:rPr>
        <w:t xml:space="preserve">H. Remediation Roadmap</w:t>
      </w:r>
    </w:p>
    <w:p>
      <w:pPr>
        <w:pStyle w:val="Heading2"/>
        <w:spacing w:after="80" w:before="200"/>
      </w:pPr>
      <w:r>
        <w:rPr>
          <w:rFonts w:ascii="Arial" w:cs="Arial" w:eastAsia="Arial" w:hAnsi="Arial"/>
          <w:b/>
          <w:bCs/>
          <w:color w:val="1B2A4A"/>
          <w:sz w:val="26"/>
          <w:szCs w:val="26"/>
        </w:rPr>
        <w:t xml:space="preserve">Immediate (0-3 Months)</w:t>
      </w:r>
    </w:p>
    <w:p>
      <w:pPr>
        <w:pStyle w:val="ListParagraph"/>
        <w:numPr>
          <w:ilvl w:val="0"/>
          <w:numId w:val="2"/>
        </w:numPr>
        <w:spacing w:after="20" w:before="20"/>
      </w:pPr>
      <w:r>
        <w:rPr>
          <w:rFonts w:ascii="Arial" w:cs="Arial" w:eastAsia="Arial" w:hAnsi="Arial"/>
          <w:color w:val="333333"/>
          <w:sz w:val="21"/>
          <w:szCs w:val="21"/>
        </w:rPr>
        <w:t xml:space="preserve">Conduct Data Protection Impact Assessment (DPIA) for the AI processing pipeline. This is the single most critical gap and a prerequisite for DPA 2017 compliance.</w:t>
      </w:r>
    </w:p>
    <w:p>
      <w:pPr>
        <w:pStyle w:val="ListParagraph"/>
        <w:numPr>
          <w:ilvl w:val="0"/>
          <w:numId w:val="2"/>
        </w:numPr>
        <w:spacing w:after="20" w:before="20"/>
      </w:pPr>
      <w:r>
        <w:rPr>
          <w:rFonts w:ascii="Arial" w:cs="Arial" w:eastAsia="Arial" w:hAnsi="Arial"/>
          <w:color w:val="333333"/>
          <w:sz w:val="21"/>
          <w:szCs w:val="21"/>
        </w:rPr>
        <w:t xml:space="preserve">Draft and adopt AI Governance Policy document. Designate AI Accountability Officer. This addresses FSC Principle 3 and provides the institutional framework for existing technical controls.</w:t>
      </w:r>
    </w:p>
    <w:p>
      <w:pPr>
        <w:pStyle w:val="ListParagraph"/>
        <w:numPr>
          <w:ilvl w:val="0"/>
          <w:numId w:val="2"/>
        </w:numPr>
        <w:spacing w:after="20" w:before="20"/>
      </w:pPr>
      <w:r>
        <w:rPr>
          <w:rFonts w:ascii="Arial" w:cs="Arial" w:eastAsia="Arial" w:hAnsi="Arial"/>
          <w:color w:val="333333"/>
          <w:sz w:val="21"/>
          <w:szCs w:val="21"/>
        </w:rPr>
        <w:t xml:space="preserve">Establish data processing agreement with Anthropic covering data handling, retention, deletion, and cross-border transfer provisions.</w:t>
      </w:r>
    </w:p>
    <w:p>
      <w:pPr>
        <w:pStyle w:val="ListParagraph"/>
        <w:numPr>
          <w:ilvl w:val="0"/>
          <w:numId w:val="2"/>
        </w:numPr>
        <w:spacing w:after="20" w:before="20"/>
      </w:pPr>
      <w:r>
        <w:rPr>
          <w:rFonts w:ascii="Arial" w:cs="Arial" w:eastAsia="Arial" w:hAnsi="Arial"/>
          <w:color w:val="333333"/>
          <w:sz w:val="21"/>
          <w:szCs w:val="21"/>
        </w:rPr>
        <w:t xml:space="preserve">Implement data subject rights: right-to-erasure endpoint, data export in machine-readable format, consent management with withdrawal. Target 40-day response SLA per DPA 2017.</w:t>
      </w:r>
    </w:p>
    <w:p>
      <w:pPr>
        <w:pStyle w:val="ListParagraph"/>
        <w:numPr>
          <w:ilvl w:val="0"/>
          <w:numId w:val="2"/>
        </w:numPr>
        <w:spacing w:after="20" w:before="20"/>
      </w:pPr>
      <w:r>
        <w:rPr>
          <w:rFonts w:ascii="Arial" w:cs="Arial" w:eastAsia="Arial" w:hAnsi="Arial"/>
          <w:color w:val="333333"/>
          <w:sz w:val="21"/>
          <w:szCs w:val="21"/>
        </w:rPr>
        <w:t xml:space="preserve">Develop formal Incident Response Plan with CERT-MU notification procedures and DPA breach notification workflow (72-hour timeline).</w:t>
      </w:r>
    </w:p>
    <w:p>
      <w:pPr>
        <w:pStyle w:val="ListParagraph"/>
        <w:numPr>
          <w:ilvl w:val="0"/>
          <w:numId w:val="2"/>
        </w:numPr>
        <w:spacing w:after="20" w:before="20"/>
      </w:pPr>
      <w:r>
        <w:rPr>
          <w:rFonts w:ascii="Arial" w:cs="Arial" w:eastAsia="Arial" w:hAnsi="Arial"/>
          <w:color w:val="333333"/>
          <w:sz w:val="21"/>
          <w:szCs w:val="21"/>
        </w:rPr>
        <w:t xml:space="preserve">Implement multi-factor authentication for admin and SCO roles.</w:t>
      </w:r>
    </w:p>
    <w:p>
      <w:pPr>
        <w:pStyle w:val="Heading2"/>
        <w:spacing w:after="80" w:before="200"/>
      </w:pPr>
      <w:r>
        <w:rPr>
          <w:rFonts w:ascii="Arial" w:cs="Arial" w:eastAsia="Arial" w:hAnsi="Arial"/>
          <w:b/>
          <w:bCs/>
          <w:color w:val="1B2A4A"/>
          <w:sz w:val="26"/>
          <w:szCs w:val="26"/>
        </w:rPr>
        <w:t xml:space="preserve">Medium-Term (3-6 Months)</w:t>
      </w:r>
    </w:p>
    <w:p>
      <w:pPr>
        <w:pStyle w:val="ListParagraph"/>
        <w:numPr>
          <w:ilvl w:val="0"/>
          <w:numId w:val="2"/>
        </w:numPr>
        <w:spacing w:after="20" w:before="20"/>
      </w:pPr>
      <w:r>
        <w:rPr>
          <w:rFonts w:ascii="Arial" w:cs="Arial" w:eastAsia="Arial" w:hAnsi="Arial"/>
          <w:color w:val="333333"/>
          <w:sz w:val="21"/>
          <w:szCs w:val="21"/>
        </w:rPr>
        <w:t xml:space="preserve">Implement bias monitoring module: track approval/rejection rates by jurisdiction, entity type, sector. Conduct initial disparate impact analysis. Establish Fairness Review Board.</w:t>
      </w:r>
    </w:p>
    <w:p>
      <w:pPr>
        <w:pStyle w:val="ListParagraph"/>
        <w:numPr>
          <w:ilvl w:val="0"/>
          <w:numId w:val="2"/>
        </w:numPr>
        <w:spacing w:after="20" w:before="20"/>
      </w:pPr>
      <w:r>
        <w:rPr>
          <w:rFonts w:ascii="Arial" w:cs="Arial" w:eastAsia="Arial" w:hAnsi="Arial"/>
          <w:color w:val="333333"/>
          <w:sz w:val="21"/>
          <w:szCs w:val="21"/>
        </w:rPr>
        <w:t xml:space="preserve">Execute formal vendor risk assessments for all critical third-party providers (Anthropic, Sumsub, OpenSanctions, AWS).</w:t>
      </w:r>
    </w:p>
    <w:p>
      <w:pPr>
        <w:pStyle w:val="ListParagraph"/>
        <w:numPr>
          <w:ilvl w:val="0"/>
          <w:numId w:val="2"/>
        </w:numPr>
        <w:spacing w:after="20" w:before="20"/>
      </w:pPr>
      <w:r>
        <w:rPr>
          <w:rFonts w:ascii="Arial" w:cs="Arial" w:eastAsia="Arial" w:hAnsi="Arial"/>
          <w:color w:val="333333"/>
          <w:sz w:val="21"/>
          <w:szCs w:val="21"/>
        </w:rPr>
        <w:t xml:space="preserve">Commission independent penetration test. Implement adversarial robustness testing for the LLM pipeline.</w:t>
      </w:r>
    </w:p>
    <w:p>
      <w:pPr>
        <w:pStyle w:val="ListParagraph"/>
        <w:numPr>
          <w:ilvl w:val="0"/>
          <w:numId w:val="2"/>
        </w:numPr>
        <w:spacing w:after="20" w:before="20"/>
      </w:pPr>
      <w:r>
        <w:rPr>
          <w:rFonts w:ascii="Arial" w:cs="Arial" w:eastAsia="Arial" w:hAnsi="Arial"/>
          <w:color w:val="333333"/>
          <w:sz w:val="21"/>
          <w:szCs w:val="21"/>
        </w:rPr>
        <w:t xml:space="preserve">Deploy SIEM integration for security event monitoring and anomaly detection.</w:t>
      </w:r>
    </w:p>
    <w:p>
      <w:pPr>
        <w:pStyle w:val="ListParagraph"/>
        <w:numPr>
          <w:ilvl w:val="0"/>
          <w:numId w:val="2"/>
        </w:numPr>
        <w:spacing w:after="20" w:before="20"/>
      </w:pPr>
      <w:r>
        <w:rPr>
          <w:rFonts w:ascii="Arial" w:cs="Arial" w:eastAsia="Arial" w:hAnsi="Arial"/>
          <w:color w:val="333333"/>
          <w:sz w:val="21"/>
          <w:szCs w:val="21"/>
        </w:rPr>
        <w:t xml:space="preserve">Implement model drift detection: periodic re-scoring of historical cases, quality trend tracking, alerting thresholds for degradation.</w:t>
      </w:r>
    </w:p>
    <w:p>
      <w:pPr>
        <w:pStyle w:val="ListParagraph"/>
        <w:numPr>
          <w:ilvl w:val="0"/>
          <w:numId w:val="2"/>
        </w:numPr>
        <w:spacing w:after="20" w:before="20"/>
      </w:pPr>
      <w:r>
        <w:rPr>
          <w:rFonts w:ascii="Arial" w:cs="Arial" w:eastAsia="Arial" w:hAnsi="Arial"/>
          <w:color w:val="333333"/>
          <w:sz w:val="21"/>
          <w:szCs w:val="21"/>
        </w:rPr>
        <w:t xml:space="preserve">Develop compliance officer training programme on AI output interpretation, override procedures, and escalation protocols.</w:t>
      </w:r>
    </w:p>
    <w:p>
      <w:pPr>
        <w:pStyle w:val="ListParagraph"/>
        <w:numPr>
          <w:ilvl w:val="0"/>
          <w:numId w:val="2"/>
        </w:numPr>
        <w:spacing w:after="20" w:before="20"/>
      </w:pPr>
      <w:r>
        <w:rPr>
          <w:rFonts w:ascii="Arial" w:cs="Arial" w:eastAsia="Arial" w:hAnsi="Arial"/>
          <w:color w:val="333333"/>
          <w:sz w:val="21"/>
          <w:szCs w:val="21"/>
        </w:rPr>
        <w:t xml:space="preserve">Create applicant-facing summary of AI assessment methodology and mechanism for applicants to request human review.</w:t>
      </w:r>
    </w:p>
    <w:p>
      <w:pPr>
        <w:pStyle w:val="Heading2"/>
        <w:spacing w:after="80" w:before="200"/>
      </w:pPr>
      <w:r>
        <w:rPr>
          <w:rFonts w:ascii="Arial" w:cs="Arial" w:eastAsia="Arial" w:hAnsi="Arial"/>
          <w:b/>
          <w:bCs/>
          <w:color w:val="1B2A4A"/>
          <w:sz w:val="26"/>
          <w:szCs w:val="26"/>
        </w:rPr>
        <w:t xml:space="preserve">Long-Term (6-12 Months)</w:t>
      </w:r>
    </w:p>
    <w:p>
      <w:pPr>
        <w:pStyle w:val="ListParagraph"/>
        <w:numPr>
          <w:ilvl w:val="0"/>
          <w:numId w:val="2"/>
        </w:numPr>
        <w:spacing w:after="20" w:before="20"/>
      </w:pPr>
      <w:r>
        <w:rPr>
          <w:rFonts w:ascii="Arial" w:cs="Arial" w:eastAsia="Arial" w:hAnsi="Arial"/>
          <w:color w:val="333333"/>
          <w:sz w:val="21"/>
          <w:szCs w:val="21"/>
        </w:rPr>
        <w:t xml:space="preserve">Establish AI Ethics Committee with quarterly review cadence. Embed governance roles into platform RBAC.</w:t>
      </w:r>
    </w:p>
    <w:p>
      <w:pPr>
        <w:pStyle w:val="ListParagraph"/>
        <w:numPr>
          <w:ilvl w:val="0"/>
          <w:numId w:val="2"/>
        </w:numPr>
        <w:spacing w:after="20" w:before="20"/>
      </w:pPr>
      <w:r>
        <w:rPr>
          <w:rFonts w:ascii="Arial" w:cs="Arial" w:eastAsia="Arial" w:hAnsi="Arial"/>
          <w:color w:val="333333"/>
          <w:sz w:val="21"/>
          <w:szCs w:val="21"/>
        </w:rPr>
        <w:t xml:space="preserve">Implement regulatory change tracking for FATF, FSC, DPA, and Cybersecurity Act amendments.</w:t>
      </w:r>
    </w:p>
    <w:p>
      <w:pPr>
        <w:pStyle w:val="ListParagraph"/>
        <w:numPr>
          <w:ilvl w:val="0"/>
          <w:numId w:val="2"/>
        </w:numPr>
        <w:spacing w:after="20" w:before="20"/>
      </w:pPr>
      <w:r>
        <w:rPr>
          <w:rFonts w:ascii="Arial" w:cs="Arial" w:eastAsia="Arial" w:hAnsi="Arial"/>
          <w:color w:val="333333"/>
          <w:sz w:val="21"/>
          <w:szCs w:val="21"/>
        </w:rPr>
        <w:t xml:space="preserve">Add carbon footprint estimation and sustainability reporting for AI compute usage.</w:t>
      </w:r>
    </w:p>
    <w:p>
      <w:pPr>
        <w:pStyle w:val="ListParagraph"/>
        <w:numPr>
          <w:ilvl w:val="0"/>
          <w:numId w:val="2"/>
        </w:numPr>
        <w:spacing w:after="20" w:before="20"/>
      </w:pPr>
      <w:r>
        <w:rPr>
          <w:rFonts w:ascii="Arial" w:cs="Arial" w:eastAsia="Arial" w:hAnsi="Arial"/>
          <w:color w:val="333333"/>
          <w:sz w:val="21"/>
          <w:szCs w:val="21"/>
        </w:rPr>
        <w:t xml:space="preserve">Migrate JWT signing from HS256 to RS256 for enhanced key management.</w:t>
      </w:r>
    </w:p>
    <w:p>
      <w:pPr>
        <w:pStyle w:val="ListParagraph"/>
        <w:numPr>
          <w:ilvl w:val="0"/>
          <w:numId w:val="2"/>
        </w:numPr>
        <w:spacing w:after="20" w:before="20"/>
      </w:pPr>
      <w:r>
        <w:rPr>
          <w:rFonts w:ascii="Arial" w:cs="Arial" w:eastAsia="Arial" w:hAnsi="Arial"/>
          <w:color w:val="333333"/>
          <w:sz w:val="21"/>
          <w:szCs w:val="21"/>
        </w:rPr>
        <w:t xml:space="preserve">Implement WORM storage for audit logs and digital signing of audit entries.</w:t>
      </w:r>
    </w:p>
    <w:p>
      <w:pPr>
        <w:pStyle w:val="ListParagraph"/>
        <w:numPr>
          <w:ilvl w:val="0"/>
          <w:numId w:val="2"/>
        </w:numPr>
        <w:spacing w:after="20" w:before="20"/>
      </w:pPr>
      <w:r>
        <w:rPr>
          <w:rFonts w:ascii="Arial" w:cs="Arial" w:eastAsia="Arial" w:hAnsi="Arial"/>
          <w:color w:val="333333"/>
          <w:sz w:val="21"/>
          <w:szCs w:val="21"/>
        </w:rPr>
        <w:t xml:space="preserve">Deploy deepfake detection for identity document verification.</w:t>
      </w:r>
    </w:p>
    <w:p>
      <w:pPr>
        <w:pStyle w:val="ListParagraph"/>
        <w:numPr>
          <w:ilvl w:val="0"/>
          <w:numId w:val="2"/>
        </w:numPr>
        <w:spacing w:after="20" w:before="20"/>
      </w:pPr>
      <w:r>
        <w:rPr>
          <w:rFonts w:ascii="Arial" w:cs="Arial" w:eastAsia="Arial" w:hAnsi="Arial"/>
          <w:color w:val="333333"/>
          <w:sz w:val="21"/>
          <w:szCs w:val="21"/>
        </w:rPr>
        <w:t xml:space="preserve">Conduct tabletop incident response exercises quarterly.</w:t>
      </w:r>
    </w:p>
    <w:p>
      <w:pPr>
        <w:pStyle w:val="ListParagraph"/>
        <w:numPr>
          <w:ilvl w:val="0"/>
          <w:numId w:val="2"/>
        </w:numPr>
        <w:spacing w:after="20" w:before="20"/>
      </w:pPr>
      <w:r>
        <w:rPr>
          <w:rFonts w:ascii="Arial" w:cs="Arial" w:eastAsia="Arial" w:hAnsi="Arial"/>
          <w:color w:val="333333"/>
          <w:sz w:val="21"/>
          <w:szCs w:val="21"/>
        </w:rPr>
        <w:t xml:space="preserve">Pursue independent certification or attestation of AI governance framework.</w:t>
      </w:r>
    </w:p>
    <w:p>
      <w:pPr>
        <w:pStyle w:val="Heading1"/>
        <w:pageBreakBefore/>
        <w:spacing w:after="120" w:before="300"/>
      </w:pPr>
      <w:r>
        <w:rPr>
          <w:rFonts w:ascii="Arial" w:cs="Arial" w:eastAsia="Arial" w:hAnsi="Arial"/>
          <w:b/>
          <w:bCs/>
          <w:color w:val="0A2463"/>
          <w:sz w:val="32"/>
          <w:szCs w:val="32"/>
        </w:rPr>
        <w:t xml:space="preserve">I. Final Verdict</w:t>
      </w:r>
    </w:p>
    <w:p>
      <w:pPr>
        <w:spacing w:after="60" w:before="80"/>
      </w:pPr>
      <w:r>
        <w:rPr>
          <w:rFonts w:ascii="Arial" w:cs="Arial" w:eastAsia="Arial" w:hAnsi="Arial"/>
          <w:color w:val="333333"/>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6"/>
              <w:left w:val="single" w:color="D97706" w:sz="6"/>
              <w:bottom w:val="single" w:color="D97706" w:sz="6"/>
              <w:right w:val="single" w:color="D97706" w:sz="6"/>
            </w:tcBorders>
            <w:shd w:fill="FFFBEB" w:val="clear"/>
            <w:tcMar>
              <w:top w:type="dxa" w:w="200"/>
              <w:left w:type="dxa" w:w="300"/>
              <w:bottom w:type="dxa" w:w="200"/>
              <w:right w:type="dxa" w:w="300"/>
            </w:tcMar>
          </w:tcPr>
          <w:p>
            <w:pPr>
              <w:spacing w:after="80" w:before="60"/>
              <w:jc w:val="center"/>
            </w:pPr>
            <w:r>
              <w:rPr>
                <w:rFonts w:ascii="Arial" w:cs="Arial" w:eastAsia="Arial" w:hAnsi="Arial"/>
                <w:b/>
                <w:bCs/>
                <w:color w:val="D97706"/>
                <w:sz w:val="36"/>
                <w:szCs w:val="36"/>
              </w:rPr>
              <w:t xml:space="preserve">READY WITH MINOR FIXES</w:t>
            </w:r>
          </w:p>
          <w:p>
            <w:pPr>
              <w:spacing w:after="40" w:before="40"/>
            </w:pPr>
            <w:r>
              <w:rPr>
                <w:rFonts w:ascii="Arial" w:cs="Arial" w:eastAsia="Arial" w:hAnsi="Arial"/>
                <w:color w:val="333333"/>
                <w:sz w:val="21"/>
                <w:szCs w:val="21"/>
              </w:rPr>
              <w:t xml:space="preserve">The RegMind platform demonstrates a technically mature compliance architecture that is fundamentally sound for deployment in a regulated financial institution. The human-in-the-loop architecture, AI explainability layer, supervisor contradiction detection, field-level PII encryption, append-only hash-chained audit logging, and comprehensive access controls represent a strong technical foundation that exceeds many comparable RegTech platforms.</w:t>
            </w:r>
          </w:p>
          <w:p>
            <w:pPr>
              <w:spacing w:after="40" w:before="40"/>
            </w:pPr>
            <w:r>
              <w:rPr>
                <w:rFonts w:ascii="Arial" w:cs="Arial" w:eastAsia="Arial" w:hAnsi="Arial"/>
                <w:color w:val="333333"/>
                <w:sz w:val="21"/>
                <w:szCs w:val="21"/>
              </w:rPr>
              <w:t xml:space="preserve">However, the platform cannot be presented for regulatory review in its current state due to the absence of: (1) a completed Data Protection Impact Assessment, (2) a formal AI Governance Policy with designated accountability, (3) data subject rights endpoints required under DPA 2017, and (4) a formal Incident Response Plan with CERT-MU notification procedures. These are procedural and documentary gaps rather than architectural deficiencies, and can be remediated within 0-3 months.</w:t>
            </w:r>
          </w:p>
          <w:p>
            <w:pPr>
              <w:spacing w:after="40" w:before="40"/>
            </w:pPr>
            <w:r>
              <w:rPr>
                <w:rFonts w:ascii="Arial" w:cs="Arial" w:eastAsia="Arial" w:hAnsi="Arial"/>
                <w:color w:val="333333"/>
                <w:sz w:val="21"/>
                <w:szCs w:val="21"/>
              </w:rPr>
              <w:t xml:space="preserve">The bias monitoring gap is a medium-term risk that should be addressed within 3-6 months. The absence of demographic fairness analysis does not prevent deployment but creates regulatory exposure if discriminatory outcomes emerge.</w:t>
            </w:r>
          </w:p>
          <w:p>
            <w:pPr>
              <w:spacing w:after="60" w:before="40"/>
            </w:pPr>
            <w:r>
              <w:rPr>
                <w:rFonts w:ascii="Arial" w:cs="Arial" w:eastAsia="Arial" w:hAnsi="Arial"/>
                <w:b/>
                <w:bCs/>
                <w:color w:val="333333"/>
                <w:sz w:val="21"/>
                <w:szCs w:val="21"/>
              </w:rPr>
              <w:t xml:space="preserve">Upon completion of the immediate remediation items (DPIA, AI Governance Policy, data subject rights, IRP), the platform will be READY for full regulatory review under all three frameworks.</w:t>
            </w:r>
          </w:p>
        </w:tc>
      </w:tr>
    </w:tbl>
    <w:p>
      <w:pPr>
        <w:spacing w:after="60" w:before="200"/>
      </w:pPr>
      <w:r>
        <w:rPr>
          <w:rFonts w:ascii="Arial" w:cs="Arial" w:eastAsia="Arial" w:hAnsi="Arial"/>
          <w:color w:val="333333"/>
          <w:sz w:val="2"/>
          <w:szCs w:val="2"/>
        </w:rPr>
        <w:t xml:space="preserve"/>
      </w:r>
    </w:p>
    <w:p>
      <w:pPr>
        <w:spacing w:after="60" w:before="60"/>
        <w:jc w:val="center"/>
      </w:pPr>
      <w:r>
        <w:rPr>
          <w:rFonts w:ascii="Arial" w:cs="Arial" w:eastAsia="Arial" w:hAnsi="Arial"/>
          <w:i/>
          <w:iCs/>
          <w:color w:val="64748B"/>
          <w:sz w:val="20"/>
          <w:szCs w:val="20"/>
        </w:rPr>
        <w:t xml:space="preserve">End of Report</w:t>
      </w:r>
    </w:p>
    <w:p>
      <w:pPr>
        <w:spacing w:after="60" w:before="60"/>
        <w:jc w:val="center"/>
      </w:pPr>
      <w:r>
        <w:rPr>
          <w:rFonts w:ascii="Arial" w:cs="Arial" w:eastAsia="Arial" w:hAnsi="Arial"/>
          <w:color w:val="64748B"/>
          <w:sz w:val="18"/>
          <w:szCs w:val="18"/>
        </w:rPr>
        <w:t xml:space="preserve">Document classification: CONFIDENTIAL. Distribution restricted to authorised recipients.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64748B"/>
        <w:sz w:val="14"/>
        <w:szCs w:val="14"/>
      </w:rPr>
      <w:t xml:space="preserve">21 March 2026</w:t>
    </w:r>
    <w:r>
      <w:rPr>
        <w:rFonts w:ascii="Arial" w:cs="Arial" w:eastAsia="Arial" w:hAnsi="Arial"/>
        <w:color w:val="64748B"/>
        <w:sz w:val="14"/>
        <w:szCs w:val="14"/>
      </w:rPr>
      <w:t xml:space="preserve">	Page </w:t>
    </w:r>
    <w:r>
      <w:rPr>
        <w:rFonts w:ascii="Arial" w:cs="Arial" w:eastAsia="Arial" w:hAnsi="Arial"/>
        <w:color w:val="64748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463" w:sz="4" w:space="4"/>
      </w:pBdr>
      <w:tabs>
        <w:tab w:val="right" w:pos="9026"/>
      </w:tabs>
    </w:pPr>
    <w:r>
      <w:rPr>
        <w:rFonts w:ascii="Arial" w:cs="Arial" w:eastAsia="Arial" w:hAnsi="Arial"/>
        <w:b/>
        <w:bCs/>
        <w:color w:val="DC2626"/>
        <w:sz w:val="14"/>
        <w:szCs w:val="14"/>
      </w:rPr>
      <w:t xml:space="preserve">CONFIDENTIAL</w:t>
    </w:r>
    <w:r>
      <w:rPr>
        <w:rFonts w:ascii="Arial" w:cs="Arial" w:eastAsia="Arial" w:hAnsi="Arial"/>
        <w:color w:val="64748B"/>
        <w:sz w:val="14"/>
        <w:szCs w:val="14"/>
      </w:rPr>
      <w:t xml:space="preserve">	RegMind Regulatory Compliance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A2463"/>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B2A4A"/>
      <w:sz w:val="26"/>
      <w:szCs w:val="26"/>
    </w:rPr>
  </w:style>
  <w:style w:type="paragraph" w:styleId="Heading3">
    <w:name w:val="Heading 3"/>
    <w:basedOn w:val="Normal"/>
    <w:next w:val="Normal"/>
    <w:qFormat/>
    <w:pPr>
      <w:spacing w:after="60" w:before="14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2026-03-21T17:08:00.264Z</dcterms:created>
  <dcterms:modified xsi:type="dcterms:W3CDTF">2026-03-21T17:08:00.268Z</dcterms:modified>
</cp:coreProperties>
</file>

<file path=docProps/custom.xml><?xml version="1.0" encoding="utf-8"?>
<Properties xmlns="http://schemas.openxmlformats.org/officeDocument/2006/custom-properties" xmlns:vt="http://schemas.openxmlformats.org/officeDocument/2006/docPropsVTypes"/>
</file>