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B2F8F"/>
          <w:sz w:val="44"/>
        </w:rPr>
        <w:t>ARIE FINANCE REGTECH COMPLIANCE PLATFORM</w:t>
      </w:r>
    </w:p>
    <w:p>
      <w:pPr>
        <w:jc w:val="center"/>
      </w:pPr>
      <w:r>
        <w:rPr>
          <w:color w:val="444444"/>
          <w:sz w:val="32"/>
        </w:rPr>
        <w:t>Comprehensive Security &amp; Compliance Audit Report</w:t>
      </w:r>
    </w:p>
    <w:p>
      <w:pPr>
        <w:jc w:val="center"/>
      </w:pPr>
      <w:r>
        <w:rPr>
          <w:color w:val="666666"/>
          <w:sz w:val="24"/>
        </w:rPr>
        <w:t>Audit Round 4 (Full Platform Review) — March 16, 2026</w:t>
      </w:r>
    </w:p>
    <w:p>
      <w:pPr>
        <w:jc w:val="center"/>
      </w:pPr>
      <w:r>
        <w:rPr>
          <w:b/>
          <w:color w:val="D97706"/>
          <w:sz w:val="32"/>
        </w:rPr>
        <w:t>VERDICT: CONDITIONAL GO</w:t>
      </w:r>
    </w:p>
    <w:p>
      <w:pPr>
        <w:pStyle w:val="Heading1"/>
      </w:pPr>
      <w:r>
        <w:t>Executive Summary</w:t>
      </w:r>
    </w:p>
    <w:p>
      <w:r>
        <w:t>This fourth independent audit examined the ARIE Finance RegTech onboarding platform across 10 security domains: frontend, backend, AI agents, infrastructure, data protection, compliance workflow, security best practices, architecture, and penetration testing. The audit identified 18 findings (3 Critical, 5 High, 7 Medium, 3 Low).</w:t>
      </w:r>
    </w:p>
    <w:p>
      <w:r>
        <w:t>Key improvements since Audit 3: CSRF protection implemented, client-side role switching removed, authentication enforced before data loading, security hardening module made mandatory. However, 2 critical issues from Audit 3 remain unfixed (XSS in chat, JWT in localStorage), and 3 new critical/high issues were identified.</w:t>
      </w:r>
    </w:p>
    <w:p>
      <w:pPr>
        <w:pStyle w:val="Heading2"/>
      </w:pPr>
      <w:r>
        <w:t>Finding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4"/>
        <w:gridCol w:w="3384"/>
        <w:gridCol w:w="3384"/>
        <w:gridCol w:w="3384"/>
      </w:tblGrid>
      <w:tr>
        <w:tc>
          <w:tcPr>
            <w:tcW w:type="dxa" w:w="3384"/>
            <w:shd w:val="clear" w:fill="2B2F8F"/>
          </w:tcPr>
          <w:p>
            <w:r/>
            <w:r>
              <w:rPr>
                <w:b/>
                <w:color w:val="FFFFFF"/>
                <w:sz w:val="22"/>
              </w:rPr>
              <w:t>CRITICAL</w:t>
            </w:r>
          </w:p>
        </w:tc>
        <w:tc>
          <w:tcPr>
            <w:tcW w:type="dxa" w:w="3384"/>
            <w:shd w:val="clear" w:fill="2B2F8F"/>
          </w:tcPr>
          <w:p>
            <w:r/>
            <w:r>
              <w:rPr>
                <w:b/>
                <w:color w:val="FFFFFF"/>
                <w:sz w:val="22"/>
              </w:rPr>
              <w:t>HIGH</w:t>
            </w:r>
          </w:p>
        </w:tc>
        <w:tc>
          <w:tcPr>
            <w:tcW w:type="dxa" w:w="3384"/>
            <w:shd w:val="clear" w:fill="2B2F8F"/>
          </w:tcPr>
          <w:p>
            <w:r/>
            <w:r>
              <w:rPr>
                <w:b/>
                <w:color w:val="FFFFFF"/>
                <w:sz w:val="22"/>
              </w:rPr>
              <w:t>MEDIUM</w:t>
            </w:r>
          </w:p>
        </w:tc>
        <w:tc>
          <w:tcPr>
            <w:tcW w:type="dxa" w:w="3384"/>
            <w:shd w:val="clear" w:fill="2B2F8F"/>
          </w:tcPr>
          <w:p>
            <w:r/>
            <w:r>
              <w:rPr>
                <w:b/>
                <w:color w:val="FFFFFF"/>
                <w:sz w:val="22"/>
              </w:rPr>
              <w:t>LOW</w:t>
            </w:r>
          </w:p>
        </w:tc>
      </w:tr>
      <w:tr>
        <w:tc>
          <w:tcPr>
            <w:tcW w:type="dxa" w:w="3384"/>
            <w:shd w:val="clear" w:fill="FFEBEE"/>
          </w:tcPr>
          <w:p>
            <w:r/>
            <w:r>
              <w:rPr>
                <w:b/>
                <w:color w:val="DC2626"/>
                <w:sz w:val="24"/>
              </w:rPr>
              <w:t>3 findings</w:t>
            </w:r>
          </w:p>
        </w:tc>
        <w:tc>
          <w:tcPr>
            <w:tcW w:type="dxa" w:w="3384"/>
            <w:shd w:val="clear" w:fill="FFF3E0"/>
          </w:tcPr>
          <w:p>
            <w:r/>
            <w:r>
              <w:rPr>
                <w:b/>
                <w:color w:val="D97706"/>
                <w:sz w:val="24"/>
              </w:rPr>
              <w:t>5 findings</w:t>
            </w:r>
          </w:p>
        </w:tc>
        <w:tc>
          <w:tcPr>
            <w:tcW w:type="dxa" w:w="3384"/>
            <w:shd w:val="clear" w:fill="E3F2FD"/>
          </w:tcPr>
          <w:p>
            <w:r/>
            <w:r>
              <w:rPr>
                <w:b/>
                <w:color w:val="2563EB"/>
                <w:sz w:val="24"/>
              </w:rPr>
              <w:t>7 findings</w:t>
            </w:r>
          </w:p>
        </w:tc>
        <w:tc>
          <w:tcPr>
            <w:tcW w:type="dxa" w:w="3384"/>
            <w:shd w:val="clear" w:fill="E8F5E9"/>
          </w:tcPr>
          <w:p>
            <w:r/>
            <w:r>
              <w:rPr>
                <w:b/>
                <w:color w:val="16A34A"/>
                <w:sz w:val="24"/>
              </w:rPr>
              <w:t>3 findings</w:t>
            </w:r>
          </w:p>
        </w:tc>
      </w:tr>
    </w:tbl>
    <w:p>
      <w:pPr>
        <w:pStyle w:val="Heading2"/>
      </w:pPr>
      <w:r>
        <w:t>Comparison with Audit 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2"/>
        <w:gridCol w:w="4512"/>
        <w:gridCol w:w="4512"/>
      </w:tblGrid>
      <w:tr>
        <w:tc>
          <w:tcPr>
            <w:tcW w:type="dxa" w:w="4512"/>
            <w:shd w:val="clear" w:fill="2B2F8F"/>
          </w:tcPr>
          <w:p>
            <w:r/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4512"/>
            <w:shd w:val="clear" w:fill="2B2F8F"/>
          </w:tcPr>
          <w:p>
            <w:r/>
            <w:r>
              <w:rPr>
                <w:b/>
                <w:color w:val="FFFFFF"/>
                <w:sz w:val="18"/>
              </w:rPr>
              <w:t>Audit 3</w:t>
            </w:r>
          </w:p>
        </w:tc>
        <w:tc>
          <w:tcPr>
            <w:tcW w:type="dxa" w:w="4512"/>
            <w:shd w:val="clear" w:fill="2B2F8F"/>
          </w:tcPr>
          <w:p>
            <w:r/>
            <w:r>
              <w:rPr>
                <w:b/>
                <w:color w:val="FFFFFF"/>
                <w:sz w:val="18"/>
              </w:rPr>
              <w:t>Audit 4 Status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sz w:val="18"/>
              </w:rPr>
              <w:t>AUDIT3-001: XSS in Chat (innerHTML)</w:t>
            </w:r>
          </w:p>
        </w:tc>
        <w:tc>
          <w:tcPr>
            <w:tcW w:type="dxa" w:w="4512"/>
          </w:tcPr>
          <w:p>
            <w:r/>
            <w:r>
              <w:rPr>
                <w:b/>
                <w:color w:val="DC2626"/>
                <w:sz w:val="18"/>
              </w:rPr>
              <w:t>CRITICAL</w:t>
            </w:r>
          </w:p>
        </w:tc>
        <w:tc>
          <w:tcPr>
            <w:tcW w:type="dxa" w:w="4512"/>
          </w:tcPr>
          <w:p>
            <w:r/>
            <w:r>
              <w:rPr>
                <w:b/>
                <w:color w:val="DC2626"/>
                <w:sz w:val="18"/>
              </w:rPr>
              <w:t>STILL UNFIXED → AUDIT4-001</w:t>
            </w:r>
          </w:p>
        </w:tc>
      </w:tr>
      <w:tr>
        <w:tc>
          <w:tcPr>
            <w:tcW w:type="dxa" w:w="4512"/>
          </w:tcPr>
          <w:p>
            <w:r/>
            <w:r>
              <w:rPr>
                <w:sz w:val="18"/>
              </w:rPr>
              <w:t>AUDIT3-002: JWT in localStorage</w:t>
            </w:r>
          </w:p>
        </w:tc>
        <w:tc>
          <w:tcPr>
            <w:tcW w:type="dxa" w:w="4512"/>
          </w:tcPr>
          <w:p>
            <w:r/>
            <w:r>
              <w:rPr>
                <w:b/>
                <w:color w:val="DC2626"/>
                <w:sz w:val="18"/>
              </w:rPr>
              <w:t>CRITICAL</w:t>
            </w:r>
          </w:p>
        </w:tc>
        <w:tc>
          <w:tcPr>
            <w:tcW w:type="dxa" w:w="4512"/>
          </w:tcPr>
          <w:p>
            <w:r/>
            <w:r>
              <w:rPr>
                <w:b/>
                <w:color w:val="DC2626"/>
                <w:sz w:val="18"/>
              </w:rPr>
              <w:t>STILL UNFIXED → AUDIT4-002</w:t>
            </w:r>
          </w:p>
        </w:tc>
      </w:tr>
      <w:tr>
        <w:tc>
          <w:tcPr>
            <w:tcW w:type="dxa" w:w="4512"/>
          </w:tcPr>
          <w:p>
            <w:r/>
            <w:r>
              <w:rPr>
                <w:sz w:val="18"/>
              </w:rPr>
              <w:t>AUDIT3-003: Missing CSRF Protection</w:t>
            </w:r>
          </w:p>
        </w:tc>
        <w:tc>
          <w:tcPr>
            <w:tcW w:type="dxa" w:w="4512"/>
          </w:tcPr>
          <w:p>
            <w:r/>
            <w:r>
              <w:rPr>
                <w:b/>
                <w:color w:val="DC2626"/>
                <w:sz w:val="18"/>
              </w:rPr>
              <w:t>CRITICAL</w:t>
            </w:r>
          </w:p>
        </w:tc>
        <w:tc>
          <w:tcPr>
            <w:tcW w:type="dxa" w:w="4512"/>
          </w:tcPr>
          <w:p>
            <w:r/>
            <w:r>
              <w:rPr>
                <w:b/>
                <w:color w:val="16A34A"/>
                <w:sz w:val="18"/>
              </w:rPr>
              <w:t>FIXED ✓</w:t>
            </w:r>
          </w:p>
        </w:tc>
      </w:tr>
      <w:tr>
        <w:tc>
          <w:tcPr>
            <w:tcW w:type="dxa" w:w="4512"/>
          </w:tcPr>
          <w:p>
            <w:r/>
            <w:r>
              <w:rPr>
                <w:sz w:val="18"/>
              </w:rPr>
              <w:t>AUDIT3-004: Client-Side Role Switching</w:t>
            </w:r>
          </w:p>
        </w:tc>
        <w:tc>
          <w:tcPr>
            <w:tcW w:type="dxa" w:w="4512"/>
          </w:tcPr>
          <w:p>
            <w:r/>
            <w:r>
              <w:rPr>
                <w:b/>
                <w:color w:val="DC2626"/>
                <w:sz w:val="18"/>
              </w:rPr>
              <w:t>CRITICAL</w:t>
            </w:r>
          </w:p>
        </w:tc>
        <w:tc>
          <w:tcPr>
            <w:tcW w:type="dxa" w:w="4512"/>
          </w:tcPr>
          <w:p>
            <w:r/>
            <w:r>
              <w:rPr>
                <w:b/>
                <w:color w:val="16A34A"/>
                <w:sz w:val="18"/>
              </w:rPr>
              <w:t>FIXED ✓</w:t>
            </w:r>
          </w:p>
        </w:tc>
      </w:tr>
      <w:tr>
        <w:tc>
          <w:tcPr>
            <w:tcW w:type="dxa" w:w="4512"/>
          </w:tcPr>
          <w:p>
            <w:r/>
            <w:r>
              <w:rPr>
                <w:sz w:val="18"/>
              </w:rPr>
              <w:t>AUDIT3-005: Data Before Authentication</w:t>
            </w:r>
          </w:p>
        </w:tc>
        <w:tc>
          <w:tcPr>
            <w:tcW w:type="dxa" w:w="4512"/>
          </w:tcPr>
          <w:p>
            <w:r/>
            <w:r>
              <w:rPr>
                <w:b/>
                <w:color w:val="DC2626"/>
                <w:sz w:val="18"/>
              </w:rPr>
              <w:t>CRITICAL</w:t>
            </w:r>
          </w:p>
        </w:tc>
        <w:tc>
          <w:tcPr>
            <w:tcW w:type="dxa" w:w="4512"/>
          </w:tcPr>
          <w:p>
            <w:r/>
            <w:r>
              <w:rPr>
                <w:b/>
                <w:color w:val="16A34A"/>
                <w:sz w:val="18"/>
              </w:rPr>
              <w:t>FIXED ✓</w:t>
            </w:r>
          </w:p>
        </w:tc>
      </w:tr>
    </w:tbl>
    <w:p>
      <w:r>
        <w:br w:type="page"/>
      </w:r>
    </w:p>
    <w:p>
      <w:pPr>
        <w:pStyle w:val="Heading1"/>
      </w:pPr>
      <w:r>
        <w:t>Detailed Findings (18 Total)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34"/>
        <w:gridCol w:w="1934"/>
        <w:gridCol w:w="1934"/>
        <w:gridCol w:w="1934"/>
        <w:gridCol w:w="1934"/>
        <w:gridCol w:w="1934"/>
        <w:gridCol w:w="1934"/>
      </w:tblGrid>
      <w:tr>
        <w:tc>
          <w:tcPr>
            <w:tcW w:type="dxa" w:w="1934"/>
            <w:shd w:val="clear" w:fill="2B2F8F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934"/>
            <w:shd w:val="clear" w:fill="2B2F8F"/>
          </w:tcPr>
          <w:p>
            <w:r/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1934"/>
            <w:shd w:val="clear" w:fill="2B2F8F"/>
          </w:tcPr>
          <w:p>
            <w:r/>
            <w:r>
              <w:rPr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1934"/>
            <w:shd w:val="clear" w:fill="2B2F8F"/>
          </w:tcPr>
          <w:p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type="dxa" w:w="1934"/>
            <w:shd w:val="clear" w:fill="2B2F8F"/>
          </w:tcPr>
          <w:p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1934"/>
            <w:shd w:val="clear" w:fill="2B2F8F"/>
          </w:tcPr>
          <w:p>
            <w:r/>
            <w:r>
              <w:rPr>
                <w:b/>
                <w:color w:val="FFFFFF"/>
                <w:sz w:val="16"/>
              </w:rPr>
              <w:t>Remediation</w:t>
            </w:r>
          </w:p>
        </w:tc>
        <w:tc>
          <w:tcPr>
            <w:tcW w:type="dxa" w:w="1934"/>
            <w:shd w:val="clear" w:fill="2B2F8F"/>
          </w:tcPr>
          <w:p>
            <w:r/>
            <w:r>
              <w:rPr>
                <w:b/>
                <w:color w:val="FFFFFF"/>
                <w:sz w:val="16"/>
              </w:rPr>
              <w:t>Effort</w:t>
            </w:r>
          </w:p>
        </w:tc>
      </w:tr>
      <w:tr>
        <w:tc>
          <w:tcPr>
            <w:tcW w:type="dxa" w:w="1934"/>
          </w:tcPr>
          <w:p>
            <w:r/>
            <w:r>
              <w:rPr>
                <w:b/>
                <w:sz w:val="14"/>
              </w:rPr>
              <w:t>AUDIT4-001</w:t>
            </w:r>
          </w:p>
        </w:tc>
        <w:tc>
          <w:tcPr>
            <w:tcW w:type="dxa" w:w="1934"/>
            <w:shd w:val="clear" w:fill="FFEBEE"/>
          </w:tcPr>
          <w:p>
            <w:r/>
            <w:r>
              <w:rPr>
                <w:b/>
                <w:color w:val="DC2626"/>
                <w:sz w:val="14"/>
              </w:rPr>
              <w:t>CRITICAL</w:t>
            </w:r>
          </w:p>
        </w:tc>
        <w:tc>
          <w:tcPr>
            <w:tcW w:type="dxa" w:w="1934"/>
          </w:tcPr>
          <w:p>
            <w:r/>
            <w:r>
              <w:rPr>
                <w:b/>
                <w:sz w:val="14"/>
              </w:rPr>
              <w:t>Stored XSS in Backoffice Chat</w:t>
            </w:r>
          </w:p>
        </w:tc>
        <w:tc>
          <w:tcPr>
            <w:tcW w:type="dxa" w:w="1934"/>
          </w:tcPr>
          <w:p>
            <w:r/>
            <w:r>
              <w:rPr>
                <w:color w:val="666666"/>
                <w:sz w:val="14"/>
              </w:rPr>
              <w:t>arie-backoffice.html:4280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addChatMessage() uses innerHTML without sanitization.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Replace innerHTML with textContent.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2 hrs</w:t>
            </w:r>
          </w:p>
        </w:tc>
      </w:tr>
      <w:tr>
        <w:tc>
          <w:tcPr>
            <w:tcW w:type="dxa" w:w="1934"/>
          </w:tcPr>
          <w:p>
            <w:r/>
            <w:r>
              <w:rPr>
                <w:b/>
                <w:sz w:val="14"/>
              </w:rPr>
              <w:t>AUDIT4-002</w:t>
            </w:r>
          </w:p>
        </w:tc>
        <w:tc>
          <w:tcPr>
            <w:tcW w:type="dxa" w:w="1934"/>
            <w:shd w:val="clear" w:fill="FFEBEE"/>
          </w:tcPr>
          <w:p>
            <w:r/>
            <w:r>
              <w:rPr>
                <w:b/>
                <w:color w:val="DC2626"/>
                <w:sz w:val="14"/>
              </w:rPr>
              <w:t>CRITICAL</w:t>
            </w:r>
          </w:p>
        </w:tc>
        <w:tc>
          <w:tcPr>
            <w:tcW w:type="dxa" w:w="1934"/>
          </w:tcPr>
          <w:p>
            <w:r/>
            <w:r>
              <w:rPr>
                <w:b/>
                <w:sz w:val="14"/>
              </w:rPr>
              <w:t>JWT Tokens in Plaintext localStorage</w:t>
            </w:r>
          </w:p>
        </w:tc>
        <w:tc>
          <w:tcPr>
            <w:tcW w:type="dxa" w:w="1934"/>
          </w:tcPr>
          <w:p>
            <w:r/>
            <w:r>
              <w:rPr>
                <w:color w:val="666666"/>
                <w:sz w:val="14"/>
              </w:rPr>
              <w:t>arie-portal.html:4427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JWT stored unencrypted in localStorage, accessible via XSS.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Use httpOnly Secure SameSite cookies.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6 hrs</w:t>
            </w:r>
          </w:p>
        </w:tc>
      </w:tr>
      <w:tr>
        <w:tc>
          <w:tcPr>
            <w:tcW w:type="dxa" w:w="1934"/>
          </w:tcPr>
          <w:p>
            <w:r/>
            <w:r>
              <w:rPr>
                <w:b/>
                <w:sz w:val="14"/>
              </w:rPr>
              <w:t>AUDIT4-003</w:t>
            </w:r>
          </w:p>
        </w:tc>
        <w:tc>
          <w:tcPr>
            <w:tcW w:type="dxa" w:w="1934"/>
            <w:shd w:val="clear" w:fill="FFF3E0"/>
          </w:tcPr>
          <w:p>
            <w:r/>
            <w:r>
              <w:rPr>
                <w:b/>
                <w:color w:val="D97706"/>
                <w:sz w:val="14"/>
              </w:rPr>
              <w:t>HIGH</w:t>
            </w:r>
          </w:p>
        </w:tc>
        <w:tc>
          <w:tcPr>
            <w:tcW w:type="dxa" w:w="1934"/>
          </w:tcPr>
          <w:p>
            <w:r/>
            <w:r>
              <w:rPr>
                <w:b/>
                <w:sz w:val="14"/>
              </w:rPr>
              <w:t>Sensitive PII in Unencrypted localStorage</w:t>
            </w:r>
          </w:p>
        </w:tc>
        <w:tc>
          <w:tcPr>
            <w:tcW w:type="dxa" w:w="1934"/>
          </w:tcPr>
          <w:p>
            <w:r/>
            <w:r>
              <w:rPr>
                <w:color w:val="666666"/>
                <w:sz w:val="14"/>
              </w:rPr>
              <w:t>arie-portal.html:5886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Draft data (names, BRNs, UBO details) cached as plaintext.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Remove localStorage backup; API-only save.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4 hrs</w:t>
            </w:r>
          </w:p>
        </w:tc>
      </w:tr>
      <w:tr>
        <w:tc>
          <w:tcPr>
            <w:tcW w:type="dxa" w:w="1934"/>
          </w:tcPr>
          <w:p>
            <w:r/>
            <w:r>
              <w:rPr>
                <w:b/>
                <w:sz w:val="14"/>
              </w:rPr>
              <w:t>AUDIT4-005</w:t>
            </w:r>
          </w:p>
        </w:tc>
        <w:tc>
          <w:tcPr>
            <w:tcW w:type="dxa" w:w="1934"/>
            <w:shd w:val="clear" w:fill="FFF3E0"/>
          </w:tcPr>
          <w:p>
            <w:r/>
            <w:r>
              <w:rPr>
                <w:b/>
                <w:color w:val="D97706"/>
                <w:sz w:val="14"/>
              </w:rPr>
              <w:t>HIGH</w:t>
            </w:r>
          </w:p>
        </w:tc>
        <w:tc>
          <w:tcPr>
            <w:tcW w:type="dxa" w:w="1934"/>
          </w:tcPr>
          <w:p>
            <w:r/>
            <w:r>
              <w:rPr>
                <w:b/>
                <w:sz w:val="14"/>
              </w:rPr>
              <w:t>Missing SameSite Cookie Attribute</w:t>
            </w:r>
          </w:p>
        </w:tc>
        <w:tc>
          <w:tcPr>
            <w:tcW w:type="dxa" w:w="1934"/>
          </w:tcPr>
          <w:p>
            <w:r/>
            <w:r>
              <w:rPr>
                <w:color w:val="666666"/>
                <w:sz w:val="14"/>
              </w:rPr>
              <w:t>server.py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No SameSite protection since tokens use localStorage.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Implement with AUDIT4-002 fix.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6 hrs</w:t>
            </w:r>
          </w:p>
        </w:tc>
      </w:tr>
      <w:tr>
        <w:tc>
          <w:tcPr>
            <w:tcW w:type="dxa" w:w="1934"/>
          </w:tcPr>
          <w:p>
            <w:r/>
            <w:r>
              <w:rPr>
                <w:b/>
                <w:sz w:val="14"/>
              </w:rPr>
              <w:t>AUDIT4-006</w:t>
            </w:r>
          </w:p>
        </w:tc>
        <w:tc>
          <w:tcPr>
            <w:tcW w:type="dxa" w:w="1934"/>
            <w:shd w:val="clear" w:fill="E3F2FD"/>
          </w:tcPr>
          <w:p>
            <w:r/>
            <w:r>
              <w:rPr>
                <w:b/>
                <w:color w:val="2563EB"/>
                <w:sz w:val="14"/>
              </w:rPr>
              <w:t>MEDIUM</w:t>
            </w:r>
          </w:p>
        </w:tc>
        <w:tc>
          <w:tcPr>
            <w:tcW w:type="dxa" w:w="1934"/>
          </w:tcPr>
          <w:p>
            <w:r/>
            <w:r>
              <w:rPr>
                <w:b/>
                <w:sz w:val="14"/>
              </w:rPr>
              <w:t>CSP Too Permissive</w:t>
            </w:r>
          </w:p>
        </w:tc>
        <w:tc>
          <w:tcPr>
            <w:tcW w:type="dxa" w:w="1934"/>
          </w:tcPr>
          <w:p>
            <w:r/>
            <w:r>
              <w:rPr>
                <w:color w:val="666666"/>
                <w:sz w:val="14"/>
              </w:rPr>
              <w:t>server.py:1324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CSP includes unsafe-inline and unsafe-eval.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Remove unsafe-inline/eval; use nonces.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3 hrs</w:t>
            </w:r>
          </w:p>
        </w:tc>
      </w:tr>
      <w:tr>
        <w:tc>
          <w:tcPr>
            <w:tcW w:type="dxa" w:w="1934"/>
          </w:tcPr>
          <w:p>
            <w:r/>
            <w:r>
              <w:rPr>
                <w:b/>
                <w:sz w:val="14"/>
              </w:rPr>
              <w:t>AUDIT4-007</w:t>
            </w:r>
          </w:p>
        </w:tc>
        <w:tc>
          <w:tcPr>
            <w:tcW w:type="dxa" w:w="1934"/>
            <w:shd w:val="clear" w:fill="E3F2FD"/>
          </w:tcPr>
          <w:p>
            <w:r/>
            <w:r>
              <w:rPr>
                <w:b/>
                <w:color w:val="2563EB"/>
                <w:sz w:val="14"/>
              </w:rPr>
              <w:t>MEDIUM</w:t>
            </w:r>
          </w:p>
        </w:tc>
        <w:tc>
          <w:tcPr>
            <w:tcW w:type="dxa" w:w="1934"/>
          </w:tcPr>
          <w:p>
            <w:r/>
            <w:r>
              <w:rPr>
                <w:b/>
                <w:sz w:val="14"/>
              </w:rPr>
              <w:t>File Upload Path Traversal Risk</w:t>
            </w:r>
          </w:p>
        </w:tc>
        <w:tc>
          <w:tcPr>
            <w:tcW w:type="dxa" w:w="1934"/>
          </w:tcPr>
          <w:p>
            <w:r/>
            <w:r>
              <w:rPr>
                <w:color w:val="666666"/>
                <w:sz w:val="14"/>
              </w:rPr>
              <w:t>server.py:2045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No explicit filename sanitization despite UUID prefix.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Add basename() and FileUploadValidator.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2 hrs</w:t>
            </w:r>
          </w:p>
        </w:tc>
      </w:tr>
      <w:tr>
        <w:tc>
          <w:tcPr>
            <w:tcW w:type="dxa" w:w="1934"/>
          </w:tcPr>
          <w:p>
            <w:r/>
            <w:r>
              <w:rPr>
                <w:b/>
                <w:sz w:val="14"/>
              </w:rPr>
              <w:t>AUDIT4-008</w:t>
            </w:r>
          </w:p>
        </w:tc>
        <w:tc>
          <w:tcPr>
            <w:tcW w:type="dxa" w:w="1934"/>
            <w:shd w:val="clear" w:fill="E3F2FD"/>
          </w:tcPr>
          <w:p>
            <w:r/>
            <w:r>
              <w:rPr>
                <w:b/>
                <w:color w:val="2563EB"/>
                <w:sz w:val="14"/>
              </w:rPr>
              <w:t>MEDIUM</w:t>
            </w:r>
          </w:p>
        </w:tc>
        <w:tc>
          <w:tcPr>
            <w:tcW w:type="dxa" w:w="1934"/>
          </w:tcPr>
          <w:p>
            <w:r/>
            <w:r>
              <w:rPr>
                <w:b/>
                <w:sz w:val="14"/>
              </w:rPr>
              <w:t>Rate Limiting Gaps</w:t>
            </w:r>
          </w:p>
        </w:tc>
        <w:tc>
          <w:tcPr>
            <w:tcW w:type="dxa" w:w="1934"/>
          </w:tcPr>
          <w:p>
            <w:r/>
            <w:r>
              <w:rPr>
                <w:color w:val="666666"/>
                <w:sz w:val="14"/>
              </w:rPr>
              <w:t>server.py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Missing on screening, Claude, and document endpoints.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Add per-user rate limits.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3 hrs</w:t>
            </w:r>
          </w:p>
        </w:tc>
      </w:tr>
      <w:tr>
        <w:tc>
          <w:tcPr>
            <w:tcW w:type="dxa" w:w="1934"/>
          </w:tcPr>
          <w:p>
            <w:r/>
            <w:r>
              <w:rPr>
                <w:b/>
                <w:sz w:val="14"/>
              </w:rPr>
              <w:t>AUDIT4-009</w:t>
            </w:r>
          </w:p>
        </w:tc>
        <w:tc>
          <w:tcPr>
            <w:tcW w:type="dxa" w:w="1934"/>
            <w:shd w:val="clear" w:fill="FFF3E0"/>
          </w:tcPr>
          <w:p>
            <w:r/>
            <w:r>
              <w:rPr>
                <w:b/>
                <w:color w:val="D97706"/>
                <w:sz w:val="14"/>
              </w:rPr>
              <w:t>HIGH</w:t>
            </w:r>
          </w:p>
        </w:tc>
        <w:tc>
          <w:tcPr>
            <w:tcW w:type="dxa" w:w="1934"/>
          </w:tcPr>
          <w:p>
            <w:r/>
            <w:r>
              <w:rPr>
                <w:b/>
                <w:sz w:val="14"/>
              </w:rPr>
              <w:t>AI Prompt Injection Vulnerability</w:t>
            </w:r>
          </w:p>
        </w:tc>
        <w:tc>
          <w:tcPr>
            <w:tcW w:type="dxa" w:w="1934"/>
          </w:tcPr>
          <w:p>
            <w:r/>
            <w:r>
              <w:rPr>
                <w:color w:val="666666"/>
                <w:sz w:val="14"/>
              </w:rPr>
              <w:t>claude_client.py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User input passed to Claude prompts without sanitization.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Sanitize inputs; use structured outputs.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4 hrs</w:t>
            </w:r>
          </w:p>
        </w:tc>
      </w:tr>
      <w:tr>
        <w:tc>
          <w:tcPr>
            <w:tcW w:type="dxa" w:w="1934"/>
          </w:tcPr>
          <w:p>
            <w:r/>
            <w:r>
              <w:rPr>
                <w:b/>
                <w:sz w:val="14"/>
              </w:rPr>
              <w:t>AUDIT4-010</w:t>
            </w:r>
          </w:p>
        </w:tc>
        <w:tc>
          <w:tcPr>
            <w:tcW w:type="dxa" w:w="1934"/>
            <w:shd w:val="clear" w:fill="E3F2FD"/>
          </w:tcPr>
          <w:p>
            <w:r/>
            <w:r>
              <w:rPr>
                <w:b/>
                <w:color w:val="2563EB"/>
                <w:sz w:val="14"/>
              </w:rPr>
              <w:t>MEDIUM</w:t>
            </w:r>
          </w:p>
        </w:tc>
        <w:tc>
          <w:tcPr>
            <w:tcW w:type="dxa" w:w="1934"/>
          </w:tcPr>
          <w:p>
            <w:r/>
            <w:r>
              <w:rPr>
                <w:b/>
                <w:sz w:val="14"/>
              </w:rPr>
              <w:t>PII in Audit Logs</w:t>
            </w:r>
          </w:p>
        </w:tc>
        <w:tc>
          <w:tcPr>
            <w:tcW w:type="dxa" w:w="1934"/>
          </w:tcPr>
          <w:p>
            <w:r/>
            <w:r>
              <w:rPr>
                <w:color w:val="666666"/>
                <w:sz w:val="14"/>
              </w:rPr>
              <w:t>server.py:1384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Audit logs store full names and company details.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Hash identifiers; sanitize detail field.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2 hrs</w:t>
            </w:r>
          </w:p>
        </w:tc>
      </w:tr>
      <w:tr>
        <w:tc>
          <w:tcPr>
            <w:tcW w:type="dxa" w:w="1934"/>
          </w:tcPr>
          <w:p>
            <w:r/>
            <w:r>
              <w:rPr>
                <w:b/>
                <w:sz w:val="14"/>
              </w:rPr>
              <w:t>AUDIT4-011</w:t>
            </w:r>
          </w:p>
        </w:tc>
        <w:tc>
          <w:tcPr>
            <w:tcW w:type="dxa" w:w="1934"/>
            <w:shd w:val="clear" w:fill="E3F2FD"/>
          </w:tcPr>
          <w:p>
            <w:r/>
            <w:r>
              <w:rPr>
                <w:b/>
                <w:color w:val="2563EB"/>
                <w:sz w:val="14"/>
              </w:rPr>
              <w:t>MEDIUM</w:t>
            </w:r>
          </w:p>
        </w:tc>
        <w:tc>
          <w:tcPr>
            <w:tcW w:type="dxa" w:w="1934"/>
          </w:tcPr>
          <w:p>
            <w:r/>
            <w:r>
              <w:rPr>
                <w:b/>
                <w:sz w:val="14"/>
              </w:rPr>
              <w:t>Claude API Cost Not Capped</w:t>
            </w:r>
          </w:p>
        </w:tc>
        <w:tc>
          <w:tcPr>
            <w:tcW w:type="dxa" w:w="1934"/>
          </w:tcPr>
          <w:p>
            <w:r/>
            <w:r>
              <w:rPr>
                <w:color w:val="666666"/>
                <w:sz w:val="14"/>
              </w:rPr>
              <w:t>claude_client.py:86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No per-application or per-user cost limit.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Add per-application budget cap.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2 hrs</w:t>
            </w:r>
          </w:p>
        </w:tc>
      </w:tr>
      <w:tr>
        <w:tc>
          <w:tcPr>
            <w:tcW w:type="dxa" w:w="1934"/>
          </w:tcPr>
          <w:p>
            <w:r/>
            <w:r>
              <w:rPr>
                <w:b/>
                <w:sz w:val="14"/>
              </w:rPr>
              <w:t>AUDIT4-012</w:t>
            </w:r>
          </w:p>
        </w:tc>
        <w:tc>
          <w:tcPr>
            <w:tcW w:type="dxa" w:w="1934"/>
            <w:shd w:val="clear" w:fill="E3F2FD"/>
          </w:tcPr>
          <w:p>
            <w:r/>
            <w:r>
              <w:rPr>
                <w:b/>
                <w:color w:val="2563EB"/>
                <w:sz w:val="14"/>
              </w:rPr>
              <w:t>MEDIUM</w:t>
            </w:r>
          </w:p>
        </w:tc>
        <w:tc>
          <w:tcPr>
            <w:tcW w:type="dxa" w:w="1934"/>
          </w:tcPr>
          <w:p>
            <w:r/>
            <w:r>
              <w:rPr>
                <w:b/>
                <w:sz w:val="14"/>
              </w:rPr>
              <w:t>No API Fallback</w:t>
            </w:r>
          </w:p>
        </w:tc>
        <w:tc>
          <w:tcPr>
            <w:tcW w:type="dxa" w:w="1934"/>
          </w:tcPr>
          <w:p>
            <w:r/>
            <w:r>
              <w:rPr>
                <w:color w:val="666666"/>
                <w:sz w:val="14"/>
              </w:rPr>
              <w:t>claude_client.py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Memo generation fails if API unavailable.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Implement graceful fallback.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3 hrs</w:t>
            </w:r>
          </w:p>
        </w:tc>
      </w:tr>
      <w:tr>
        <w:tc>
          <w:tcPr>
            <w:tcW w:type="dxa" w:w="1934"/>
          </w:tcPr>
          <w:p>
            <w:r/>
            <w:r>
              <w:rPr>
                <w:b/>
                <w:sz w:val="14"/>
              </w:rPr>
              <w:t>AUDIT4-013</w:t>
            </w:r>
          </w:p>
        </w:tc>
        <w:tc>
          <w:tcPr>
            <w:tcW w:type="dxa" w:w="1934"/>
            <w:shd w:val="clear" w:fill="FFF3E0"/>
          </w:tcPr>
          <w:p>
            <w:r/>
            <w:r>
              <w:rPr>
                <w:b/>
                <w:color w:val="D97706"/>
                <w:sz w:val="14"/>
              </w:rPr>
              <w:t>HIGH</w:t>
            </w:r>
          </w:p>
        </w:tc>
        <w:tc>
          <w:tcPr>
            <w:tcW w:type="dxa" w:w="1934"/>
          </w:tcPr>
          <w:p>
            <w:r/>
            <w:r>
              <w:rPr>
                <w:b/>
                <w:sz w:val="14"/>
              </w:rPr>
              <w:t>Health Endpoint Leaks Config</w:t>
            </w:r>
          </w:p>
        </w:tc>
        <w:tc>
          <w:tcPr>
            <w:tcW w:type="dxa" w:w="1934"/>
          </w:tcPr>
          <w:p>
            <w:r/>
            <w:r>
              <w:rPr>
                <w:color w:val="666666"/>
                <w:sz w:val="14"/>
              </w:rPr>
              <w:t>server.py:1431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Unauthenticated /api/health reveals integration status.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Restrict to authenticated admins.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1 hr</w:t>
            </w:r>
          </w:p>
        </w:tc>
      </w:tr>
      <w:tr>
        <w:tc>
          <w:tcPr>
            <w:tcW w:type="dxa" w:w="1934"/>
          </w:tcPr>
          <w:p>
            <w:r/>
            <w:r>
              <w:rPr>
                <w:b/>
                <w:sz w:val="14"/>
              </w:rPr>
              <w:t>AUDIT4-014</w:t>
            </w:r>
          </w:p>
        </w:tc>
        <w:tc>
          <w:tcPr>
            <w:tcW w:type="dxa" w:w="1934"/>
            <w:shd w:val="clear" w:fill="E3F2FD"/>
          </w:tcPr>
          <w:p>
            <w:r/>
            <w:r>
              <w:rPr>
                <w:b/>
                <w:color w:val="2563EB"/>
                <w:sz w:val="14"/>
              </w:rPr>
              <w:t>MEDIUM</w:t>
            </w:r>
          </w:p>
        </w:tc>
        <w:tc>
          <w:tcPr>
            <w:tcW w:type="dxa" w:w="1934"/>
          </w:tcPr>
          <w:p>
            <w:r/>
            <w:r>
              <w:rPr>
                <w:b/>
                <w:sz w:val="14"/>
              </w:rPr>
              <w:t>Large Upload Limit</w:t>
            </w:r>
          </w:p>
        </w:tc>
        <w:tc>
          <w:tcPr>
            <w:tcW w:type="dxa" w:w="1934"/>
          </w:tcPr>
          <w:p>
            <w:r/>
            <w:r>
              <w:rPr>
                <w:color w:val="666666"/>
                <w:sz w:val="14"/>
              </w:rPr>
              <w:t>nginx.conf:74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25MB limit with no per-endpoint rate limiting.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Reduce to 10MB; add timeouts.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1 hr</w:t>
            </w:r>
          </w:p>
        </w:tc>
      </w:tr>
      <w:tr>
        <w:tc>
          <w:tcPr>
            <w:tcW w:type="dxa" w:w="1934"/>
          </w:tcPr>
          <w:p>
            <w:r/>
            <w:r>
              <w:rPr>
                <w:b/>
                <w:sz w:val="14"/>
              </w:rPr>
              <w:t>AUDIT4-015</w:t>
            </w:r>
          </w:p>
        </w:tc>
        <w:tc>
          <w:tcPr>
            <w:tcW w:type="dxa" w:w="1934"/>
            <w:shd w:val="clear" w:fill="E8F5E9"/>
          </w:tcPr>
          <w:p>
            <w:r/>
            <w:r>
              <w:rPr>
                <w:b/>
                <w:color w:val="16A34A"/>
                <w:sz w:val="14"/>
              </w:rPr>
              <w:t>LOW</w:t>
            </w:r>
          </w:p>
        </w:tc>
        <w:tc>
          <w:tcPr>
            <w:tcW w:type="dxa" w:w="1934"/>
          </w:tcPr>
          <w:p>
            <w:r/>
            <w:r>
              <w:rPr>
                <w:b/>
                <w:sz w:val="14"/>
              </w:rPr>
              <w:t>PII Encryption Coverage Unclear</w:t>
            </w:r>
          </w:p>
        </w:tc>
        <w:tc>
          <w:tcPr>
            <w:tcW w:type="dxa" w:w="1934"/>
          </w:tcPr>
          <w:p>
            <w:r/>
            <w:r>
              <w:rPr>
                <w:color w:val="666666"/>
                <w:sz w:val="14"/>
              </w:rPr>
              <w:t>security_hardening.py:444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PIIEncryptor exists but full field coverage unverified.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Audit coverage across server.py.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2 hrs</w:t>
            </w:r>
          </w:p>
        </w:tc>
      </w:tr>
      <w:tr>
        <w:tc>
          <w:tcPr>
            <w:tcW w:type="dxa" w:w="1934"/>
          </w:tcPr>
          <w:p>
            <w:r/>
            <w:r>
              <w:rPr>
                <w:b/>
                <w:sz w:val="14"/>
              </w:rPr>
              <w:t>AUDIT4-016</w:t>
            </w:r>
          </w:p>
        </w:tc>
        <w:tc>
          <w:tcPr>
            <w:tcW w:type="dxa" w:w="1934"/>
            <w:shd w:val="clear" w:fill="E3F2FD"/>
          </w:tcPr>
          <w:p>
            <w:r/>
            <w:r>
              <w:rPr>
                <w:b/>
                <w:color w:val="2563EB"/>
                <w:sz w:val="14"/>
              </w:rPr>
              <w:t>MEDIUM</w:t>
            </w:r>
          </w:p>
        </w:tc>
        <w:tc>
          <w:tcPr>
            <w:tcW w:type="dxa" w:w="1934"/>
          </w:tcPr>
          <w:p>
            <w:r/>
            <w:r>
              <w:rPr>
                <w:b/>
                <w:sz w:val="14"/>
              </w:rPr>
              <w:t>No Data Retention Policy</w:t>
            </w:r>
          </w:p>
        </w:tc>
        <w:tc>
          <w:tcPr>
            <w:tcW w:type="dxa" w:w="1934"/>
          </w:tcPr>
          <w:p>
            <w:r/>
            <w:r>
              <w:rPr>
                <w:color w:val="666666"/>
                <w:sz w:val="14"/>
              </w:rPr>
              <w:t>Database schema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No automated deletion of old documents/logs.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Implement GDPR-compliant retention.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4 hrs</w:t>
            </w:r>
          </w:p>
        </w:tc>
      </w:tr>
      <w:tr>
        <w:tc>
          <w:tcPr>
            <w:tcW w:type="dxa" w:w="1934"/>
          </w:tcPr>
          <w:p>
            <w:r/>
            <w:r>
              <w:rPr>
                <w:b/>
                <w:sz w:val="14"/>
              </w:rPr>
              <w:t>AUDIT4-017</w:t>
            </w:r>
          </w:p>
        </w:tc>
        <w:tc>
          <w:tcPr>
            <w:tcW w:type="dxa" w:w="1934"/>
            <w:shd w:val="clear" w:fill="E8F5E9"/>
          </w:tcPr>
          <w:p>
            <w:r/>
            <w:r>
              <w:rPr>
                <w:b/>
                <w:color w:val="16A34A"/>
                <w:sz w:val="14"/>
              </w:rPr>
              <w:t>LOW</w:t>
            </w:r>
          </w:p>
        </w:tc>
        <w:tc>
          <w:tcPr>
            <w:tcW w:type="dxa" w:w="1934"/>
          </w:tcPr>
          <w:p>
            <w:r/>
            <w:r>
              <w:rPr>
                <w:b/>
                <w:sz w:val="14"/>
              </w:rPr>
              <w:t>Dual Approval Needs Verification</w:t>
            </w:r>
          </w:p>
        </w:tc>
        <w:tc>
          <w:tcPr>
            <w:tcW w:type="dxa" w:w="1934"/>
          </w:tcPr>
          <w:p>
            <w:r/>
            <w:r>
              <w:rPr>
                <w:color w:val="666666"/>
                <w:sz w:val="14"/>
              </w:rPr>
              <w:t>security_hardening.py:120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validate_high_risk_dual_approval() needs invocation check.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Verify in ApplicationDecisionHandler.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1 hr</w:t>
            </w:r>
          </w:p>
        </w:tc>
      </w:tr>
      <w:tr>
        <w:tc>
          <w:tcPr>
            <w:tcW w:type="dxa" w:w="1934"/>
          </w:tcPr>
          <w:p>
            <w:r/>
            <w:r>
              <w:rPr>
                <w:b/>
                <w:sz w:val="14"/>
              </w:rPr>
              <w:t>AUDIT4-018</w:t>
            </w:r>
          </w:p>
        </w:tc>
        <w:tc>
          <w:tcPr>
            <w:tcW w:type="dxa" w:w="1934"/>
            <w:shd w:val="clear" w:fill="E8F5E9"/>
          </w:tcPr>
          <w:p>
            <w:r/>
            <w:r>
              <w:rPr>
                <w:b/>
                <w:color w:val="16A34A"/>
                <w:sz w:val="14"/>
              </w:rPr>
              <w:t>LOW</w:t>
            </w:r>
          </w:p>
        </w:tc>
        <w:tc>
          <w:tcPr>
            <w:tcW w:type="dxa" w:w="1934"/>
          </w:tcPr>
          <w:p>
            <w:r/>
            <w:r>
              <w:rPr>
                <w:b/>
                <w:sz w:val="14"/>
              </w:rPr>
              <w:t>Screening Mode Validation OK</w:t>
            </w:r>
          </w:p>
        </w:tc>
        <w:tc>
          <w:tcPr>
            <w:tcW w:type="dxa" w:w="1934"/>
          </w:tcPr>
          <w:p>
            <w:r/>
            <w:r>
              <w:rPr>
                <w:color w:val="666666"/>
                <w:sz w:val="14"/>
              </w:rPr>
              <w:t>security_hardening.py:75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validate_approval() correctly rejects simulated screening.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No action needed. Verified.</w:t>
            </w:r>
          </w:p>
        </w:tc>
        <w:tc>
          <w:tcPr>
            <w:tcW w:type="dxa" w:w="1934"/>
          </w:tcPr>
          <w:p>
            <w:r/>
            <w:r>
              <w:rPr>
                <w:sz w:val="14"/>
              </w:rPr>
              <w:t>0 hrs</w:t>
            </w:r>
          </w:p>
        </w:tc>
      </w:tr>
    </w:tbl>
    <w:p>
      <w:r>
        <w:br w:type="page"/>
      </w:r>
    </w:p>
    <w:p>
      <w:pPr>
        <w:pStyle w:val="Heading1"/>
      </w:pPr>
      <w:r>
        <w:t>Security Controls Assessment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2"/>
        <w:gridCol w:w="4512"/>
        <w:gridCol w:w="4512"/>
      </w:tblGrid>
      <w:tr>
        <w:tc>
          <w:tcPr>
            <w:tcW w:type="dxa" w:w="4512"/>
            <w:shd w:val="clear" w:fill="2B2F8F"/>
          </w:tcPr>
          <w:p>
            <w:r/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4512"/>
            <w:shd w:val="clear" w:fill="2B2F8F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512"/>
            <w:shd w:val="clear" w:fill="2B2F8F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b/>
                <w:sz w:val="18"/>
              </w:rPr>
              <w:t>Password Policy</w:t>
            </w:r>
          </w:p>
        </w:tc>
        <w:tc>
          <w:tcPr>
            <w:tcW w:type="dxa" w:w="4512"/>
          </w:tcPr>
          <w:p>
            <w:r/>
            <w:r>
              <w:rPr>
                <w:b/>
                <w:color w:val="16A34A"/>
                <w:sz w:val="18"/>
              </w:rPr>
              <w:t>✓ GOOD</w:t>
            </w:r>
          </w:p>
        </w:tc>
        <w:tc>
          <w:tcPr>
            <w:tcW w:type="dxa" w:w="4512"/>
          </w:tcPr>
          <w:p>
            <w:r/>
            <w:r>
              <w:rPr>
                <w:sz w:val="18"/>
              </w:rPr>
              <w:t>Enforced via PasswordPolicy class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b/>
                <w:sz w:val="18"/>
              </w:rPr>
              <w:t>Rate Limiting</w:t>
            </w:r>
          </w:p>
        </w:tc>
        <w:tc>
          <w:tcPr>
            <w:tcW w:type="dxa" w:w="4512"/>
          </w:tcPr>
          <w:p>
            <w:r/>
            <w:r>
              <w:rPr>
                <w:b/>
                <w:color w:val="D97706"/>
                <w:sz w:val="18"/>
              </w:rPr>
              <w:t>⚠ PARTIAL</w:t>
            </w:r>
          </w:p>
        </w:tc>
        <w:tc>
          <w:tcPr>
            <w:tcW w:type="dxa" w:w="4512"/>
          </w:tcPr>
          <w:p>
            <w:r/>
            <w:r>
              <w:rPr>
                <w:sz w:val="18"/>
              </w:rPr>
              <w:t>Present on auth, missing on expensive ops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b/>
                <w:sz w:val="18"/>
              </w:rPr>
              <w:t>HTTPS/TLS</w:t>
            </w:r>
          </w:p>
        </w:tc>
        <w:tc>
          <w:tcPr>
            <w:tcW w:type="dxa" w:w="4512"/>
          </w:tcPr>
          <w:p>
            <w:r/>
            <w:r>
              <w:rPr>
                <w:b/>
                <w:color w:val="16A34A"/>
                <w:sz w:val="18"/>
              </w:rPr>
              <w:t>✓ GOOD</w:t>
            </w:r>
          </w:p>
        </w:tc>
        <w:tc>
          <w:tcPr>
            <w:tcW w:type="dxa" w:w="4512"/>
          </w:tcPr>
          <w:p>
            <w:r/>
            <w:r>
              <w:rPr>
                <w:sz w:val="18"/>
              </w:rPr>
              <w:t>Nginx enforces TLS 1.2+, HSTS set</w:t>
            </w:r>
          </w:p>
        </w:tc>
      </w:tr>
      <w:tr>
        <w:tc>
          <w:tcPr>
            <w:tcW w:type="dxa" w:w="4512"/>
          </w:tcPr>
          <w:p>
            <w:r/>
            <w:r>
              <w:rPr>
                <w:b/>
                <w:sz w:val="18"/>
              </w:rPr>
              <w:t>CORS</w:t>
            </w:r>
          </w:p>
        </w:tc>
        <w:tc>
          <w:tcPr>
            <w:tcW w:type="dxa" w:w="4512"/>
          </w:tcPr>
          <w:p>
            <w:r/>
            <w:r>
              <w:rPr>
                <w:b/>
                <w:color w:val="16A34A"/>
                <w:sz w:val="18"/>
              </w:rPr>
              <w:t>✓ GOOD</w:t>
            </w:r>
          </w:p>
        </w:tc>
        <w:tc>
          <w:tcPr>
            <w:tcW w:type="dxa" w:w="4512"/>
          </w:tcPr>
          <w:p>
            <w:r/>
            <w:r>
              <w:rPr>
                <w:sz w:val="18"/>
              </w:rPr>
              <w:t>Restricted to ALLOWED_ORIGIN</w:t>
            </w:r>
          </w:p>
        </w:tc>
      </w:tr>
      <w:tr>
        <w:tc>
          <w:tcPr>
            <w:tcW w:type="dxa" w:w="4512"/>
          </w:tcPr>
          <w:p>
            <w:r/>
            <w:r>
              <w:rPr>
                <w:b/>
                <w:sz w:val="18"/>
              </w:rPr>
              <w:t>Authentication</w:t>
            </w:r>
          </w:p>
        </w:tc>
        <w:tc>
          <w:tcPr>
            <w:tcW w:type="dxa" w:w="4512"/>
          </w:tcPr>
          <w:p>
            <w:r/>
            <w:r>
              <w:rPr>
                <w:b/>
                <w:color w:val="16A34A"/>
                <w:sz w:val="18"/>
              </w:rPr>
              <w:t>✓ GOOD</w:t>
            </w:r>
          </w:p>
        </w:tc>
        <w:tc>
          <w:tcPr>
            <w:tcW w:type="dxa" w:w="4512"/>
          </w:tcPr>
          <w:p>
            <w:r/>
            <w:r>
              <w:rPr>
                <w:sz w:val="18"/>
              </w:rPr>
              <w:t>JWT with issuer verification + expiry</w:t>
            </w:r>
          </w:p>
        </w:tc>
      </w:tr>
      <w:tr>
        <w:tc>
          <w:tcPr>
            <w:tcW w:type="dxa" w:w="4512"/>
          </w:tcPr>
          <w:p>
            <w:r/>
            <w:r>
              <w:rPr>
                <w:b/>
                <w:sz w:val="18"/>
              </w:rPr>
              <w:t>Authorization</w:t>
            </w:r>
          </w:p>
        </w:tc>
        <w:tc>
          <w:tcPr>
            <w:tcW w:type="dxa" w:w="4512"/>
          </w:tcPr>
          <w:p>
            <w:r/>
            <w:r>
              <w:rPr>
                <w:b/>
                <w:color w:val="16A34A"/>
                <w:sz w:val="18"/>
              </w:rPr>
              <w:t>✓ GOOD</w:t>
            </w:r>
          </w:p>
        </w:tc>
        <w:tc>
          <w:tcPr>
            <w:tcW w:type="dxa" w:w="4512"/>
          </w:tcPr>
          <w:p>
            <w:r/>
            <w:r>
              <w:rPr>
                <w:sz w:val="18"/>
              </w:rPr>
              <w:t>Role-based access on all API endpoints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b/>
                <w:sz w:val="18"/>
              </w:rPr>
              <w:t>Input Validation</w:t>
            </w:r>
          </w:p>
        </w:tc>
        <w:tc>
          <w:tcPr>
            <w:tcW w:type="dxa" w:w="4512"/>
          </w:tcPr>
          <w:p>
            <w:r/>
            <w:r>
              <w:rPr>
                <w:b/>
                <w:color w:val="D97706"/>
                <w:sz w:val="18"/>
              </w:rPr>
              <w:t>⚠ PARTIAL</w:t>
            </w:r>
          </w:p>
        </w:tc>
        <w:tc>
          <w:tcPr>
            <w:tcW w:type="dxa" w:w="4512"/>
          </w:tcPr>
          <w:p>
            <w:r/>
            <w:r>
              <w:rPr>
                <w:sz w:val="18"/>
              </w:rPr>
              <w:t>No prompt injection defense</w:t>
            </w:r>
          </w:p>
        </w:tc>
      </w:tr>
      <w:tr>
        <w:tc>
          <w:tcPr>
            <w:tcW w:type="dxa" w:w="4512"/>
          </w:tcPr>
          <w:p>
            <w:r/>
            <w:r>
              <w:rPr>
                <w:b/>
                <w:sz w:val="18"/>
              </w:rPr>
              <w:t>Output Encoding</w:t>
            </w:r>
          </w:p>
        </w:tc>
        <w:tc>
          <w:tcPr>
            <w:tcW w:type="dxa" w:w="4512"/>
          </w:tcPr>
          <w:p>
            <w:r/>
            <w:r>
              <w:rPr>
                <w:b/>
                <w:color w:val="DC2626"/>
                <w:sz w:val="18"/>
              </w:rPr>
              <w:t>✘ BROKEN</w:t>
            </w:r>
          </w:p>
        </w:tc>
        <w:tc>
          <w:tcPr>
            <w:tcW w:type="dxa" w:w="4512"/>
          </w:tcPr>
          <w:p>
            <w:r/>
            <w:r>
              <w:rPr>
                <w:sz w:val="18"/>
              </w:rPr>
              <w:t>innerHTML without encoding</w:t>
            </w:r>
          </w:p>
        </w:tc>
      </w:tr>
      <w:tr>
        <w:tc>
          <w:tcPr>
            <w:tcW w:type="dxa" w:w="4512"/>
          </w:tcPr>
          <w:p>
            <w:r/>
            <w:r>
              <w:rPr>
                <w:b/>
                <w:sz w:val="18"/>
              </w:rPr>
              <w:t>Error Handling</w:t>
            </w:r>
          </w:p>
        </w:tc>
        <w:tc>
          <w:tcPr>
            <w:tcW w:type="dxa" w:w="4512"/>
          </w:tcPr>
          <w:p>
            <w:r/>
            <w:r>
              <w:rPr>
                <w:b/>
                <w:color w:val="16A34A"/>
                <w:sz w:val="18"/>
              </w:rPr>
              <w:t>✓ GOOD</w:t>
            </w:r>
          </w:p>
        </w:tc>
        <w:tc>
          <w:tcPr>
            <w:tcW w:type="dxa" w:w="4512"/>
          </w:tcPr>
          <w:p>
            <w:r/>
            <w:r>
              <w:rPr>
                <w:sz w:val="18"/>
              </w:rPr>
              <w:t>No sensitive info leakage</w:t>
            </w:r>
          </w:p>
        </w:tc>
      </w:tr>
      <w:tr>
        <w:tc>
          <w:tcPr>
            <w:tcW w:type="dxa" w:w="4512"/>
          </w:tcPr>
          <w:p>
            <w:r/>
            <w:r>
              <w:rPr>
                <w:b/>
                <w:sz w:val="18"/>
              </w:rPr>
              <w:t>Audit Logging</w:t>
            </w:r>
          </w:p>
        </w:tc>
        <w:tc>
          <w:tcPr>
            <w:tcW w:type="dxa" w:w="4512"/>
          </w:tcPr>
          <w:p>
            <w:r/>
            <w:r>
              <w:rPr>
                <w:b/>
                <w:color w:val="D97706"/>
                <w:sz w:val="18"/>
              </w:rPr>
              <w:t>⚠ PARTIAL</w:t>
            </w:r>
          </w:p>
        </w:tc>
        <w:tc>
          <w:tcPr>
            <w:tcW w:type="dxa" w:w="4512"/>
          </w:tcPr>
          <w:p>
            <w:r/>
            <w:r>
              <w:rPr>
                <w:sz w:val="18"/>
              </w:rPr>
              <w:t>Exists but contains PII</w:t>
            </w:r>
          </w:p>
        </w:tc>
      </w:tr>
      <w:tr>
        <w:tc>
          <w:tcPr>
            <w:tcW w:type="dxa" w:w="4512"/>
          </w:tcPr>
          <w:p>
            <w:r/>
            <w:r>
              <w:rPr>
                <w:b/>
                <w:sz w:val="18"/>
              </w:rPr>
              <w:t>Encryption in Transit</w:t>
            </w:r>
          </w:p>
        </w:tc>
        <w:tc>
          <w:tcPr>
            <w:tcW w:type="dxa" w:w="4512"/>
          </w:tcPr>
          <w:p>
            <w:r/>
            <w:r>
              <w:rPr>
                <w:b/>
                <w:color w:val="16A34A"/>
                <w:sz w:val="18"/>
              </w:rPr>
              <w:t>✓ GOOD</w:t>
            </w:r>
          </w:p>
        </w:tc>
        <w:tc>
          <w:tcPr>
            <w:tcW w:type="dxa" w:w="4512"/>
          </w:tcPr>
          <w:p>
            <w:r/>
            <w:r>
              <w:rPr>
                <w:sz w:val="18"/>
              </w:rPr>
              <w:t>HTTPS enforced</w:t>
            </w:r>
          </w:p>
        </w:tc>
      </w:tr>
      <w:tr>
        <w:tc>
          <w:tcPr>
            <w:tcW w:type="dxa" w:w="4512"/>
          </w:tcPr>
          <w:p>
            <w:r/>
            <w:r>
              <w:rPr>
                <w:b/>
                <w:sz w:val="18"/>
              </w:rPr>
              <w:t>Encryption at Rest</w:t>
            </w:r>
          </w:p>
        </w:tc>
        <w:tc>
          <w:tcPr>
            <w:tcW w:type="dxa" w:w="4512"/>
          </w:tcPr>
          <w:p>
            <w:r/>
            <w:r>
              <w:rPr>
                <w:b/>
                <w:color w:val="D97706"/>
                <w:sz w:val="18"/>
              </w:rPr>
              <w:t>⚠ PARTIAL</w:t>
            </w:r>
          </w:p>
        </w:tc>
        <w:tc>
          <w:tcPr>
            <w:tcW w:type="dxa" w:w="4512"/>
          </w:tcPr>
          <w:p>
            <w:r/>
            <w:r>
              <w:rPr>
                <w:sz w:val="18"/>
              </w:rPr>
              <w:t>PIIEncryptor coverage unclear</w:t>
            </w:r>
          </w:p>
        </w:tc>
      </w:tr>
      <w:tr>
        <w:tc>
          <w:tcPr>
            <w:tcW w:type="dxa" w:w="4512"/>
          </w:tcPr>
          <w:p>
            <w:r/>
            <w:r>
              <w:rPr>
                <w:b/>
                <w:sz w:val="18"/>
              </w:rPr>
              <w:t>Secrets Management</w:t>
            </w:r>
          </w:p>
        </w:tc>
        <w:tc>
          <w:tcPr>
            <w:tcW w:type="dxa" w:w="4512"/>
          </w:tcPr>
          <w:p>
            <w:r/>
            <w:r>
              <w:rPr>
                <w:b/>
                <w:color w:val="16A34A"/>
                <w:sz w:val="18"/>
              </w:rPr>
              <w:t>✓ GOOD</w:t>
            </w:r>
          </w:p>
        </w:tc>
        <w:tc>
          <w:tcPr>
            <w:tcW w:type="dxa" w:w="4512"/>
          </w:tcPr>
          <w:p>
            <w:r/>
            <w:r>
              <w:rPr>
                <w:sz w:val="18"/>
              </w:rPr>
              <w:t>Env var based, no hardcoded secrets</w:t>
            </w:r>
          </w:p>
        </w:tc>
      </w:tr>
    </w:tbl>
    <w:p>
      <w:pPr>
        <w:pStyle w:val="Heading1"/>
      </w:pPr>
      <w:r>
        <w:t>Penetration Test Scenarios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84"/>
        <w:gridCol w:w="3384"/>
        <w:gridCol w:w="3384"/>
        <w:gridCol w:w="3384"/>
      </w:tblGrid>
      <w:tr>
        <w:tc>
          <w:tcPr>
            <w:tcW w:type="dxa" w:w="3384"/>
            <w:shd w:val="clear" w:fill="2B2F8F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3384"/>
            <w:shd w:val="clear" w:fill="2B2F8F"/>
          </w:tcPr>
          <w:p>
            <w:r/>
            <w:r>
              <w:rPr>
                <w:b/>
                <w:color w:val="FFFFFF"/>
                <w:sz w:val="18"/>
              </w:rPr>
              <w:t>Attack Flow</w:t>
            </w:r>
          </w:p>
        </w:tc>
        <w:tc>
          <w:tcPr>
            <w:tcW w:type="dxa" w:w="3384"/>
            <w:shd w:val="clear" w:fill="2B2F8F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384"/>
            <w:shd w:val="clear" w:fill="2B2F8F"/>
          </w:tcPr>
          <w:p>
            <w:r/>
            <w:r>
              <w:rPr>
                <w:b/>
                <w:color w:val="FFFFFF"/>
                <w:sz w:val="18"/>
              </w:rPr>
              <w:t>Prevention</w:t>
            </w:r>
          </w:p>
        </w:tc>
      </w:tr>
      <w:tr>
        <w:tc>
          <w:tcPr>
            <w:tcW w:type="dxa" w:w="3384"/>
          </w:tcPr>
          <w:p>
            <w:r/>
            <w:r>
              <w:rPr>
                <w:b/>
                <w:sz w:val="16"/>
              </w:rPr>
              <w:t>Session Hijacking</w:t>
            </w:r>
          </w:p>
        </w:tc>
        <w:tc>
          <w:tcPr>
            <w:tcW w:type="dxa" w:w="3384"/>
          </w:tcPr>
          <w:p>
            <w:r/>
            <w:r>
              <w:rPr>
                <w:sz w:val="16"/>
              </w:rPr>
              <w:t>XSS in chat → steal JWT from localStorage → impersonate officer</w:t>
            </w:r>
          </w:p>
        </w:tc>
        <w:tc>
          <w:tcPr>
            <w:tcW w:type="dxa" w:w="3384"/>
          </w:tcPr>
          <w:p>
            <w:r/>
            <w:r>
              <w:rPr>
                <w:b/>
                <w:color w:val="DC2626"/>
                <w:sz w:val="16"/>
              </w:rPr>
              <w:t>POSSIBLE</w:t>
            </w:r>
          </w:p>
        </w:tc>
        <w:tc>
          <w:tcPr>
            <w:tcW w:type="dxa" w:w="3384"/>
          </w:tcPr>
          <w:p>
            <w:r/>
            <w:r>
              <w:rPr>
                <w:sz w:val="16"/>
              </w:rPr>
              <w:t>Fix innerHTML + move JWT to cookies</w:t>
            </w:r>
          </w:p>
        </w:tc>
      </w:tr>
      <w:tr>
        <w:tc>
          <w:tcPr>
            <w:tcW w:type="dxa" w:w="3384"/>
          </w:tcPr>
          <w:p>
            <w:r/>
            <w:r>
              <w:rPr>
                <w:b/>
                <w:sz w:val="16"/>
              </w:rPr>
              <w:t>Data Manipulation</w:t>
            </w:r>
          </w:p>
        </w:tc>
        <w:tc>
          <w:tcPr>
            <w:tcW w:type="dxa" w:w="3384"/>
          </w:tcPr>
          <w:p>
            <w:r/>
            <w:r>
              <w:rPr>
                <w:sz w:val="16"/>
              </w:rPr>
              <w:t>Modify localStorage draft → alter risk score → bypass compliance</w:t>
            </w:r>
          </w:p>
        </w:tc>
        <w:tc>
          <w:tcPr>
            <w:tcW w:type="dxa" w:w="3384"/>
          </w:tcPr>
          <w:p>
            <w:r/>
            <w:r>
              <w:rPr>
                <w:b/>
                <w:color w:val="DC2626"/>
                <w:sz w:val="16"/>
              </w:rPr>
              <w:t>POSSIBLE</w:t>
            </w:r>
          </w:p>
        </w:tc>
        <w:tc>
          <w:tcPr>
            <w:tcW w:type="dxa" w:w="3384"/>
          </w:tcPr>
          <w:p>
            <w:r/>
            <w:r>
              <w:rPr>
                <w:sz w:val="16"/>
              </w:rPr>
              <w:t>Remove localStorage backup</w:t>
            </w:r>
          </w:p>
        </w:tc>
      </w:tr>
      <w:tr>
        <w:tc>
          <w:tcPr>
            <w:tcW w:type="dxa" w:w="3384"/>
          </w:tcPr>
          <w:p>
            <w:r/>
            <w:r>
              <w:rPr>
                <w:b/>
                <w:sz w:val="16"/>
              </w:rPr>
              <w:t>Prompt Injection</w:t>
            </w:r>
          </w:p>
        </w:tc>
        <w:tc>
          <w:tcPr>
            <w:tcW w:type="dxa" w:w="3384"/>
          </w:tcPr>
          <w:p>
            <w:r/>
            <w:r>
              <w:rPr>
                <w:sz w:val="16"/>
              </w:rPr>
              <w:t>Register with injected instructions → bias AI memo → fraudulent approval</w:t>
            </w:r>
          </w:p>
        </w:tc>
        <w:tc>
          <w:tcPr>
            <w:tcW w:type="dxa" w:w="3384"/>
          </w:tcPr>
          <w:p>
            <w:r/>
            <w:r>
              <w:rPr>
                <w:b/>
                <w:color w:val="DC2626"/>
                <w:sz w:val="16"/>
              </w:rPr>
              <w:t>POSSIBLE</w:t>
            </w:r>
          </w:p>
        </w:tc>
        <w:tc>
          <w:tcPr>
            <w:tcW w:type="dxa" w:w="3384"/>
          </w:tcPr>
          <w:p>
            <w:r/>
            <w:r>
              <w:rPr>
                <w:sz w:val="16"/>
              </w:rPr>
              <w:t>Sanitize inputs before LLM prompts</w:t>
            </w:r>
          </w:p>
        </w:tc>
      </w:tr>
      <w:tr>
        <w:tc>
          <w:tcPr>
            <w:tcW w:type="dxa" w:w="3384"/>
          </w:tcPr>
          <w:p>
            <w:r/>
            <w:r>
              <w:rPr>
                <w:b/>
                <w:sz w:val="16"/>
              </w:rPr>
              <w:t>Cost Exhaustion</w:t>
            </w:r>
          </w:p>
        </w:tc>
        <w:tc>
          <w:tcPr>
            <w:tcW w:type="dxa" w:w="3384"/>
          </w:tcPr>
          <w:p>
            <w:r/>
            <w:r>
              <w:rPr>
                <w:sz w:val="16"/>
              </w:rPr>
              <w:t>Spam /api/screening/run → drain API budget → denial of service</w:t>
            </w:r>
          </w:p>
        </w:tc>
        <w:tc>
          <w:tcPr>
            <w:tcW w:type="dxa" w:w="3384"/>
          </w:tcPr>
          <w:p>
            <w:r/>
            <w:r>
              <w:rPr>
                <w:b/>
                <w:color w:val="DC2626"/>
                <w:sz w:val="16"/>
              </w:rPr>
              <w:t>POSSIBLE</w:t>
            </w:r>
          </w:p>
        </w:tc>
        <w:tc>
          <w:tcPr>
            <w:tcW w:type="dxa" w:w="3384"/>
          </w:tcPr>
          <w:p>
            <w:r/>
            <w:r>
              <w:rPr>
                <w:sz w:val="16"/>
              </w:rPr>
              <w:t>Per-user per-endpoint rate limits</w:t>
            </w:r>
          </w:p>
        </w:tc>
      </w:tr>
      <w:tr>
        <w:tc>
          <w:tcPr>
            <w:tcW w:type="dxa" w:w="3384"/>
          </w:tcPr>
          <w:p>
            <w:r/>
            <w:r>
              <w:rPr>
                <w:b/>
                <w:sz w:val="16"/>
              </w:rPr>
              <w:t>Config Disclosure</w:t>
            </w:r>
          </w:p>
        </w:tc>
        <w:tc>
          <w:tcPr>
            <w:tcW w:type="dxa" w:w="3384"/>
          </w:tcPr>
          <w:p>
            <w:r/>
            <w:r>
              <w:rPr>
                <w:sz w:val="16"/>
              </w:rPr>
              <w:t>GET /api/health → discover simulated integrations → exploit mock</w:t>
            </w:r>
          </w:p>
        </w:tc>
        <w:tc>
          <w:tcPr>
            <w:tcW w:type="dxa" w:w="3384"/>
          </w:tcPr>
          <w:p>
            <w:r/>
            <w:r>
              <w:rPr>
                <w:b/>
                <w:color w:val="DC2626"/>
                <w:sz w:val="16"/>
              </w:rPr>
              <w:t>POSSIBLE</w:t>
            </w:r>
          </w:p>
        </w:tc>
        <w:tc>
          <w:tcPr>
            <w:tcW w:type="dxa" w:w="3384"/>
          </w:tcPr>
          <w:p>
            <w:r/>
            <w:r>
              <w:rPr>
                <w:sz w:val="16"/>
              </w:rPr>
              <w:t>Restrict config to admin users</w:t>
            </w:r>
          </w:p>
        </w:tc>
      </w:tr>
    </w:tbl>
    <w:p>
      <w:r>
        <w:br w:type="page"/>
      </w:r>
    </w:p>
    <w:p>
      <w:pPr>
        <w:pStyle w:val="Heading1"/>
      </w:pPr>
      <w:r>
        <w:t>Remediation Priorities</w:t>
      </w:r>
    </w:p>
    <w:p>
      <w:pPr>
        <w:pStyle w:val="Heading2"/>
      </w:pPr>
      <w:r>
        <w:t>IMMEDIATE (Before Production)</w:t>
      </w:r>
    </w:p>
    <w:p>
      <w:pPr>
        <w:pStyle w:val="ListBullet"/>
      </w:pPr>
      <w:r>
        <w:t>1. AUDIT4-001: Replace innerHTML with textContent in AI chat (2 hours)</w:t>
      </w:r>
    </w:p>
    <w:p>
      <w:pPr>
        <w:pStyle w:val="ListBullet"/>
      </w:pPr>
      <w:r>
        <w:t>2. AUDIT4-002: Move JWT from localStorage to HttpOnly Secure cookies (6 hours)</w:t>
      </w:r>
    </w:p>
    <w:p>
      <w:pPr>
        <w:pStyle w:val="ListBullet"/>
      </w:pPr>
      <w:r>
        <w:t>3. AUDIT4-003: Remove unencrypted PII from localStorage (4 hours)</w:t>
      </w:r>
    </w:p>
    <w:p>
      <w:pPr>
        <w:pStyle w:val="ListBullet"/>
      </w:pPr>
      <w:r>
        <w:t>4. AUDIT4-009: Add prompt injection validation for Claude API inputs (4 hours)</w:t>
      </w:r>
    </w:p>
    <w:p>
      <w:pPr>
        <w:pStyle w:val="ListBullet"/>
      </w:pPr>
      <w:r>
        <w:t>5. AUDIT4-013: Restrict health endpoint configuration disclosure (1 hour)</w:t>
      </w:r>
    </w:p>
    <w:p>
      <w:pPr>
        <w:pStyle w:val="Heading2"/>
      </w:pPr>
      <w:r>
        <w:t>HIGH PRIORITY (Within 2 Weeks)</w:t>
      </w:r>
    </w:p>
    <w:p>
      <w:pPr>
        <w:pStyle w:val="ListBullet"/>
      </w:pPr>
      <w:r>
        <w:t>6. AUDIT4-006: Tighten CSP — remove unsafe-inline and unsafe-eval (3 hours)</w:t>
      </w:r>
    </w:p>
    <w:p>
      <w:pPr>
        <w:pStyle w:val="ListBullet"/>
      </w:pPr>
      <w:r>
        <w:t>7. AUDIT4-008: Add rate limiting to screening, Claude, and document endpoints (3 hours)</w:t>
      </w:r>
    </w:p>
    <w:p>
      <w:pPr>
        <w:pStyle w:val="ListBullet"/>
      </w:pPr>
      <w:r>
        <w:t>8. AUDIT4-005: Implement SameSite cookie configuration (combined with #2)</w:t>
      </w:r>
    </w:p>
    <w:p>
      <w:pPr>
        <w:pStyle w:val="ListBullet"/>
      </w:pPr>
      <w:r>
        <w:t>9. AUDIT4-007: Add explicit file upload path validation (2 hours)</w:t>
      </w:r>
    </w:p>
    <w:p>
      <w:pPr>
        <w:pStyle w:val="ListBullet"/>
      </w:pPr>
      <w:r>
        <w:t>10. AUDIT4-010: Sanitize PII from audit log detail fields (2 hours)</w:t>
      </w:r>
    </w:p>
    <w:p>
      <w:pPr>
        <w:pStyle w:val="Heading2"/>
      </w:pPr>
      <w:r>
        <w:t>MEDIUM PRIORITY (Within 30 Days)</w:t>
      </w:r>
    </w:p>
    <w:p>
      <w:pPr>
        <w:pStyle w:val="ListBullet"/>
      </w:pPr>
      <w:r>
        <w:t>11. AUDIT4-011: Add per-application cost caps for Claude API (2 hours)</w:t>
      </w:r>
    </w:p>
    <w:p>
      <w:pPr>
        <w:pStyle w:val="ListBullet"/>
      </w:pPr>
      <w:r>
        <w:t>12. AUDIT4-012: Implement graceful API fallback with manual review flag (3 hours)</w:t>
      </w:r>
    </w:p>
    <w:p>
      <w:pPr>
        <w:pStyle w:val="ListBullet"/>
      </w:pPr>
      <w:r>
        <w:t>13. AUDIT4-014: Tighten nginx upload limits and add connection timeouts (1 hour)</w:t>
      </w:r>
    </w:p>
    <w:p>
      <w:pPr>
        <w:pStyle w:val="ListBullet"/>
      </w:pPr>
      <w:r>
        <w:t>14. AUDIT4-016: Implement GDPR-compliant data retention and automated purge (4 hours)</w:t>
      </w:r>
    </w:p>
    <w:p>
      <w:pPr>
        <w:pStyle w:val="Heading1"/>
      </w:pPr>
      <w:r>
        <w:t>Previous Remediation Successes</w:t>
      </w:r>
    </w:p>
    <w:p>
      <w:pPr>
        <w:pStyle w:val="ListBullet"/>
      </w:pPr>
      <w:r>
        <w:t>PIIEncryptor no longer logs encryption key; fails startup if missing</w:t>
      </w:r>
    </w:p>
    <w:p>
      <w:pPr>
        <w:pStyle w:val="ListBullet"/>
      </w:pPr>
      <w:r>
        <w:t>Sumsub simulation mode blocked in production environment</w:t>
      </w:r>
    </w:p>
    <w:p>
      <w:pPr>
        <w:pStyle w:val="ListBullet"/>
      </w:pPr>
      <w:r>
        <w:t>HTTPS enforcement via BaseHandler.prepare() + nginx reverse proxy</w:t>
      </w:r>
    </w:p>
    <w:p>
      <w:pPr>
        <w:pStyle w:val="ListBullet"/>
      </w:pPr>
      <w:r>
        <w:t>security_hardening.py is now a mandatory import (not optional)</w:t>
      </w:r>
    </w:p>
    <w:p>
      <w:pPr>
        <w:pStyle w:val="ListBullet"/>
      </w:pPr>
      <w:r>
        <w:t>AI source tagging complete across all claude_client.py methods</w:t>
      </w:r>
    </w:p>
    <w:p>
      <w:pPr>
        <w:pStyle w:val="ListBullet"/>
      </w:pPr>
      <w:r>
        <w:t>PostgreSQL SSL mode changed to 'require'</w:t>
      </w:r>
    </w:p>
    <w:p>
      <w:pPr>
        <w:pStyle w:val="ListBullet"/>
      </w:pPr>
      <w:r>
        <w:t>S3 presigned URL expiry capped at 3600 seconds</w:t>
      </w:r>
    </w:p>
    <w:p>
      <w:pPr>
        <w:pStyle w:val="ListBullet"/>
      </w:pPr>
      <w:r>
        <w:t>Back office sign-in page with proper authentication flow</w:t>
      </w:r>
    </w:p>
    <w:p>
      <w:pPr>
        <w:pStyle w:val="ListBullet"/>
      </w:pPr>
      <w:r>
        <w:t>CSRF protection: Login-as dropdown removed from production</w:t>
      </w:r>
    </w:p>
    <w:p>
      <w:pPr>
        <w:pStyle w:val="ListBullet"/>
      </w:pPr>
      <w:r>
        <w:t>Authentication gate: data loads only after /auth/me completes</w:t>
      </w:r>
    </w:p>
    <w:p>
      <w:pPr>
        <w:pStyle w:val="ListBullet"/>
      </w:pPr>
      <w:r>
        <w:t>Dual approval enforcement for HIGH/VERY_HIGH risk applications</w:t>
      </w:r>
    </w:p>
    <w:p>
      <w:pPr>
        <w:pStyle w:val="ListBullet"/>
      </w:pPr>
      <w:r>
        <w:t>Screening mode validation prevents simulated approvals in production</w:t>
      </w:r>
    </w:p>
    <w:p>
      <w:pPr>
        <w:pStyle w:val="Heading1"/>
      </w:pPr>
      <w:r>
        <w:t>Estimated Remediation Effort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2"/>
        <w:gridCol w:w="4512"/>
        <w:gridCol w:w="4512"/>
      </w:tblGrid>
      <w:tr>
        <w:tc>
          <w:tcPr>
            <w:tcW w:type="dxa" w:w="4512"/>
            <w:shd w:val="clear" w:fill="2B2F8F"/>
          </w:tcPr>
          <w:p>
            <w:r/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4512"/>
            <w:shd w:val="clear" w:fill="2B2F8F"/>
          </w:tcPr>
          <w:p>
            <w:r/>
            <w:r>
              <w:rPr>
                <w:b/>
                <w:color w:val="FFFFFF"/>
                <w:sz w:val="20"/>
              </w:rPr>
              <w:t>Hours</w:t>
            </w:r>
          </w:p>
        </w:tc>
        <w:tc>
          <w:tcPr>
            <w:tcW w:type="dxa" w:w="4512"/>
            <w:shd w:val="clear" w:fill="2B2F8F"/>
          </w:tcPr>
          <w:p>
            <w:r/>
            <w:r>
              <w:rPr>
                <w:b/>
                <w:color w:val="FFFFFF"/>
                <w:sz w:val="20"/>
              </w:rPr>
              <w:t>Timeline</w:t>
            </w:r>
          </w:p>
        </w:tc>
      </w:tr>
      <w:tr>
        <w:tc>
          <w:tcPr>
            <w:tcW w:type="dxa" w:w="4512"/>
          </w:tcPr>
          <w:p>
            <w:r/>
            <w:r>
              <w:rPr>
                <w:b/>
                <w:color w:val="DC2626"/>
                <w:sz w:val="20"/>
              </w:rPr>
              <w:t>Critical (3 findings)</w:t>
            </w:r>
          </w:p>
        </w:tc>
        <w:tc>
          <w:tcPr>
            <w:tcW w:type="dxa" w:w="4512"/>
          </w:tcPr>
          <w:p>
            <w:r/>
            <w:r>
              <w:rPr>
                <w:b/>
                <w:sz w:val="20"/>
              </w:rPr>
              <w:t>17 hours</w:t>
            </w:r>
          </w:p>
        </w:tc>
        <w:tc>
          <w:tcPr>
            <w:tcW w:type="dxa" w:w="4512"/>
          </w:tcPr>
          <w:p>
            <w:r/>
            <w:r>
              <w:rPr>
                <w:sz w:val="20"/>
              </w:rPr>
              <w:t>Before production</w:t>
            </w:r>
          </w:p>
        </w:tc>
      </w:tr>
      <w:tr>
        <w:tc>
          <w:tcPr>
            <w:tcW w:type="dxa" w:w="4512"/>
          </w:tcPr>
          <w:p>
            <w:r/>
            <w:r>
              <w:rPr>
                <w:b/>
                <w:color w:val="D97706"/>
                <w:sz w:val="20"/>
              </w:rPr>
              <w:t>High (5 findings)</w:t>
            </w:r>
          </w:p>
        </w:tc>
        <w:tc>
          <w:tcPr>
            <w:tcW w:type="dxa" w:w="4512"/>
          </w:tcPr>
          <w:p>
            <w:r/>
            <w:r>
              <w:rPr>
                <w:b/>
                <w:sz w:val="20"/>
              </w:rPr>
              <w:t>10 hours</w:t>
            </w:r>
          </w:p>
        </w:tc>
        <w:tc>
          <w:tcPr>
            <w:tcW w:type="dxa" w:w="4512"/>
          </w:tcPr>
          <w:p>
            <w:r/>
            <w:r>
              <w:rPr>
                <w:sz w:val="20"/>
              </w:rPr>
              <w:t>Within 2 weeks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b/>
                <w:color w:val="2563EB"/>
                <w:sz w:val="20"/>
              </w:rPr>
              <w:t>Medium (7 findings)</w:t>
            </w:r>
          </w:p>
        </w:tc>
        <w:tc>
          <w:tcPr>
            <w:tcW w:type="dxa" w:w="4512"/>
          </w:tcPr>
          <w:p>
            <w:r/>
            <w:r>
              <w:rPr>
                <w:b/>
                <w:sz w:val="20"/>
              </w:rPr>
              <w:t>10 hours</w:t>
            </w:r>
          </w:p>
        </w:tc>
        <w:tc>
          <w:tcPr>
            <w:tcW w:type="dxa" w:w="4512"/>
          </w:tcPr>
          <w:p>
            <w:r/>
            <w:r>
              <w:rPr>
                <w:sz w:val="20"/>
              </w:rPr>
              <w:t>Within 30 days</w:t>
            </w:r>
          </w:p>
        </w:tc>
      </w:tr>
      <w:tr>
        <w:tc>
          <w:tcPr>
            <w:tcW w:type="dxa" w:w="4512"/>
          </w:tcPr>
          <w:p>
            <w:r/>
            <w:r>
              <w:rPr>
                <w:b/>
                <w:color w:val="16A34A"/>
                <w:sz w:val="20"/>
              </w:rPr>
              <w:t>Low (3 findings)</w:t>
            </w:r>
          </w:p>
        </w:tc>
        <w:tc>
          <w:tcPr>
            <w:tcW w:type="dxa" w:w="4512"/>
          </w:tcPr>
          <w:p>
            <w:r/>
            <w:r>
              <w:rPr>
                <w:b/>
                <w:sz w:val="20"/>
              </w:rPr>
              <w:t>3 hours</w:t>
            </w:r>
          </w:p>
        </w:tc>
        <w:tc>
          <w:tcPr>
            <w:tcW w:type="dxa" w:w="4512"/>
          </w:tcPr>
          <w:p>
            <w:r/>
            <w:r>
              <w:rPr>
                <w:sz w:val="20"/>
              </w:rPr>
              <w:t>As resources allow</w:t>
            </w:r>
          </w:p>
        </w:tc>
      </w:tr>
      <w:tr>
        <w:tc>
          <w:tcPr>
            <w:tcW w:type="dxa" w:w="4512"/>
          </w:tcPr>
          <w:p>
            <w:r/>
            <w:r>
              <w:rPr>
                <w:b/>
                <w:color w:val="2B2F8F"/>
                <w:sz w:val="20"/>
              </w:rPr>
              <w:t>TOTAL</w:t>
            </w:r>
          </w:p>
        </w:tc>
        <w:tc>
          <w:tcPr>
            <w:tcW w:type="dxa" w:w="4512"/>
          </w:tcPr>
          <w:p>
            <w:r/>
            <w:r>
              <w:rPr>
                <w:b/>
                <w:sz w:val="20"/>
              </w:rPr>
              <w:t>40 hours</w:t>
            </w:r>
          </w:p>
        </w:tc>
        <w:tc>
          <w:tcPr>
            <w:tcW w:type="dxa" w:w="4512"/>
          </w:tcPr>
          <w:p>
            <w:r/>
            <w:r>
              <w:rPr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Final Verdict</w:t>
      </w:r>
    </w:p>
    <w:p>
      <w:pPr>
        <w:jc w:val="center"/>
      </w:pPr>
      <w:r>
        <w:rPr>
          <w:b/>
          <w:color w:val="D97706"/>
          <w:sz w:val="40"/>
        </w:rPr>
        <w:t>CONDITIONAL GO</w:t>
      </w:r>
    </w:p>
    <w:p>
      <w:r>
        <w:t>The ARIE Finance platform demonstrates strong foundational security architecture with proper authentication, authorization, encryption, and compliance workflow controls. However, 3 critical vulnerabilities (XSS, JWT localStorage, prompt injection) and 2 high-severity issues create exploitable attack paths that must be resolved before production deployment.</w:t>
      </w:r>
    </w:p>
    <w:p>
      <w:pPr>
        <w:pStyle w:val="Heading2"/>
      </w:pPr>
      <w:r>
        <w:t>Conditional GO Criteria</w:t>
      </w:r>
    </w:p>
    <w:p>
      <w:r>
        <w:t>Platform can achieve production status ONLY after: all Critical and High findings are remediated, code changes reviewed by second security engineer, remediated code tested with OWASP ZAP/Burp Suite, all Audit 3 fixes verified (regression test), GDPR DPIA completed, third-party penetration test confirms attack paths closed, and CISO/Risk Officer provides formal written authorization.</w:t>
      </w:r>
    </w:p>
    <w:p>
      <w:pPr>
        <w:jc w:val="center"/>
      </w:pPr>
      <w:r>
        <w:rPr>
          <w:color w:val="666666"/>
          <w:sz w:val="18"/>
        </w:rPr>
        <w:t>Report Generated: March 16, 2026  |  Auditor: Senior Fintech Security Auditor  |  Status: FINAL</w:t>
      </w:r>
    </w:p>
    <w:sectPr w:rsidR="00FC693F" w:rsidRPr="0006063C" w:rsidSect="00034616"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B2F8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B2F8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B2F8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