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8D" w:rsidRPr="00ED388D" w:rsidRDefault="00ED388D" w:rsidP="00ED38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val="es-MX"/>
        </w:rPr>
      </w:pPr>
      <w:r w:rsidRPr="00ED388D">
        <w:rPr>
          <w:rFonts w:ascii="Segoe UI" w:eastAsia="Times New Roman" w:hAnsi="Segoe UI" w:cs="Segoe UI"/>
          <w:color w:val="091E42"/>
          <w:sz w:val="21"/>
          <w:szCs w:val="21"/>
          <w:lang w:val="es-MX"/>
        </w:rPr>
        <w:t>Servicios que se pueden activar por cliente</w:t>
      </w:r>
    </w:p>
    <w:p w:rsidR="00ED388D" w:rsidRPr="00ED388D" w:rsidRDefault="00ED388D" w:rsidP="00ED388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val="es-MX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6361"/>
      </w:tblGrid>
      <w:tr w:rsidR="009F35FE" w:rsidRPr="00ED388D" w:rsidTr="00ED388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F35FE" w:rsidRPr="00ED388D" w:rsidRDefault="009F35FE" w:rsidP="00ED388D">
            <w:pPr>
              <w:spacing w:before="3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D38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F35FE" w:rsidRPr="00ED388D" w:rsidRDefault="009F35FE" w:rsidP="00ED388D">
            <w:pPr>
              <w:spacing w:before="3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D38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</w:t>
            </w:r>
            <w:proofErr w:type="spellEnd"/>
          </w:p>
        </w:tc>
      </w:tr>
      <w:tr w:rsidR="009F35FE" w:rsidRPr="00ED388D" w:rsidTr="00ED388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F35FE" w:rsidRPr="00ED388D" w:rsidRDefault="009F35FE" w:rsidP="00ED388D">
            <w:pPr>
              <w:spacing w:before="3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D38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F35FE" w:rsidRPr="00ED388D" w:rsidRDefault="009F35FE" w:rsidP="00ED388D">
            <w:pPr>
              <w:spacing w:before="3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ED38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</w:t>
            </w:r>
            <w:proofErr w:type="spellEnd"/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Future Assignation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Asignación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órdenes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futura</w:t>
            </w:r>
            <w:proofErr w:type="spellEnd"/>
          </w:p>
        </w:tc>
        <w:bookmarkStart w:id="0" w:name="_GoBack"/>
        <w:bookmarkEnd w:id="0"/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Future Cancellation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Cancelación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órdenes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futura</w:t>
            </w:r>
            <w:proofErr w:type="spellEnd"/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Push Notifications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Cuando el servicio se encuentra activo, se notifica al usuario sobre mensajes/órdenes vía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Push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Notification</w:t>
            </w:r>
            <w:proofErr w:type="spellEnd"/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El cliente autentica a sus usuarios</w:t>
            </w:r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Receive Errors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El cliente recibe errores de procesamiento de asignación, cancelación y actualización de órdenes por XML (Paquetes)</w:t>
            </w:r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Receive Responses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El cliente recibe respuestas de las órdenes </w:t>
            </w:r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Xslt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Indica si al enviar la respuesta a un cliente hay que aplicar una transformación del XML.</w:t>
            </w:r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WorkOrders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Indica si el cliente provee </w:t>
            </w:r>
            <w:proofErr w:type="gram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una servicio</w:t>
            </w:r>
            <w:proofErr w:type="gram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actualización de ordenes en línea (Órdenes actualizables, se usaba más antes del flexible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update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)</w:t>
            </w:r>
          </w:p>
          <w:p w:rsidR="009F35FE" w:rsidRPr="00ED388D" w:rsidRDefault="009F35FE" w:rsidP="00ED388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Nota: Si se va a actualizar por "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UpdateWorkOrdersXMLId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" o "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UpdateWorkOrdersXML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" este servicio no debe estar activado.</w:t>
            </w:r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Expects Asynchronous Responses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Indica si el cliente recibe la respuesta asíncrona, cuando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esta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habilitado es posible que se envíe 2 veces la respuesta al cliente. 1) cuando la nube recibe la respuesta. 2) cuando las imágenes están completas.</w:t>
            </w:r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Is Enable Send External State Changes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Indica si la información de cambio de estado debe ser enviada al cliente. Adicionalmente el widget de tipo "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State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" debe estar configurado para el envío de información al cliente.</w:t>
            </w:r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Record 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IntoDocumentDB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Indica si se debe almacenar toda la información de la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órden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enDocumentDB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( Diferente a los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evals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 resultado de visita )</w:t>
            </w:r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Send 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RouteOn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 Response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Indica si se debe enviar la ruta del usuario cada que se recibe una respuesta del dispositivo</w:t>
            </w:r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NotificationMessage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ToClient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Indica si se debe notificar al cliente sobre la recepción de mensajes a usuarios</w:t>
            </w:r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Is using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documentdb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save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eval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response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Indica si se deben analizar las respuestas de las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ordenes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para extraer los valores de los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eval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, actualizar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WorkorderResponse.WorkOrderResult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guardar los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evals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en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DocumentDB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. Para guardar los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evals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en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DocumentDb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deben estar previamente configurados los valores "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DocumentDbUrl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" y "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DocumentDbKey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" en la </w:t>
            </w:r>
            <w:hyperlink r:id="rId4" w:history="1">
              <w:r w:rsidRPr="00ED388D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val="es-MX"/>
                </w:rPr>
                <w:t xml:space="preserve">Configuración del </w:t>
              </w:r>
              <w:proofErr w:type="spellStart"/>
              <w:r w:rsidRPr="00ED388D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val="es-MX"/>
                </w:rPr>
                <w:t>StorageCenter</w:t>
              </w:r>
              <w:proofErr w:type="spellEnd"/>
            </w:hyperlink>
          </w:p>
          <w:p w:rsidR="009F35FE" w:rsidRPr="00ED388D" w:rsidRDefault="009F35FE" w:rsidP="00ED388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NOTA</w:t>
            </w: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: el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storagecenter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debe tener configurada la base de datos para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documentdb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, de lo contrario aunque se active el servicio no se estará guardando información, la creación del repositorio de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documentdb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se da de alta en el portal de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azure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 ahí mismo proporciona "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DocumentDbUrl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" y "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DocumentDbKey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" que se piden para este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setting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Auto Geocoding on 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Indica si se deben calcular las coordenadas de las ordenes al mostrarse en el mapa de asignación manual.</w:t>
            </w:r>
          </w:p>
          <w:p w:rsidR="009F35FE" w:rsidRPr="00ED388D" w:rsidRDefault="009F35FE" w:rsidP="00ED388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El servicio aplica para el mapa de supervisión y la vista de mapa de asignación manual a partir de la versión Web 4.5</w:t>
            </w:r>
          </w:p>
          <w:p w:rsidR="009F35FE" w:rsidRPr="00ED388D" w:rsidRDefault="009F35FE" w:rsidP="00ED388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s-MX"/>
              </w:rPr>
              <w:t>Seguramente implica un costo extra, platicarlo con </w:t>
            </w: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hyperlink r:id="rId5" w:tgtFrame="_blank" w:history="1">
              <w:r w:rsidRPr="00ED388D">
                <w:rPr>
                  <w:rFonts w:ascii="Times New Roman" w:eastAsia="Times New Roman" w:hAnsi="Times New Roman" w:cs="Times New Roman"/>
                  <w:b/>
                  <w:bCs/>
                  <w:color w:val="FF0000"/>
                  <w:sz w:val="24"/>
                  <w:szCs w:val="24"/>
                  <w:u w:val="single"/>
                  <w:bdr w:val="single" w:sz="6" w:space="0" w:color="CCCCCC" w:frame="1"/>
                  <w:shd w:val="clear" w:color="auto" w:fill="F5F5F5"/>
                  <w:lang w:val="es-MX"/>
                </w:rPr>
                <w:t>Héctor Obregón</w:t>
              </w:r>
            </w:hyperlink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9F35FE" w:rsidRPr="00ED388D" w:rsidRDefault="009F35FE" w:rsidP="00ED388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Limitaciones: </w:t>
            </w:r>
            <w:hyperlink r:id="rId6" w:history="1">
              <w:r w:rsidRPr="00ED388D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val="es-MX"/>
                </w:rPr>
                <w:t>https://developers.google.com/maps/documentation/geolocation/usage-limits</w:t>
              </w:r>
            </w:hyperlink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Is Evaluating Responses For CEP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Indica si se generan o no alertas de las órdenes (distancia/tiempo)</w:t>
            </w:r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Save Documents as 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Reemplaza el nombre de una imagen por el link de donde se puede descargar, cuando no se usa éste servicio las imágenes se envían en </w:t>
            </w:r>
            <w:hyperlink r:id="rId7" w:history="1">
              <w:r w:rsidRPr="00ED388D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val="es-MX"/>
                </w:rPr>
                <w:t>Base64</w:t>
              </w:r>
            </w:hyperlink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Flexible Update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WorkOrders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Se debe activar si se requiere usar el widget de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FlexibleUPdate</w:t>
            </w:r>
            <w:proofErr w:type="spellEnd"/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Is Rate App 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Servicio que se habilita para calificar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Formiik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desde la aplicación Android. La calificación se envía y se almacena en el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tablestorage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"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PromoterScoreAndroidTableStorage</w:t>
            </w:r>
            <w:proofErr w:type="spellEnd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". </w:t>
            </w:r>
            <w:hyperlink r:id="rId8" w:history="1">
              <w:proofErr w:type="spellStart"/>
              <w:r w:rsidRPr="00ED388D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</w:rPr>
                <w:t>Ver</w:t>
              </w:r>
              <w:proofErr w:type="spellEnd"/>
              <w:r w:rsidRPr="00ED388D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</w:rPr>
                <w:t xml:space="preserve"> NPS (NET PROMOTOR SCORE)</w:t>
              </w:r>
            </w:hyperlink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t>GeoCoding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Uso de servicios de geolocalización en la nube. Si el servicio se activa y las órdenes no tienen coordenadas éstas se calculan al momento de insertar la orden a la base de datos.</w:t>
            </w:r>
          </w:p>
          <w:p w:rsidR="009F35FE" w:rsidRPr="00ED388D" w:rsidRDefault="009F35FE" w:rsidP="00ED388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s-MX"/>
              </w:rPr>
              <w:lastRenderedPageBreak/>
              <w:t>Seguramente implica un costo extra, platicarlo con </w:t>
            </w: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hyperlink r:id="rId9" w:tgtFrame="_blank" w:history="1">
              <w:r w:rsidRPr="00ED388D">
                <w:rPr>
                  <w:rFonts w:ascii="Times New Roman" w:eastAsia="Times New Roman" w:hAnsi="Times New Roman" w:cs="Times New Roman"/>
                  <w:b/>
                  <w:bCs/>
                  <w:color w:val="FF0000"/>
                  <w:sz w:val="24"/>
                  <w:szCs w:val="24"/>
                  <w:u w:val="single"/>
                  <w:bdr w:val="single" w:sz="6" w:space="0" w:color="CCCCCC" w:frame="1"/>
                  <w:shd w:val="clear" w:color="auto" w:fill="F5F5F5"/>
                  <w:lang w:val="es-MX"/>
                </w:rPr>
                <w:t>Héctor Obregón</w:t>
              </w:r>
            </w:hyperlink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9F35FE" w:rsidRPr="00ED388D" w:rsidRDefault="009F35FE" w:rsidP="00ED388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Limitaciones: </w:t>
            </w:r>
            <w:hyperlink r:id="rId10" w:history="1">
              <w:r w:rsidRPr="00ED388D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val="es-MX"/>
                </w:rPr>
                <w:t>https://developers.google.com/maps/documentation/geolocation/usage-limits</w:t>
              </w:r>
            </w:hyperlink>
          </w:p>
        </w:tc>
      </w:tr>
      <w:tr w:rsidR="009F35FE" w:rsidRPr="00ED388D" w:rsidTr="00ED38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Authentication with group and 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35FE" w:rsidRPr="00ED388D" w:rsidRDefault="009F35FE" w:rsidP="00ED3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D388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 de la mano con la autenticación en el cliente (cuando NO es local), cuando se activa el servicio quiere decir que el cliente va a responder al método que regresa el grupo y producto al que pertenece el usuario.</w:t>
            </w:r>
          </w:p>
        </w:tc>
      </w:tr>
    </w:tbl>
    <w:p w:rsidR="00ED388D" w:rsidRPr="00ED388D" w:rsidRDefault="00ED388D" w:rsidP="00ED388D">
      <w:pPr>
        <w:rPr>
          <w:lang w:val="es-MX"/>
        </w:rPr>
      </w:pPr>
    </w:p>
    <w:sectPr w:rsidR="00ED388D" w:rsidRPr="00ED3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8D"/>
    <w:rsid w:val="001F5D4C"/>
    <w:rsid w:val="009F35FE"/>
    <w:rsid w:val="00ED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A77F"/>
  <w15:chartTrackingRefBased/>
  <w15:docId w15:val="{CDEE5BE9-0F52-44CA-BF25-EA8108C4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ED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D388D"/>
    <w:rPr>
      <w:b/>
      <w:bCs/>
    </w:rPr>
  </w:style>
  <w:style w:type="paragraph" w:customStyle="1" w:styleId="p2">
    <w:name w:val="p2"/>
    <w:basedOn w:val="Normal"/>
    <w:rsid w:val="00ED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D388D"/>
    <w:rPr>
      <w:color w:val="0000FF"/>
      <w:u w:val="single"/>
    </w:rPr>
  </w:style>
  <w:style w:type="character" w:customStyle="1" w:styleId="s1">
    <w:name w:val="s1"/>
    <w:basedOn w:val="Fuentedeprrafopredeter"/>
    <w:rsid w:val="00ED388D"/>
  </w:style>
  <w:style w:type="character" w:customStyle="1" w:styleId="s2">
    <w:name w:val="s2"/>
    <w:basedOn w:val="Fuentedeprrafopredeter"/>
    <w:rsid w:val="00ED3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2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8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iik.atlassian.net/wiki/spaces/FD/pages/93721004/Net+Promotor+Score+-+N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Base6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ps/documentation/geolocation/usage-limi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miik.atlassian.net/wiki/display/~hobregon" TargetMode="External"/><Relationship Id="rId10" Type="http://schemas.openxmlformats.org/officeDocument/2006/relationships/hyperlink" Target="https://developers.google.com/maps/documentation/geolocation/usage-limits" TargetMode="External"/><Relationship Id="rId4" Type="http://schemas.openxmlformats.org/officeDocument/2006/relationships/hyperlink" Target="https://formiik.atlassian.net/wiki/spaces/FD/pages/83165205" TargetMode="External"/><Relationship Id="rId9" Type="http://schemas.openxmlformats.org/officeDocument/2006/relationships/hyperlink" Target="https://formiik.atlassian.net/wiki/display/~hobreg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2018-08-23T17:51:00Z</dcterms:created>
  <dcterms:modified xsi:type="dcterms:W3CDTF">2018-08-23T18:02:00Z</dcterms:modified>
</cp:coreProperties>
</file>