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23" w:rsidRDefault="00A32023">
      <w:pPr>
        <w:widowControl w:val="0"/>
        <w:spacing w:before="720" w:line="240" w:lineRule="auto"/>
        <w:ind w:left="5760" w:firstLine="720"/>
        <w:jc w:val="center"/>
        <w:rPr>
          <w:rFonts w:ascii="Tahoma" w:eastAsia="Tahoma" w:hAnsi="Tahoma" w:cs="Tahoma"/>
          <w:sz w:val="20"/>
          <w:szCs w:val="20"/>
        </w:rPr>
      </w:pPr>
    </w:p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p w:rsidR="00A32023" w:rsidRDefault="00A32023">
      <w:pPr>
        <w:widowControl w:val="0"/>
        <w:spacing w:line="240" w:lineRule="auto"/>
        <w:rPr>
          <w:rFonts w:ascii="Trebuchet MS" w:eastAsia="Trebuchet MS" w:hAnsi="Trebuchet MS" w:cs="Trebuchet MS"/>
          <w:smallCaps/>
          <w:sz w:val="48"/>
          <w:szCs w:val="48"/>
        </w:rPr>
      </w:pPr>
    </w:p>
    <w:p w:rsidR="00A32023" w:rsidRDefault="00EC2B76">
      <w:pPr>
        <w:widowControl w:val="0"/>
        <w:spacing w:line="240" w:lineRule="auto"/>
        <w:jc w:val="left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72"/>
          <w:szCs w:val="72"/>
        </w:rPr>
        <w:t>Planos arquitectura general Formiik</w:t>
      </w:r>
    </w:p>
    <w:p w:rsidR="00A32023" w:rsidRDefault="00CD3E26">
      <w:pPr>
        <w:widowControl w:val="0"/>
        <w:spacing w:before="480" w:after="240" w:line="240" w:lineRule="auto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 xml:space="preserve">Versión 1.0 </w:t>
      </w:r>
    </w:p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tbl>
      <w:tblPr>
        <w:tblStyle w:val="a"/>
        <w:tblW w:w="8646" w:type="dxa"/>
        <w:tblInd w:w="58" w:type="dxa"/>
        <w:tblLayout w:type="fixed"/>
        <w:tblLook w:val="0000" w:firstRow="0" w:lastRow="0" w:firstColumn="0" w:lastColumn="0" w:noHBand="0" w:noVBand="0"/>
      </w:tblPr>
      <w:tblGrid>
        <w:gridCol w:w="2324"/>
        <w:gridCol w:w="6322"/>
      </w:tblGrid>
      <w:tr w:rsidR="00A32023">
        <w:trPr>
          <w:trHeight w:val="180"/>
        </w:trPr>
        <w:tc>
          <w:tcPr>
            <w:tcW w:w="2324" w:type="dxa"/>
            <w:tcBorders>
              <w:top w:val="single" w:sz="8" w:space="0" w:color="808080"/>
              <w:left w:val="single" w:sz="8" w:space="0" w:color="808080"/>
              <w:bottom w:val="single" w:sz="4" w:space="0" w:color="808080"/>
            </w:tcBorders>
          </w:tcPr>
          <w:p w:rsidR="00A32023" w:rsidRDefault="00CD3E26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Autores:</w:t>
            </w:r>
          </w:p>
        </w:tc>
        <w:tc>
          <w:tcPr>
            <w:tcW w:w="6322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</w:tcPr>
          <w:p w:rsidR="00A32023" w:rsidRDefault="00CD3E26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David Cruz</w:t>
            </w:r>
          </w:p>
        </w:tc>
      </w:tr>
      <w:tr w:rsidR="00A32023">
        <w:trPr>
          <w:trHeight w:val="180"/>
        </w:trPr>
        <w:tc>
          <w:tcPr>
            <w:tcW w:w="2324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</w:tcPr>
          <w:p w:rsidR="00A32023" w:rsidRDefault="00CD3E26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Fecha de creación:</w:t>
            </w:r>
          </w:p>
        </w:tc>
        <w:tc>
          <w:tcPr>
            <w:tcW w:w="6322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</w:tcPr>
          <w:p w:rsidR="00A32023" w:rsidRDefault="00EC2B76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09/02/2018</w:t>
            </w:r>
          </w:p>
        </w:tc>
      </w:tr>
      <w:tr w:rsidR="00A32023">
        <w:trPr>
          <w:trHeight w:val="180"/>
        </w:trPr>
        <w:tc>
          <w:tcPr>
            <w:tcW w:w="2324" w:type="dxa"/>
            <w:tcBorders>
              <w:top w:val="single" w:sz="4" w:space="0" w:color="808080"/>
              <w:left w:val="single" w:sz="8" w:space="0" w:color="808080"/>
              <w:bottom w:val="single" w:sz="8" w:space="0" w:color="808080"/>
            </w:tcBorders>
          </w:tcPr>
          <w:p w:rsidR="00A32023" w:rsidRDefault="00CD3E26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Fecha de última actualización:</w:t>
            </w:r>
          </w:p>
        </w:tc>
        <w:tc>
          <w:tcPr>
            <w:tcW w:w="6322" w:type="dxa"/>
            <w:tcBorders>
              <w:top w:val="single" w:sz="4" w:space="0" w:color="808080"/>
              <w:left w:val="single" w:sz="4" w:space="0" w:color="808080"/>
              <w:bottom w:val="single" w:sz="8" w:space="0" w:color="808080"/>
              <w:right w:val="single" w:sz="8" w:space="0" w:color="808080"/>
            </w:tcBorders>
          </w:tcPr>
          <w:p w:rsidR="00A32023" w:rsidRDefault="00A32023">
            <w:pPr>
              <w:keepLines/>
              <w:widowControl w:val="0"/>
              <w:spacing w:line="240" w:lineRule="auto"/>
              <w:jc w:val="lef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p w:rsidR="00A32023" w:rsidRDefault="00A32023">
      <w:pPr>
        <w:widowControl w:val="0"/>
        <w:spacing w:line="240" w:lineRule="auto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1042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500"/>
        <w:gridCol w:w="1840"/>
        <w:gridCol w:w="1340"/>
        <w:gridCol w:w="1820"/>
        <w:gridCol w:w="1380"/>
        <w:gridCol w:w="1540"/>
      </w:tblGrid>
      <w:tr w:rsidR="00A32023">
        <w:trPr>
          <w:trHeight w:val="22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A32023" w:rsidRDefault="00A3202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A32023" w:rsidRDefault="00A3202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me77xcaomqw" w:colFirst="0" w:colLast="0"/>
      <w:bookmarkEnd w:id="0"/>
    </w:p>
    <w:p w:rsidR="00A32023" w:rsidRDefault="00A3202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" w:name="_45bog1meq3ph" w:colFirst="0" w:colLast="0"/>
      <w:bookmarkEnd w:id="1"/>
    </w:p>
    <w:p w:rsidR="00A32023" w:rsidRDefault="00CD3E26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" w:name="_ya8thngqb0mn" w:colFirst="0" w:colLast="0"/>
      <w:bookmarkEnd w:id="2"/>
      <w:r>
        <w:br w:type="page"/>
      </w:r>
    </w:p>
    <w:p w:rsidR="00A32023" w:rsidRDefault="00CD3E26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3" w:name="_jrmzi7339i83" w:colFirst="0" w:colLast="0"/>
      <w:bookmarkEnd w:id="3"/>
      <w:r>
        <w:rPr>
          <w:b/>
          <w:sz w:val="46"/>
          <w:szCs w:val="46"/>
        </w:rPr>
        <w:lastRenderedPageBreak/>
        <w:t>Seguridad Móvil</w:t>
      </w:r>
    </w:p>
    <w:p w:rsidR="00A32023" w:rsidRDefault="00A32023"/>
    <w:p w:rsidR="00EC2B76" w:rsidRDefault="00EC2B76" w:rsidP="00EC2B76">
      <w:r w:rsidRPr="00EC2B76">
        <w:t>Formiik es una plataforma que se compone de diferentes piezas divididas por responsabilidades y que se organiza de la siguiente manera:</w:t>
      </w:r>
    </w:p>
    <w:p w:rsidR="00EC2B76" w:rsidRPr="00EC2B76" w:rsidRDefault="00EC2B76" w:rsidP="00EC2B76"/>
    <w:p w:rsidR="00EC2B76" w:rsidRDefault="00EC2B76" w:rsidP="00EC2B76">
      <w:r w:rsidRPr="00EC2B76">
        <w:t>En la parte de clientes UI, se puede acceder vía web en la página, o bien desde la aplicación Android, la cual es una aplicación nativa escrita en Java. Esta aplicación Android puede a su vez interactuar con otras aplicaciones Android (</w:t>
      </w:r>
      <w:proofErr w:type="spellStart"/>
      <w:r w:rsidRPr="00EC2B76">
        <w:t>apk's</w:t>
      </w:r>
      <w:proofErr w:type="spellEnd"/>
      <w:r w:rsidRPr="00EC2B76">
        <w:t xml:space="preserve"> externas) </w:t>
      </w:r>
      <w:proofErr w:type="gramStart"/>
      <w:r w:rsidRPr="00EC2B76">
        <w:t>que</w:t>
      </w:r>
      <w:proofErr w:type="gramEnd"/>
      <w:r w:rsidRPr="00EC2B76">
        <w:t xml:space="preserve"> al estar instaladas en el mismo dispositivo, pueden extender la funcionalidad de la aplicación Android.</w:t>
      </w:r>
    </w:p>
    <w:p w:rsidR="00EC2B76" w:rsidRPr="00EC2B76" w:rsidRDefault="00EC2B76" w:rsidP="00EC2B76"/>
    <w:p w:rsidR="00EC2B76" w:rsidRDefault="00EC2B76" w:rsidP="00EC2B76">
      <w:r w:rsidRPr="00EC2B76">
        <w:t xml:space="preserve">Los clientes UI también se comunican hacia servicios en el </w:t>
      </w:r>
      <w:proofErr w:type="spellStart"/>
      <w:r w:rsidRPr="00EC2B76">
        <w:t>backend</w:t>
      </w:r>
      <w:proofErr w:type="spellEnd"/>
      <w:r w:rsidRPr="00EC2B76">
        <w:t xml:space="preserve">. El </w:t>
      </w:r>
      <w:proofErr w:type="spellStart"/>
      <w:r w:rsidRPr="00EC2B76">
        <w:t>backend</w:t>
      </w:r>
      <w:proofErr w:type="spellEnd"/>
      <w:r w:rsidRPr="00EC2B76">
        <w:t xml:space="preserve"> es el cómputo en la nube de Windows Azure, que puede ser sobre todo de tres tipos: Web </w:t>
      </w:r>
      <w:proofErr w:type="spellStart"/>
      <w:r w:rsidRPr="00EC2B76">
        <w:t>Sites</w:t>
      </w:r>
      <w:proofErr w:type="spellEnd"/>
      <w:r w:rsidRPr="00EC2B76">
        <w:t xml:space="preserve">, Web Roles o </w:t>
      </w:r>
      <w:proofErr w:type="spellStart"/>
      <w:r w:rsidRPr="00EC2B76">
        <w:t>Worker</w:t>
      </w:r>
      <w:proofErr w:type="spellEnd"/>
      <w:r w:rsidRPr="00EC2B76">
        <w:t xml:space="preserve"> Roles. Los Web </w:t>
      </w:r>
      <w:proofErr w:type="spellStart"/>
      <w:r w:rsidRPr="00EC2B76">
        <w:t>Sites</w:t>
      </w:r>
      <w:proofErr w:type="spellEnd"/>
      <w:r w:rsidRPr="00EC2B76">
        <w:t xml:space="preserve"> nos permiten publicar sitios web como la página de </w:t>
      </w:r>
      <w:proofErr w:type="spellStart"/>
      <w:r w:rsidRPr="00EC2B76">
        <w:t>formiik</w:t>
      </w:r>
      <w:proofErr w:type="spellEnd"/>
      <w:r w:rsidRPr="00EC2B76">
        <w:t xml:space="preserve">, </w:t>
      </w:r>
      <w:proofErr w:type="gramStart"/>
      <w:r w:rsidRPr="00EC2B76">
        <w:t>los web</w:t>
      </w:r>
      <w:proofErr w:type="gramEnd"/>
      <w:r w:rsidRPr="00EC2B76">
        <w:t xml:space="preserve"> roles nos permiten desplegar servicios web que pueden consumir los clientes UI, o bien las invocaciones desde servicios centrales externos (</w:t>
      </w:r>
      <w:proofErr w:type="spellStart"/>
      <w:r w:rsidRPr="00EC2B76">
        <w:t>backend</w:t>
      </w:r>
      <w:proofErr w:type="spellEnd"/>
      <w:r w:rsidRPr="00EC2B76">
        <w:t xml:space="preserve"> de nuestros clientes, la caja roja en el diagrama). En el caso de invocación hacia los clientes se hace vía REST y cuando los clientes invocan servicios de Formiik se hacen vía SOAP. Estas conexiones se hacen a través de un SSL.</w:t>
      </w:r>
    </w:p>
    <w:p w:rsidR="00EC2B76" w:rsidRPr="00EC2B76" w:rsidRDefault="00EC2B76" w:rsidP="00EC2B76"/>
    <w:p w:rsidR="00EC2B76" w:rsidRDefault="00EC2B76" w:rsidP="00EC2B76">
      <w:r w:rsidRPr="00EC2B76">
        <w:t xml:space="preserve">Se puede ver en el diagrama que se utiliza </w:t>
      </w:r>
      <w:proofErr w:type="spellStart"/>
      <w:r w:rsidRPr="00EC2B76">
        <w:t>PowerBI</w:t>
      </w:r>
      <w:proofErr w:type="spellEnd"/>
      <w:r w:rsidRPr="00EC2B76">
        <w:t xml:space="preserve"> </w:t>
      </w:r>
      <w:proofErr w:type="spellStart"/>
      <w:r w:rsidRPr="00EC2B76">
        <w:t>embedded</w:t>
      </w:r>
      <w:proofErr w:type="spellEnd"/>
      <w:r w:rsidRPr="00EC2B76">
        <w:t>, que nos permite hacer reportes personalizables en el portal web.</w:t>
      </w:r>
    </w:p>
    <w:p w:rsidR="00EC2B76" w:rsidRPr="00EC2B76" w:rsidRDefault="00EC2B76" w:rsidP="00EC2B76"/>
    <w:p w:rsidR="00EC2B76" w:rsidRDefault="00EC2B76" w:rsidP="00EC2B76">
      <w:r w:rsidRPr="00EC2B76">
        <w:t xml:space="preserve">Formiik utiliza un procesamiento asíncrono para muchas tareas. Esto nos permite ser responsivos en todo momento, ya que no consumimos recursos de los </w:t>
      </w:r>
      <w:proofErr w:type="spellStart"/>
      <w:r w:rsidRPr="00EC2B76">
        <w:t>threads</w:t>
      </w:r>
      <w:proofErr w:type="spellEnd"/>
      <w:r w:rsidRPr="00EC2B76">
        <w:t xml:space="preserve"> de invocación para resolver tareas. Para lograr esto, es que se utilizan los </w:t>
      </w:r>
      <w:proofErr w:type="spellStart"/>
      <w:r w:rsidRPr="00EC2B76">
        <w:t>Worker</w:t>
      </w:r>
      <w:proofErr w:type="spellEnd"/>
      <w:r w:rsidRPr="00EC2B76">
        <w:t xml:space="preserve"> Roles. Cuando hay alguna tarea que necesita ser procesada, se encola, y los </w:t>
      </w:r>
      <w:proofErr w:type="spellStart"/>
      <w:r w:rsidRPr="00EC2B76">
        <w:t>Worker</w:t>
      </w:r>
      <w:proofErr w:type="spellEnd"/>
      <w:r w:rsidRPr="00EC2B76">
        <w:t xml:space="preserve"> Roles se encargan de leer estas colas de trabajo para atender a los procesamientos. Se tienen </w:t>
      </w:r>
      <w:proofErr w:type="spellStart"/>
      <w:r w:rsidRPr="00EC2B76">
        <w:t>worker</w:t>
      </w:r>
      <w:proofErr w:type="spellEnd"/>
      <w:r w:rsidRPr="00EC2B76">
        <w:t xml:space="preserve"> roles específicos por cada </w:t>
      </w:r>
      <w:proofErr w:type="spellStart"/>
      <w:r w:rsidRPr="00EC2B76">
        <w:t>queue</w:t>
      </w:r>
      <w:proofErr w:type="spellEnd"/>
      <w:r w:rsidRPr="00EC2B76">
        <w:t xml:space="preserve"> en el flujo de las órdenes de trabajo.</w:t>
      </w:r>
    </w:p>
    <w:p w:rsidR="00EC2B76" w:rsidRPr="00EC2B76" w:rsidRDefault="00EC2B76" w:rsidP="00EC2B76"/>
    <w:p w:rsidR="00EC2B76" w:rsidRPr="00EC2B76" w:rsidRDefault="00EC2B76" w:rsidP="00EC2B76">
      <w:r w:rsidRPr="00EC2B76">
        <w:t xml:space="preserve">Los repositorios que se utilizan en Formiik los llamamos Storage Centers. Estos son SQL Azure como base de datos estructurada, </w:t>
      </w:r>
      <w:proofErr w:type="spellStart"/>
      <w:r w:rsidRPr="00EC2B76">
        <w:t>Table</w:t>
      </w:r>
      <w:proofErr w:type="spellEnd"/>
      <w:r w:rsidRPr="00EC2B76">
        <w:t xml:space="preserve"> Storage para tablas no relacionadas, Blob Storage para archivos, </w:t>
      </w:r>
      <w:proofErr w:type="spellStart"/>
      <w:r w:rsidRPr="00EC2B76">
        <w:t>Queues</w:t>
      </w:r>
      <w:proofErr w:type="spellEnd"/>
      <w:r w:rsidRPr="00EC2B76">
        <w:t xml:space="preserve"> para las colas de trabajo que utilizan los </w:t>
      </w:r>
      <w:proofErr w:type="spellStart"/>
      <w:r w:rsidRPr="00EC2B76">
        <w:t>worker</w:t>
      </w:r>
      <w:proofErr w:type="spellEnd"/>
      <w:r w:rsidRPr="00EC2B76">
        <w:t xml:space="preserve"> roles, </w:t>
      </w:r>
      <w:proofErr w:type="spellStart"/>
      <w:r w:rsidRPr="00EC2B76">
        <w:t>Document</w:t>
      </w:r>
      <w:proofErr w:type="spellEnd"/>
      <w:r w:rsidRPr="00EC2B76">
        <w:t xml:space="preserve"> DB como base de datos de documentos, y </w:t>
      </w:r>
      <w:proofErr w:type="spellStart"/>
      <w:r w:rsidRPr="00EC2B76">
        <w:t>Firebase</w:t>
      </w:r>
      <w:proofErr w:type="spellEnd"/>
      <w:r w:rsidRPr="00EC2B76">
        <w:t xml:space="preserve"> como base de datos en tiempo real. Cada uno de nuestros clientes tiene sus datos en un </w:t>
      </w:r>
      <w:proofErr w:type="spellStart"/>
      <w:r w:rsidRPr="00EC2B76">
        <w:t>storage</w:t>
      </w:r>
      <w:proofErr w:type="spellEnd"/>
      <w:r w:rsidRPr="00EC2B76">
        <w:t xml:space="preserve"> center específico para así poder tener los datos separados y poder escalar sin límites. Existen además unos </w:t>
      </w:r>
      <w:proofErr w:type="spellStart"/>
      <w:r w:rsidRPr="00EC2B76">
        <w:t>Table</w:t>
      </w:r>
      <w:proofErr w:type="spellEnd"/>
      <w:r w:rsidRPr="00EC2B76">
        <w:t xml:space="preserve"> Storage seguros, a los cuales solo tiene acceso privilegiadas personas en Formiik, donde se mantienen las credenciales de acceso a los repositorios de toda la aplicación. Formiik accede a estas conexiones seguras a través de un gestor de conexiones con un acceso encriptado.</w:t>
      </w:r>
    </w:p>
    <w:p w:rsidR="00EC2B76" w:rsidRDefault="00EC2B76" w:rsidP="00EC2B76"/>
    <w:p w:rsidR="00EC2B76" w:rsidRPr="00EC2B76" w:rsidRDefault="00EC2B76" w:rsidP="00EC2B76">
      <w:r w:rsidRPr="00EC2B76">
        <w:t>Existe un mecanismo de extensibilidad en el que podemos personalizar la lógica de asignación de órdenes con las estrategias de asignación. Estas pueden cambiar y ser cambiadas en tiempo real, sin necesidad de publicar una versión.</w:t>
      </w:r>
    </w:p>
    <w:p w:rsidR="00EC2B76" w:rsidRPr="00EC2B76" w:rsidRDefault="00EC2B76" w:rsidP="00EC2B76">
      <w:r w:rsidRPr="00EC2B76">
        <w:lastRenderedPageBreak/>
        <w:t xml:space="preserve">Por otro lado, existen invocaciones de nuestro </w:t>
      </w:r>
      <w:proofErr w:type="spellStart"/>
      <w:r w:rsidRPr="00EC2B76">
        <w:t>backend</w:t>
      </w:r>
      <w:proofErr w:type="spellEnd"/>
      <w:r w:rsidRPr="00EC2B76">
        <w:t xml:space="preserve"> al </w:t>
      </w:r>
      <w:proofErr w:type="spellStart"/>
      <w:r w:rsidRPr="00EC2B76">
        <w:t>backend</w:t>
      </w:r>
      <w:proofErr w:type="spellEnd"/>
      <w:r w:rsidRPr="00EC2B76">
        <w:t xml:space="preserve"> de nuestros clientes. Esto se realiza por web </w:t>
      </w:r>
      <w:proofErr w:type="spellStart"/>
      <w:r w:rsidRPr="00EC2B76">
        <w:t>services</w:t>
      </w:r>
      <w:proofErr w:type="spellEnd"/>
      <w:r w:rsidRPr="00EC2B76">
        <w:t xml:space="preserve">. También es posible que hagamos validación de identidad por </w:t>
      </w:r>
      <w:proofErr w:type="spellStart"/>
      <w:r w:rsidRPr="00EC2B76">
        <w:t>OAuth</w:t>
      </w:r>
      <w:proofErr w:type="spellEnd"/>
      <w:r w:rsidRPr="00EC2B76">
        <w:t xml:space="preserve">, con lo que podemos delegar esta </w:t>
      </w:r>
      <w:r w:rsidRPr="00EC2B76">
        <w:t>tarea,</w:t>
      </w:r>
      <w:r w:rsidRPr="00EC2B76">
        <w:t xml:space="preserve"> así como el acceso a recursos de nuestros clientes.</w:t>
      </w:r>
    </w:p>
    <w:p w:rsidR="00EC2B76" w:rsidRPr="00EC2B76" w:rsidRDefault="00EC2B76" w:rsidP="00EC2B76">
      <w:r w:rsidRPr="00EC2B76">
        <w:t xml:space="preserve">En la parte derecha del diagrama se muestran las invocaciones que se pueden hacer a servicios externos, como son Google </w:t>
      </w:r>
      <w:proofErr w:type="spellStart"/>
      <w:r w:rsidRPr="00EC2B76">
        <w:t>Push</w:t>
      </w:r>
      <w:proofErr w:type="spellEnd"/>
      <w:r w:rsidRPr="00EC2B76">
        <w:t xml:space="preserve"> </w:t>
      </w:r>
      <w:proofErr w:type="spellStart"/>
      <w:r w:rsidRPr="00EC2B76">
        <w:t>Notifications</w:t>
      </w:r>
      <w:proofErr w:type="spellEnd"/>
      <w:r w:rsidRPr="00EC2B76">
        <w:t xml:space="preserve">, Google </w:t>
      </w:r>
      <w:proofErr w:type="spellStart"/>
      <w:r w:rsidRPr="00EC2B76">
        <w:t>Geocoding</w:t>
      </w:r>
      <w:proofErr w:type="spellEnd"/>
      <w:r w:rsidRPr="00EC2B76">
        <w:t xml:space="preserve">, </w:t>
      </w:r>
      <w:proofErr w:type="spellStart"/>
      <w:r w:rsidRPr="00EC2B76">
        <w:t>SendGrid</w:t>
      </w:r>
      <w:proofErr w:type="spellEnd"/>
      <w:r w:rsidRPr="00EC2B76">
        <w:t xml:space="preserve"> para envío de correos, </w:t>
      </w:r>
      <w:proofErr w:type="spellStart"/>
      <w:r w:rsidRPr="00EC2B76">
        <w:t>assignment</w:t>
      </w:r>
      <w:proofErr w:type="spellEnd"/>
      <w:r w:rsidRPr="00EC2B76">
        <w:t xml:space="preserve"> </w:t>
      </w:r>
      <w:proofErr w:type="spellStart"/>
      <w:r w:rsidRPr="00EC2B76">
        <w:t>strategies</w:t>
      </w:r>
      <w:proofErr w:type="spellEnd"/>
      <w:r w:rsidRPr="00EC2B76">
        <w:t xml:space="preserve"> para cuando las estrategias están en un lugar externo, y </w:t>
      </w:r>
      <w:proofErr w:type="spellStart"/>
      <w:r w:rsidRPr="00EC2B76">
        <w:t>Twilio</w:t>
      </w:r>
      <w:proofErr w:type="spellEnd"/>
      <w:r w:rsidRPr="00EC2B76">
        <w:t xml:space="preserve"> para envío de SMS.</w:t>
      </w:r>
    </w:p>
    <w:p w:rsidR="00EC2B76" w:rsidRDefault="00EC2B76" w:rsidP="00EC2B76">
      <w:r>
        <w:t xml:space="preserve"> </w:t>
      </w:r>
    </w:p>
    <w:p w:rsidR="00EC2B76" w:rsidRDefault="00EC2B76" w:rsidP="00EC2B76">
      <w:r>
        <w:t>A continuación, el diagrama general de arquitectura (Diagrama de interfaces UML):</w:t>
      </w:r>
    </w:p>
    <w:p w:rsidR="00EC2B76" w:rsidRDefault="00EC2B76">
      <w:r>
        <w:br w:type="page"/>
      </w:r>
    </w:p>
    <w:p w:rsidR="00EC2B76" w:rsidRDefault="00EC2B76" w:rsidP="00EC2B76">
      <w:pPr>
        <w:sectPr w:rsidR="00EC2B76">
          <w:headerReference w:type="default" r:id="rId6"/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:rsidR="00EC2B76" w:rsidRDefault="00EC2B76" w:rsidP="00EC2B76"/>
    <w:p w:rsidR="00EC2B76" w:rsidRDefault="00EC2B76" w:rsidP="00EC2B76">
      <w:bookmarkStart w:id="4" w:name="_GoBack"/>
      <w:r>
        <w:rPr>
          <w:noProof/>
          <w:lang w:val="es-CO"/>
        </w:rPr>
        <w:drawing>
          <wp:inline distT="0" distB="0" distL="0" distR="0">
            <wp:extent cx="8974039" cy="417443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UML Interfases Formii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219" cy="41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EC2B76" w:rsidSect="00EC2B76">
      <w:pgSz w:w="16834" w:h="11909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E26" w:rsidRDefault="00CD3E26">
      <w:pPr>
        <w:spacing w:line="240" w:lineRule="auto"/>
      </w:pPr>
      <w:r>
        <w:separator/>
      </w:r>
    </w:p>
  </w:endnote>
  <w:endnote w:type="continuationSeparator" w:id="0">
    <w:p w:rsidR="00CD3E26" w:rsidRDefault="00CD3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E26" w:rsidRDefault="00CD3E26">
      <w:pPr>
        <w:spacing w:line="240" w:lineRule="auto"/>
      </w:pPr>
      <w:r>
        <w:separator/>
      </w:r>
    </w:p>
  </w:footnote>
  <w:footnote w:type="continuationSeparator" w:id="0">
    <w:p w:rsidR="00CD3E26" w:rsidRDefault="00CD3E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023" w:rsidRDefault="00CD3E26">
    <w:pPr>
      <w:widowControl w:val="0"/>
      <w:spacing w:before="720" w:line="240" w:lineRule="auto"/>
      <w:ind w:left="5760" w:firstLine="720"/>
      <w:jc w:val="center"/>
    </w:pPr>
    <w:r>
      <w:rPr>
        <w:rFonts w:ascii="Tahoma" w:eastAsia="Tahoma" w:hAnsi="Tahoma" w:cs="Tahoma"/>
        <w:noProof/>
        <w:sz w:val="20"/>
        <w:szCs w:val="20"/>
        <w:lang w:val="es-CO"/>
      </w:rPr>
      <w:drawing>
        <wp:inline distT="0" distB="0" distL="0" distR="0">
          <wp:extent cx="937260" cy="937260"/>
          <wp:effectExtent l="0" t="0" r="0" b="0"/>
          <wp:docPr id="4" name="image4.jpg" descr="Mobiik Cub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Mobiik Cube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7260" cy="937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23"/>
    <w:rsid w:val="00691B3A"/>
    <w:rsid w:val="00A32023"/>
    <w:rsid w:val="00CD3E26"/>
    <w:rsid w:val="00EC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BA04"/>
  <w15:docId w15:val="{F45A15FC-2810-43C7-B4F6-FB543B52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58" w:type="dxa"/>
        <w:bottom w:w="14" w:type="dxa"/>
        <w:right w:w="5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C2B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</cp:revision>
  <dcterms:created xsi:type="dcterms:W3CDTF">2018-02-12T17:35:00Z</dcterms:created>
  <dcterms:modified xsi:type="dcterms:W3CDTF">2018-02-12T17:41:00Z</dcterms:modified>
</cp:coreProperties>
</file>