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B29" w:rsidRPr="00BD4F5C" w:rsidRDefault="00BD4F5C" w:rsidP="00690B29">
      <w:pPr>
        <w:spacing w:line="360" w:lineRule="auto"/>
        <w:rPr>
          <w:lang w:val="en-US"/>
        </w:rPr>
      </w:pPr>
      <w:r w:rsidRPr="00BD4F5C">
        <w:rPr>
          <w:lang w:val="en-US"/>
        </w:rPr>
        <w:t>Article submitted for consideration in the 2021 Annual meeting of the Population Association of America</w:t>
      </w:r>
      <w:r w:rsidR="00690B29" w:rsidRPr="00BD4F5C">
        <w:rPr>
          <w:lang w:val="en-US"/>
        </w:rPr>
        <w:t xml:space="preserve">. </w:t>
      </w:r>
    </w:p>
    <w:p w:rsidR="00CD0AB4" w:rsidRPr="00BD4F5C" w:rsidRDefault="00CD0AB4" w:rsidP="00690B29">
      <w:pPr>
        <w:spacing w:line="360" w:lineRule="auto"/>
        <w:rPr>
          <w:lang w:val="en-US"/>
        </w:rPr>
      </w:pPr>
    </w:p>
    <w:p w:rsidR="00690B29" w:rsidRPr="00AE4F15" w:rsidRDefault="00BD4F5C" w:rsidP="00690B29">
      <w:pPr>
        <w:spacing w:line="360" w:lineRule="auto"/>
        <w:rPr>
          <w:lang w:val="en-US"/>
        </w:rPr>
      </w:pPr>
      <w:r w:rsidRPr="00AE4F15">
        <w:rPr>
          <w:lang w:val="en-US"/>
        </w:rPr>
        <w:t xml:space="preserve">Author: </w:t>
      </w:r>
      <w:r w:rsidR="00690B29" w:rsidRPr="00AE4F15">
        <w:rPr>
          <w:lang w:val="en-US"/>
        </w:rPr>
        <w:t>Octavio</w:t>
      </w:r>
      <w:r w:rsidR="00C63AD0" w:rsidRPr="00AE4F15">
        <w:rPr>
          <w:lang w:val="en-US"/>
        </w:rPr>
        <w:t xml:space="preserve"> Nicolas </w:t>
      </w:r>
      <w:r w:rsidR="00690B29" w:rsidRPr="00AE4F15">
        <w:rPr>
          <w:lang w:val="en-US"/>
        </w:rPr>
        <w:t>Bramajo</w:t>
      </w:r>
    </w:p>
    <w:p w:rsidR="00690B29" w:rsidRPr="00AE4F15" w:rsidRDefault="00690B29" w:rsidP="00690B29">
      <w:pPr>
        <w:spacing w:line="360" w:lineRule="auto"/>
        <w:rPr>
          <w:u w:val="single"/>
          <w:lang w:val="en-US"/>
        </w:rPr>
      </w:pPr>
    </w:p>
    <w:p w:rsidR="003B61A0" w:rsidRPr="00BD4F5C" w:rsidRDefault="001059CC" w:rsidP="00BD4F5C">
      <w:pPr>
        <w:spacing w:line="360" w:lineRule="auto"/>
        <w:rPr>
          <w:b/>
          <w:u w:val="single"/>
          <w:lang w:val="en-US"/>
        </w:rPr>
      </w:pPr>
      <w:r>
        <w:rPr>
          <w:b/>
          <w:u w:val="single"/>
          <w:lang w:val="en-US"/>
        </w:rPr>
        <w:t>Spatial inequalities of</w:t>
      </w:r>
      <w:r w:rsidR="00690B29" w:rsidRPr="00BD4F5C">
        <w:rPr>
          <w:b/>
          <w:u w:val="single"/>
          <w:lang w:val="en-US"/>
        </w:rPr>
        <w:t xml:space="preserve"> </w:t>
      </w:r>
      <w:r w:rsidR="00CD0AB4" w:rsidRPr="00BD4F5C">
        <w:rPr>
          <w:b/>
          <w:u w:val="single"/>
          <w:lang w:val="en-US"/>
        </w:rPr>
        <w:t>late-life depression prevalence</w:t>
      </w:r>
      <w:r w:rsidR="003D5BD8" w:rsidRPr="00BD4F5C">
        <w:rPr>
          <w:b/>
          <w:u w:val="single"/>
          <w:lang w:val="en-US"/>
        </w:rPr>
        <w:t>:</w:t>
      </w:r>
      <w:r w:rsidR="00CD0AB4" w:rsidRPr="00BD4F5C">
        <w:rPr>
          <w:b/>
          <w:u w:val="single"/>
          <w:lang w:val="en-US"/>
        </w:rPr>
        <w:t xml:space="preserve"> analysis of </w:t>
      </w:r>
      <w:r w:rsidR="00F92FC5" w:rsidRPr="00BD4F5C">
        <w:rPr>
          <w:b/>
          <w:u w:val="single"/>
          <w:lang w:val="en-US"/>
        </w:rPr>
        <w:t>six</w:t>
      </w:r>
      <w:r>
        <w:rPr>
          <w:b/>
          <w:u w:val="single"/>
          <w:lang w:val="en-US"/>
        </w:rPr>
        <w:t xml:space="preserve"> European countries with a </w:t>
      </w:r>
      <w:proofErr w:type="gramStart"/>
      <w:r>
        <w:rPr>
          <w:b/>
          <w:u w:val="single"/>
          <w:lang w:val="en-US"/>
        </w:rPr>
        <w:t>cohort based</w:t>
      </w:r>
      <w:proofErr w:type="gramEnd"/>
      <w:r>
        <w:rPr>
          <w:b/>
          <w:u w:val="single"/>
          <w:lang w:val="en-US"/>
        </w:rPr>
        <w:t xml:space="preserve"> APC model</w:t>
      </w:r>
      <w:r w:rsidR="00690B29" w:rsidRPr="00BD4F5C">
        <w:rPr>
          <w:b/>
          <w:u w:val="single"/>
          <w:lang w:val="en-US"/>
        </w:rPr>
        <w:t xml:space="preserve">. </w:t>
      </w:r>
    </w:p>
    <w:p w:rsidR="00690B29" w:rsidRDefault="00690B29" w:rsidP="00BD4F5C">
      <w:pPr>
        <w:suppressAutoHyphens w:val="0"/>
        <w:spacing w:after="200" w:line="276" w:lineRule="auto"/>
        <w:ind w:left="2880" w:firstLine="720"/>
        <w:rPr>
          <w:b/>
          <w:lang w:val="en-US"/>
        </w:rPr>
      </w:pPr>
      <w:r w:rsidRPr="003B61A0">
        <w:rPr>
          <w:b/>
          <w:u w:val="single"/>
          <w:lang w:val="en-US"/>
        </w:rPr>
        <w:t>Abstract</w:t>
      </w:r>
      <w:r>
        <w:rPr>
          <w:b/>
          <w:lang w:val="en-US"/>
        </w:rPr>
        <w:t>:</w:t>
      </w:r>
    </w:p>
    <w:p w:rsidR="009B7B62" w:rsidRDefault="00E91F85" w:rsidP="00AC39B7">
      <w:pPr>
        <w:suppressAutoHyphens w:val="0"/>
        <w:spacing w:after="200" w:line="276" w:lineRule="auto"/>
        <w:jc w:val="both"/>
        <w:rPr>
          <w:lang w:val="en-US"/>
        </w:rPr>
      </w:pPr>
      <w:r>
        <w:rPr>
          <w:lang w:val="en-US"/>
        </w:rPr>
        <w:t>Late</w:t>
      </w:r>
      <w:r w:rsidR="00321B16" w:rsidRPr="00AC39B7">
        <w:rPr>
          <w:lang w:val="en-US"/>
        </w:rPr>
        <w:t xml:space="preserve">-life depression is </w:t>
      </w:r>
      <w:r>
        <w:rPr>
          <w:lang w:val="en-US"/>
        </w:rPr>
        <w:t xml:space="preserve">increasing </w:t>
      </w:r>
      <w:r w:rsidR="00321B16" w:rsidRPr="00AC39B7">
        <w:rPr>
          <w:lang w:val="en-US"/>
        </w:rPr>
        <w:t>as a public health issue</w:t>
      </w:r>
      <w:r w:rsidR="001059CC">
        <w:rPr>
          <w:lang w:val="en-US"/>
        </w:rPr>
        <w:t xml:space="preserve">, but its prevalence varies </w:t>
      </w:r>
      <w:proofErr w:type="gramStart"/>
      <w:r w:rsidR="001059CC">
        <w:rPr>
          <w:lang w:val="en-US"/>
        </w:rPr>
        <w:t>across  countries</w:t>
      </w:r>
      <w:proofErr w:type="gramEnd"/>
      <w:r w:rsidR="001059CC">
        <w:rPr>
          <w:lang w:val="en-US"/>
        </w:rPr>
        <w:t xml:space="preserve"> for a variety of reasons</w:t>
      </w:r>
      <w:r w:rsidR="00AC39B7">
        <w:rPr>
          <w:lang w:val="en-US"/>
        </w:rPr>
        <w:t xml:space="preserve">. </w:t>
      </w:r>
      <w:r w:rsidR="00894EA8" w:rsidRPr="00AC39B7">
        <w:rPr>
          <w:lang w:val="en-US"/>
        </w:rPr>
        <w:t>T</w:t>
      </w:r>
      <w:r w:rsidR="00321B16" w:rsidRPr="00AC39B7">
        <w:rPr>
          <w:lang w:val="en-US"/>
        </w:rPr>
        <w:t xml:space="preserve">here are reasons to think that </w:t>
      </w:r>
      <w:r>
        <w:rPr>
          <w:lang w:val="en-US"/>
        </w:rPr>
        <w:t>such process</w:t>
      </w:r>
      <w:r w:rsidR="001059CC">
        <w:rPr>
          <w:lang w:val="en-US"/>
        </w:rPr>
        <w:t xml:space="preserve"> is not only related with aging process of individuals</w:t>
      </w:r>
      <w:r w:rsidR="00321B16" w:rsidRPr="00AC39B7">
        <w:rPr>
          <w:lang w:val="en-US"/>
        </w:rPr>
        <w:t>, but also driven by cohorts.</w:t>
      </w:r>
      <w:r>
        <w:rPr>
          <w:lang w:val="en-US"/>
        </w:rPr>
        <w:t xml:space="preserve"> Using </w:t>
      </w:r>
      <w:r w:rsidR="00690B29" w:rsidRPr="00AC39B7">
        <w:rPr>
          <w:lang w:val="en-US"/>
        </w:rPr>
        <w:t>the Survey of Health and Ageing</w:t>
      </w:r>
      <w:r w:rsidR="00E60739" w:rsidRPr="00AC39B7">
        <w:rPr>
          <w:lang w:val="en-US"/>
        </w:rPr>
        <w:t xml:space="preserve"> and Retirement</w:t>
      </w:r>
      <w:r w:rsidR="00690B29" w:rsidRPr="00AC39B7">
        <w:rPr>
          <w:lang w:val="en-US"/>
        </w:rPr>
        <w:t xml:space="preserve"> of Europe (SHARE)</w:t>
      </w:r>
      <w:r w:rsidR="00E60739" w:rsidRPr="00AC39B7">
        <w:rPr>
          <w:lang w:val="en-US"/>
        </w:rPr>
        <w:t>, we described Age, Period and C</w:t>
      </w:r>
      <w:r w:rsidR="00690B29" w:rsidRPr="00AC39B7">
        <w:rPr>
          <w:lang w:val="en-US"/>
        </w:rPr>
        <w:t>ohort</w:t>
      </w:r>
      <w:r w:rsidR="00E60739" w:rsidRPr="00AC39B7">
        <w:rPr>
          <w:lang w:val="en-US"/>
        </w:rPr>
        <w:t xml:space="preserve"> (APC)</w:t>
      </w:r>
      <w:r>
        <w:rPr>
          <w:lang w:val="en-US"/>
        </w:rPr>
        <w:t xml:space="preserve"> trajectories of</w:t>
      </w:r>
      <w:r w:rsidR="00C873E3" w:rsidRPr="00AC39B7">
        <w:rPr>
          <w:lang w:val="en-US"/>
        </w:rPr>
        <w:t xml:space="preserve"> depression prevalence </w:t>
      </w:r>
      <w:r w:rsidR="009B7B62">
        <w:rPr>
          <w:lang w:val="en-US"/>
        </w:rPr>
        <w:t>i</w:t>
      </w:r>
      <w:r>
        <w:rPr>
          <w:lang w:val="en-US"/>
        </w:rPr>
        <w:t>n</w:t>
      </w:r>
      <w:r w:rsidR="009B7B62">
        <w:rPr>
          <w:lang w:val="en-US"/>
        </w:rPr>
        <w:t xml:space="preserve"> adults aged 50 and above, </w:t>
      </w:r>
      <w:r w:rsidR="00C873E3" w:rsidRPr="00AC39B7">
        <w:rPr>
          <w:lang w:val="en-US"/>
        </w:rPr>
        <w:t xml:space="preserve">using the EURO-D psychiatric scale. </w:t>
      </w:r>
      <w:r w:rsidR="009B7B62">
        <w:rPr>
          <w:lang w:val="en-US"/>
        </w:rPr>
        <w:t>We compared</w:t>
      </w:r>
      <w:r w:rsidR="00C873E3" w:rsidRPr="00AC39B7">
        <w:rPr>
          <w:lang w:val="en-US"/>
        </w:rPr>
        <w:t xml:space="preserve"> </w:t>
      </w:r>
      <w:r w:rsidR="000D01B9">
        <w:rPr>
          <w:lang w:val="en-US"/>
        </w:rPr>
        <w:t>six</w:t>
      </w:r>
      <w:r w:rsidR="00690B29" w:rsidRPr="00AC39B7">
        <w:rPr>
          <w:lang w:val="en-US"/>
        </w:rPr>
        <w:t xml:space="preserve"> Europe</w:t>
      </w:r>
      <w:r w:rsidR="00E60739" w:rsidRPr="00AC39B7">
        <w:rPr>
          <w:lang w:val="en-US"/>
        </w:rPr>
        <w:t>an countries during the 2004-201</w:t>
      </w:r>
      <w:r w:rsidR="00265020">
        <w:rPr>
          <w:lang w:val="en-US"/>
        </w:rPr>
        <w:t>6</w:t>
      </w:r>
      <w:r w:rsidR="009B7B62">
        <w:rPr>
          <w:lang w:val="en-US"/>
        </w:rPr>
        <w:t xml:space="preserve"> period</w:t>
      </w:r>
      <w:r w:rsidR="00E60739" w:rsidRPr="00AC39B7">
        <w:rPr>
          <w:lang w:val="en-US"/>
        </w:rPr>
        <w:t>:</w:t>
      </w:r>
      <w:r w:rsidR="009B7B62">
        <w:rPr>
          <w:lang w:val="en-US"/>
        </w:rPr>
        <w:t xml:space="preserve"> Denmark,</w:t>
      </w:r>
      <w:r w:rsidR="00E60739" w:rsidRPr="00AC39B7">
        <w:rPr>
          <w:lang w:val="en-US"/>
        </w:rPr>
        <w:t xml:space="preserve"> </w:t>
      </w:r>
      <w:r w:rsidR="00690B29" w:rsidRPr="00AC39B7">
        <w:rPr>
          <w:lang w:val="en-US"/>
        </w:rPr>
        <w:t>S</w:t>
      </w:r>
      <w:r w:rsidR="00E60739" w:rsidRPr="00AC39B7">
        <w:rPr>
          <w:lang w:val="en-US"/>
        </w:rPr>
        <w:t xml:space="preserve">weden, </w:t>
      </w:r>
      <w:r w:rsidR="00F92FC5">
        <w:rPr>
          <w:lang w:val="en-US"/>
        </w:rPr>
        <w:t>Germany,</w:t>
      </w:r>
      <w:r w:rsidR="00E60739" w:rsidRPr="00AC39B7">
        <w:rPr>
          <w:lang w:val="en-US"/>
        </w:rPr>
        <w:t xml:space="preserve"> </w:t>
      </w:r>
      <w:r w:rsidR="009B7B62">
        <w:rPr>
          <w:lang w:val="en-US"/>
        </w:rPr>
        <w:t>Italy,</w:t>
      </w:r>
      <w:r w:rsidR="00F92FC5">
        <w:rPr>
          <w:lang w:val="en-US"/>
        </w:rPr>
        <w:t xml:space="preserve"> </w:t>
      </w:r>
      <w:r w:rsidR="00E60739" w:rsidRPr="00AC39B7">
        <w:rPr>
          <w:lang w:val="en-US"/>
        </w:rPr>
        <w:t>Spain and</w:t>
      </w:r>
      <w:r w:rsidR="009B7B62">
        <w:rPr>
          <w:lang w:val="en-US"/>
        </w:rPr>
        <w:t xml:space="preserve"> France</w:t>
      </w:r>
      <w:r w:rsidR="00E60739" w:rsidRPr="00AC39B7">
        <w:rPr>
          <w:lang w:val="en-US"/>
        </w:rPr>
        <w:t xml:space="preserve">. </w:t>
      </w:r>
    </w:p>
    <w:p w:rsidR="00894EA8" w:rsidRPr="00AC39B7" w:rsidRDefault="00E60739" w:rsidP="00D5068F">
      <w:pPr>
        <w:suppressAutoHyphens w:val="0"/>
        <w:spacing w:after="200" w:line="276" w:lineRule="auto"/>
        <w:jc w:val="both"/>
        <w:rPr>
          <w:lang w:val="en-US"/>
        </w:rPr>
      </w:pPr>
      <w:r w:rsidRPr="00AC39B7">
        <w:rPr>
          <w:lang w:val="en-US"/>
        </w:rPr>
        <w:t>By applying</w:t>
      </w:r>
      <w:r w:rsidR="00690B29" w:rsidRPr="00AC39B7">
        <w:rPr>
          <w:lang w:val="en-US"/>
        </w:rPr>
        <w:t xml:space="preserve"> </w:t>
      </w:r>
      <w:r w:rsidR="00D5068F">
        <w:rPr>
          <w:lang w:val="en-US"/>
        </w:rPr>
        <w:t xml:space="preserve">a </w:t>
      </w:r>
      <w:r w:rsidR="009B7B62">
        <w:rPr>
          <w:lang w:val="en-US"/>
        </w:rPr>
        <w:t xml:space="preserve">detrended </w:t>
      </w:r>
      <w:r w:rsidR="00690B29" w:rsidRPr="00AC39B7">
        <w:rPr>
          <w:lang w:val="en-US"/>
        </w:rPr>
        <w:t>APC</w:t>
      </w:r>
      <w:r w:rsidR="00D5068F">
        <w:rPr>
          <w:lang w:val="en-US"/>
        </w:rPr>
        <w:t xml:space="preserve"> statistical model with a cohort-major parameterization</w:t>
      </w:r>
      <w:r w:rsidR="00F92FC5">
        <w:rPr>
          <w:lang w:val="en-US"/>
        </w:rPr>
        <w:t xml:space="preserve"> </w:t>
      </w:r>
      <w:r w:rsidR="00D25909" w:rsidRPr="00AC39B7">
        <w:rPr>
          <w:lang w:val="en-US"/>
        </w:rPr>
        <w:t xml:space="preserve">to </w:t>
      </w:r>
      <w:r w:rsidR="003D5BD8">
        <w:rPr>
          <w:lang w:val="en-US"/>
        </w:rPr>
        <w:t>visualize</w:t>
      </w:r>
      <w:r w:rsidR="009B7B62">
        <w:rPr>
          <w:lang w:val="en-US"/>
        </w:rPr>
        <w:t xml:space="preserve"> linear and non-linear effects</w:t>
      </w:r>
      <w:r w:rsidRPr="00AC39B7">
        <w:rPr>
          <w:lang w:val="en-US"/>
        </w:rPr>
        <w:t xml:space="preserve">, </w:t>
      </w:r>
      <w:r w:rsidR="009B7B62">
        <w:rPr>
          <w:lang w:val="en-US"/>
        </w:rPr>
        <w:t>w</w:t>
      </w:r>
      <w:r w:rsidR="00894EA8" w:rsidRPr="00AC39B7">
        <w:rPr>
          <w:lang w:val="en-US"/>
        </w:rPr>
        <w:t xml:space="preserve">e found that most countries follow up a J-shaped curve when describing the </w:t>
      </w:r>
      <w:r w:rsidR="009B7B62">
        <w:rPr>
          <w:lang w:val="en-US"/>
        </w:rPr>
        <w:t xml:space="preserve">longitudinal </w:t>
      </w:r>
      <w:r w:rsidR="00894EA8" w:rsidRPr="00AC39B7">
        <w:rPr>
          <w:lang w:val="en-US"/>
        </w:rPr>
        <w:t>age tra</w:t>
      </w:r>
      <w:r w:rsidR="009B7B62">
        <w:rPr>
          <w:lang w:val="en-US"/>
        </w:rPr>
        <w:t>jectory of late-life depression</w:t>
      </w:r>
      <w:r w:rsidR="003563FF">
        <w:rPr>
          <w:lang w:val="en-US"/>
        </w:rPr>
        <w:t xml:space="preserve">, along with </w:t>
      </w:r>
      <w:r w:rsidR="00B86D54">
        <w:rPr>
          <w:lang w:val="en-US"/>
        </w:rPr>
        <w:t xml:space="preserve">strong </w:t>
      </w:r>
      <w:r w:rsidR="00D5068F">
        <w:rPr>
          <w:lang w:val="en-US"/>
        </w:rPr>
        <w:t>cohort trends in Spain and Germany</w:t>
      </w:r>
      <w:r w:rsidR="009B7B62" w:rsidRPr="00AC39B7">
        <w:rPr>
          <w:lang w:val="en-US"/>
        </w:rPr>
        <w:t>.</w:t>
      </w:r>
      <w:r w:rsidR="009B7B62">
        <w:rPr>
          <w:lang w:val="en-US"/>
        </w:rPr>
        <w:t xml:space="preserve"> </w:t>
      </w:r>
      <w:r w:rsidRPr="00AC39B7">
        <w:rPr>
          <w:lang w:val="en-US"/>
        </w:rPr>
        <w:t>Whil</w:t>
      </w:r>
      <w:r w:rsidR="00894EA8" w:rsidRPr="00AC39B7">
        <w:rPr>
          <w:lang w:val="en-US"/>
        </w:rPr>
        <w:t>e we could not</w:t>
      </w:r>
      <w:r w:rsidRPr="00AC39B7">
        <w:rPr>
          <w:lang w:val="en-US"/>
        </w:rPr>
        <w:t xml:space="preserve"> find an</w:t>
      </w:r>
      <w:r w:rsidR="00894EA8" w:rsidRPr="00AC39B7">
        <w:rPr>
          <w:lang w:val="en-US"/>
        </w:rPr>
        <w:t xml:space="preserve"> increase of</w:t>
      </w:r>
      <w:r w:rsidRPr="00AC39B7">
        <w:rPr>
          <w:lang w:val="en-US"/>
        </w:rPr>
        <w:t xml:space="preserve"> </w:t>
      </w:r>
      <w:r w:rsidR="00C873E3" w:rsidRPr="00AC39B7">
        <w:rPr>
          <w:lang w:val="en-US"/>
        </w:rPr>
        <w:t xml:space="preserve">overall </w:t>
      </w:r>
      <w:r w:rsidR="00894EA8" w:rsidRPr="00AC39B7">
        <w:rPr>
          <w:lang w:val="en-US"/>
        </w:rPr>
        <w:t>prevalence</w:t>
      </w:r>
      <w:r w:rsidR="00E91F85">
        <w:rPr>
          <w:lang w:val="en-US"/>
        </w:rPr>
        <w:t xml:space="preserve"> in </w:t>
      </w:r>
      <w:r w:rsidR="00AC39B7" w:rsidRPr="00AC39B7">
        <w:rPr>
          <w:lang w:val="en-US"/>
        </w:rPr>
        <w:t xml:space="preserve">the analyzed </w:t>
      </w:r>
      <w:r w:rsidR="00E91F85">
        <w:rPr>
          <w:lang w:val="en-US"/>
        </w:rPr>
        <w:t>period</w:t>
      </w:r>
      <w:r w:rsidR="001059CC">
        <w:rPr>
          <w:lang w:val="en-US"/>
        </w:rPr>
        <w:t xml:space="preserve"> for all countries</w:t>
      </w:r>
      <w:r w:rsidRPr="00AC39B7">
        <w:rPr>
          <w:lang w:val="en-US"/>
        </w:rPr>
        <w:t>, it still remains</w:t>
      </w:r>
      <w:r w:rsidR="00C873E3" w:rsidRPr="00AC39B7">
        <w:rPr>
          <w:lang w:val="en-US"/>
        </w:rPr>
        <w:t xml:space="preserve"> a </w:t>
      </w:r>
      <w:r w:rsidR="00894EA8" w:rsidRPr="00AC39B7">
        <w:rPr>
          <w:lang w:val="en-US"/>
        </w:rPr>
        <w:t xml:space="preserve">public health concern </w:t>
      </w:r>
      <w:r w:rsidRPr="00AC39B7">
        <w:rPr>
          <w:lang w:val="en-US"/>
        </w:rPr>
        <w:t xml:space="preserve">due to </w:t>
      </w:r>
      <w:r w:rsidR="00B86D54">
        <w:rPr>
          <w:lang w:val="en-US"/>
        </w:rPr>
        <w:t xml:space="preserve">continuous </w:t>
      </w:r>
      <w:r w:rsidRPr="00AC39B7">
        <w:rPr>
          <w:lang w:val="en-US"/>
        </w:rPr>
        <w:t>population a</w:t>
      </w:r>
      <w:r w:rsidR="00894EA8" w:rsidRPr="00AC39B7">
        <w:rPr>
          <w:lang w:val="en-US"/>
        </w:rPr>
        <w:t>g</w:t>
      </w:r>
      <w:r w:rsidRPr="00AC39B7">
        <w:rPr>
          <w:lang w:val="en-US"/>
        </w:rPr>
        <w:t>ing.</w:t>
      </w:r>
      <w:r w:rsidR="00C873E3" w:rsidRPr="00AC39B7">
        <w:rPr>
          <w:lang w:val="en-US"/>
        </w:rPr>
        <w:t xml:space="preserve"> </w:t>
      </w:r>
    </w:p>
    <w:p w:rsidR="003B61A0" w:rsidRDefault="003B61A0" w:rsidP="003B61A0">
      <w:pPr>
        <w:suppressAutoHyphens w:val="0"/>
        <w:spacing w:after="200" w:line="276" w:lineRule="auto"/>
        <w:rPr>
          <w:b/>
          <w:lang w:val="en-US"/>
        </w:rPr>
      </w:pPr>
    </w:p>
    <w:p w:rsidR="006517DB" w:rsidRDefault="003B61A0">
      <w:pPr>
        <w:suppressAutoHyphens w:val="0"/>
        <w:spacing w:after="200" w:line="276" w:lineRule="auto"/>
        <w:rPr>
          <w:b/>
          <w:lang w:val="en-US"/>
        </w:rPr>
      </w:pPr>
      <w:r>
        <w:rPr>
          <w:b/>
          <w:lang w:val="en-US"/>
        </w:rPr>
        <w:t xml:space="preserve">Keywords: </w:t>
      </w:r>
      <w:r w:rsidRPr="003B61A0">
        <w:rPr>
          <w:lang w:val="en-US"/>
        </w:rPr>
        <w:t>Depression, Aging, Cohort Studies, Descriptive Epidemiology,</w:t>
      </w:r>
      <w:r>
        <w:rPr>
          <w:lang w:val="en-US"/>
        </w:rPr>
        <w:t xml:space="preserve"> Social Epidemiology.</w:t>
      </w:r>
      <w:r>
        <w:rPr>
          <w:b/>
          <w:lang w:val="en-US"/>
        </w:rPr>
        <w:t xml:space="preserve"> </w:t>
      </w:r>
      <w:r w:rsidR="006517DB">
        <w:rPr>
          <w:b/>
          <w:lang w:val="en-US"/>
        </w:rPr>
        <w:br w:type="page"/>
      </w:r>
    </w:p>
    <w:p w:rsidR="00690B29" w:rsidRDefault="00690B29" w:rsidP="00690B29">
      <w:pPr>
        <w:spacing w:line="360" w:lineRule="auto"/>
        <w:rPr>
          <w:u w:val="single"/>
          <w:lang w:val="en-US"/>
        </w:rPr>
      </w:pPr>
      <w:r>
        <w:rPr>
          <w:u w:val="single"/>
          <w:lang w:val="en-US"/>
        </w:rPr>
        <w:lastRenderedPageBreak/>
        <w:t>Motivation:</w:t>
      </w:r>
    </w:p>
    <w:p w:rsidR="00690B29" w:rsidRPr="008A76FA" w:rsidRDefault="00690B29" w:rsidP="00690B29">
      <w:pPr>
        <w:spacing w:line="360" w:lineRule="auto"/>
        <w:rPr>
          <w:u w:val="single"/>
          <w:lang w:val="en-US"/>
        </w:rPr>
      </w:pPr>
    </w:p>
    <w:p w:rsidR="00690B29" w:rsidRDefault="00690B29" w:rsidP="00690B29">
      <w:pPr>
        <w:spacing w:line="360" w:lineRule="auto"/>
        <w:ind w:firstLine="708"/>
        <w:jc w:val="both"/>
        <w:rPr>
          <w:lang w:val="en-US"/>
        </w:rPr>
      </w:pPr>
      <w:r w:rsidRPr="00101380">
        <w:rPr>
          <w:lang w:val="en-US"/>
        </w:rPr>
        <w:t>Depression is</w:t>
      </w:r>
      <w:r>
        <w:rPr>
          <w:lang w:val="en-US"/>
        </w:rPr>
        <w:t xml:space="preserve"> currently the second leading cause of years lived with disability worldwide (Ferrari et al., 2013) and it is expected to become the</w:t>
      </w:r>
      <w:r w:rsidRPr="00101380">
        <w:rPr>
          <w:lang w:val="en-US"/>
        </w:rPr>
        <w:t xml:space="preserve"> primary cause of disability </w:t>
      </w:r>
      <w:r>
        <w:rPr>
          <w:lang w:val="en-US"/>
        </w:rPr>
        <w:t>around 2030</w:t>
      </w:r>
      <w:r w:rsidRPr="00101380">
        <w:rPr>
          <w:lang w:val="en-US"/>
        </w:rPr>
        <w:t xml:space="preserve">, according to the WHO projections </w:t>
      </w:r>
      <w:r w:rsidRPr="00A44396">
        <w:rPr>
          <w:lang w:val="en-US"/>
        </w:rPr>
        <w:t>(</w:t>
      </w:r>
      <w:r w:rsidRPr="00101380">
        <w:rPr>
          <w:lang w:val="en-US"/>
        </w:rPr>
        <w:t>2008)</w:t>
      </w:r>
      <w:r w:rsidRPr="00A44396">
        <w:rPr>
          <w:lang w:val="en-US"/>
        </w:rPr>
        <w:t xml:space="preserve">. </w:t>
      </w:r>
      <w:r>
        <w:rPr>
          <w:lang w:val="en-US"/>
        </w:rPr>
        <w:t>Thus</w:t>
      </w:r>
      <w:r w:rsidRPr="00A44396">
        <w:rPr>
          <w:lang w:val="en-US"/>
        </w:rPr>
        <w:t>,</w:t>
      </w:r>
      <w:r w:rsidRPr="00101380">
        <w:rPr>
          <w:lang w:val="en-US"/>
        </w:rPr>
        <w:t xml:space="preserve"> it is not surprising that depression</w:t>
      </w:r>
      <w:r w:rsidR="00571EEB">
        <w:rPr>
          <w:lang w:val="en-US"/>
        </w:rPr>
        <w:t>, a non-fatal disease,</w:t>
      </w:r>
      <w:r w:rsidRPr="00101380">
        <w:rPr>
          <w:lang w:val="en-US"/>
        </w:rPr>
        <w:t xml:space="preserve"> is gaining attention as a population health issue among researchers. </w:t>
      </w:r>
      <w:r w:rsidRPr="00CC6476">
        <w:rPr>
          <w:lang w:val="en-US"/>
        </w:rPr>
        <w:t xml:space="preserve">In particular, late-life depression is an important public health problem due to its association with multiple negative health outcomes, including mortality (Blazer, 2005; Fiske, </w:t>
      </w:r>
      <w:proofErr w:type="spellStart"/>
      <w:r w:rsidRPr="00CC6476">
        <w:rPr>
          <w:lang w:val="en-US"/>
        </w:rPr>
        <w:t>Weatherell</w:t>
      </w:r>
      <w:proofErr w:type="spellEnd"/>
      <w:r w:rsidRPr="00CC6476">
        <w:rPr>
          <w:lang w:val="en-US"/>
        </w:rPr>
        <w:t xml:space="preserve"> </w:t>
      </w:r>
      <w:r>
        <w:rPr>
          <w:lang w:val="en-US"/>
        </w:rPr>
        <w:t>and</w:t>
      </w:r>
      <w:r w:rsidRPr="00CC6476">
        <w:rPr>
          <w:lang w:val="en-US"/>
        </w:rPr>
        <w:t xml:space="preserve"> Gatz, 2009, </w:t>
      </w:r>
      <w:proofErr w:type="spellStart"/>
      <w:r w:rsidRPr="00CC6476">
        <w:rPr>
          <w:lang w:val="en-US"/>
        </w:rPr>
        <w:t>Horackova</w:t>
      </w:r>
      <w:proofErr w:type="spellEnd"/>
      <w:r w:rsidRPr="00CC6476">
        <w:rPr>
          <w:lang w:val="en-US"/>
        </w:rPr>
        <w:t xml:space="preserve"> et al., 2019</w:t>
      </w:r>
      <w:r>
        <w:rPr>
          <w:lang w:val="en-US"/>
        </w:rPr>
        <w:t>, Zhao et al., 2012</w:t>
      </w:r>
      <w:r w:rsidRPr="00CC6476">
        <w:rPr>
          <w:lang w:val="en-US"/>
        </w:rPr>
        <w:t>)</w:t>
      </w:r>
      <w:r>
        <w:rPr>
          <w:lang w:val="en-US"/>
        </w:rPr>
        <w:t xml:space="preserve"> and also overall poor quality of life in the affected individuals and their partners and relatives as well (Pascual-</w:t>
      </w:r>
      <w:proofErr w:type="spellStart"/>
      <w:r>
        <w:rPr>
          <w:lang w:val="en-US"/>
        </w:rPr>
        <w:t>Sáez</w:t>
      </w:r>
      <w:proofErr w:type="spellEnd"/>
      <w:r>
        <w:rPr>
          <w:lang w:val="en-US"/>
        </w:rPr>
        <w:t xml:space="preserve"> et al, 2019). Understanding and analyzing late life health outcomes is becoming critically important, especially in the context of population aging, which is arguably the most important single demographic phenomenon in 21</w:t>
      </w:r>
      <w:r w:rsidRPr="0024634E">
        <w:rPr>
          <w:vertAlign w:val="superscript"/>
          <w:lang w:val="en-US"/>
        </w:rPr>
        <w:t>st</w:t>
      </w:r>
      <w:r>
        <w:rPr>
          <w:lang w:val="en-US"/>
        </w:rPr>
        <w:t xml:space="preserve"> Century. Addressing population health in the later stages of life is critical for a better understanding of how social security, health care provisions, pension systems and other aspects of social policy work and perform given this information.</w:t>
      </w:r>
    </w:p>
    <w:p w:rsidR="00690B29" w:rsidRDefault="00690B29" w:rsidP="00690B29">
      <w:pPr>
        <w:spacing w:line="360" w:lineRule="auto"/>
        <w:ind w:firstLine="708"/>
        <w:jc w:val="both"/>
        <w:rPr>
          <w:lang w:val="en-US"/>
        </w:rPr>
      </w:pPr>
      <w:r w:rsidRPr="00A44396">
        <w:rPr>
          <w:lang w:val="en-US"/>
        </w:rPr>
        <w:t xml:space="preserve"> Depression in adults and old-age </w:t>
      </w:r>
      <w:r w:rsidRPr="002B28A2">
        <w:rPr>
          <w:lang w:val="en-US"/>
        </w:rPr>
        <w:t>adults</w:t>
      </w:r>
      <w:r w:rsidRPr="00A44396">
        <w:rPr>
          <w:lang w:val="en-US"/>
        </w:rPr>
        <w:t xml:space="preserve"> can manifest in a variety of feelings and mood disorders. Sometimes it is the continuation of a disease recurrent along the previous life-course, </w:t>
      </w:r>
      <w:r>
        <w:rPr>
          <w:lang w:val="en-US"/>
        </w:rPr>
        <w:t xml:space="preserve">but it can also be </w:t>
      </w:r>
      <w:r w:rsidRPr="00A44396">
        <w:rPr>
          <w:lang w:val="en-US"/>
        </w:rPr>
        <w:t xml:space="preserve">a new onset condition, or a side effect of another </w:t>
      </w:r>
      <w:r>
        <w:rPr>
          <w:lang w:val="en-US"/>
        </w:rPr>
        <w:t>illness</w:t>
      </w:r>
      <w:r w:rsidRPr="00101380">
        <w:rPr>
          <w:lang w:val="en-US"/>
        </w:rPr>
        <w:t xml:space="preserve"> and/or </w:t>
      </w:r>
      <w:r>
        <w:rPr>
          <w:lang w:val="en-US"/>
        </w:rPr>
        <w:t xml:space="preserve">medication </w:t>
      </w:r>
      <w:r w:rsidRPr="002B28A2">
        <w:rPr>
          <w:lang w:val="en-US"/>
        </w:rPr>
        <w:t>treatments (</w:t>
      </w:r>
      <w:r w:rsidRPr="00A44396">
        <w:rPr>
          <w:lang w:val="en-US"/>
        </w:rPr>
        <w:t xml:space="preserve">Aziz </w:t>
      </w:r>
      <w:r>
        <w:rPr>
          <w:lang w:val="en-US"/>
        </w:rPr>
        <w:t>and</w:t>
      </w:r>
      <w:r w:rsidRPr="00A44396">
        <w:rPr>
          <w:lang w:val="en-US"/>
        </w:rPr>
        <w:t xml:space="preserve"> Steffens, 2013).</w:t>
      </w:r>
      <w:r>
        <w:rPr>
          <w:lang w:val="en-US"/>
        </w:rPr>
        <w:t xml:space="preserve"> Furthermore, s</w:t>
      </w:r>
      <w:r>
        <w:rPr>
          <w:color w:val="auto"/>
          <w:lang w:val="en-US"/>
        </w:rPr>
        <w:t>ince it is harder to notice, it is</w:t>
      </w:r>
      <w:r w:rsidRPr="00264202">
        <w:rPr>
          <w:color w:val="auto"/>
          <w:lang w:val="en-US"/>
        </w:rPr>
        <w:t xml:space="preserve"> harder to measure</w:t>
      </w:r>
      <w:r>
        <w:rPr>
          <w:color w:val="auto"/>
          <w:lang w:val="en-US"/>
        </w:rPr>
        <w:t xml:space="preserve"> it</w:t>
      </w:r>
      <w:r w:rsidRPr="00264202">
        <w:rPr>
          <w:color w:val="auto"/>
          <w:lang w:val="en-US"/>
        </w:rPr>
        <w:t xml:space="preserve"> appropriately (Gennaro et al., 2019)</w:t>
      </w:r>
      <w:r>
        <w:rPr>
          <w:color w:val="auto"/>
          <w:lang w:val="en-US"/>
        </w:rPr>
        <w:t>.</w:t>
      </w:r>
      <w:r w:rsidRPr="00C5604E">
        <w:rPr>
          <w:lang w:val="en-US"/>
        </w:rPr>
        <w:t xml:space="preserve"> </w:t>
      </w:r>
    </w:p>
    <w:p w:rsidR="00690B29" w:rsidRDefault="00690B29" w:rsidP="00690B29">
      <w:pPr>
        <w:spacing w:line="360" w:lineRule="auto"/>
        <w:ind w:firstLine="708"/>
        <w:jc w:val="both"/>
        <w:rPr>
          <w:lang w:val="en-US"/>
        </w:rPr>
      </w:pPr>
      <w:r w:rsidRPr="00A44396">
        <w:rPr>
          <w:lang w:val="en-US"/>
        </w:rPr>
        <w:t xml:space="preserve"> </w:t>
      </w:r>
      <w:r>
        <w:rPr>
          <w:lang w:val="en-US"/>
        </w:rPr>
        <w:t xml:space="preserve">There may be several events in the life course that trigger depression, and such outcomes may be uniquely related to the particular experiences and expositions of individuals (Colman and </w:t>
      </w:r>
      <w:proofErr w:type="spellStart"/>
      <w:r>
        <w:rPr>
          <w:lang w:val="en-US"/>
        </w:rPr>
        <w:t>Ataullahjan</w:t>
      </w:r>
      <w:proofErr w:type="spellEnd"/>
      <w:r>
        <w:rPr>
          <w:lang w:val="en-US"/>
        </w:rPr>
        <w:t xml:space="preserve">, 2010). Sometimes a group of individuals that share together a common characteristic (being the year of birth the most common example) are exposed singularly to a series of events during their life course, and such exposures may or may not affect them in different ways. This is a fundamental assumption in the concept of cohort for social analysis (Ryder, 1965; Glenn, 2005). </w:t>
      </w:r>
      <w:r w:rsidR="00CC6F5F">
        <w:rPr>
          <w:lang w:val="en-US"/>
        </w:rPr>
        <w:tab/>
      </w:r>
    </w:p>
    <w:p w:rsidR="00690B29" w:rsidRDefault="00690B29" w:rsidP="00690B29">
      <w:pPr>
        <w:spacing w:line="360" w:lineRule="auto"/>
        <w:ind w:firstLine="708"/>
        <w:jc w:val="both"/>
        <w:rPr>
          <w:lang w:val="en-US"/>
        </w:rPr>
      </w:pPr>
      <w:r>
        <w:rPr>
          <w:lang w:val="en-US"/>
        </w:rPr>
        <w:t xml:space="preserve">There is evidence that depression prevalence </w:t>
      </w:r>
      <w:r w:rsidR="000D01B9">
        <w:rPr>
          <w:lang w:val="en-US"/>
        </w:rPr>
        <w:t>tends to increase</w:t>
      </w:r>
      <w:r>
        <w:rPr>
          <w:lang w:val="en-US"/>
        </w:rPr>
        <w:t xml:space="preserve"> in the oldest ages (Aziz and Steffens, 2013; Bell, 2014; Dewey and Prince, 2005), but less is known about how the age trajectory of depression has changed across cohorts and across time. Unfortunately, </w:t>
      </w:r>
      <w:r>
        <w:rPr>
          <w:lang w:val="en-US"/>
        </w:rPr>
        <w:lastRenderedPageBreak/>
        <w:t>mainly due to data limitations, most studies describing depression prevalence by age restrict themselves to a single period observation and do not perform any kind of follow up to the population they study (either from a cross-sectional or longitudinal perspective). In other words, aspects of late-life depression and aging across countries over have been less studied in Europe, particularly from a cohort point of view. It</w:t>
      </w:r>
      <w:r w:rsidRPr="00A44396">
        <w:rPr>
          <w:lang w:val="en-US"/>
        </w:rPr>
        <w:t xml:space="preserve"> is </w:t>
      </w:r>
      <w:r>
        <w:rPr>
          <w:lang w:val="en-US"/>
        </w:rPr>
        <w:t>unknown what happened with depression prevalence rates across different countries over the last years. It is also unclear if the events that occurred during the last years (being the economic crisis that begun in 2008 the most significant from a societal point of view) actually had an impact in such trends.  Periods of abrupt financial problems and other kinds of turmoil may spike negative health outcomes in mental health of the affected populations (</w:t>
      </w:r>
      <w:proofErr w:type="spellStart"/>
      <w:r>
        <w:rPr>
          <w:lang w:val="en-US"/>
        </w:rPr>
        <w:t>Frasquilho</w:t>
      </w:r>
      <w:proofErr w:type="spellEnd"/>
      <w:r>
        <w:rPr>
          <w:lang w:val="en-US"/>
        </w:rPr>
        <w:t xml:space="preserve"> et al., 2016; </w:t>
      </w:r>
      <w:proofErr w:type="spellStart"/>
      <w:r>
        <w:rPr>
          <w:lang w:val="en-US"/>
        </w:rPr>
        <w:t>Riumallo-Herl</w:t>
      </w:r>
      <w:proofErr w:type="spellEnd"/>
      <w:r>
        <w:rPr>
          <w:lang w:val="en-US"/>
        </w:rPr>
        <w:t xml:space="preserve"> et al., 2014; Thomson, </w:t>
      </w:r>
      <w:proofErr w:type="spellStart"/>
      <w:r>
        <w:rPr>
          <w:lang w:val="en-US"/>
        </w:rPr>
        <w:t>Niedzwiedz</w:t>
      </w:r>
      <w:proofErr w:type="spellEnd"/>
      <w:r>
        <w:rPr>
          <w:lang w:val="en-US"/>
        </w:rPr>
        <w:t xml:space="preserve"> and </w:t>
      </w:r>
      <w:proofErr w:type="spellStart"/>
      <w:r>
        <w:rPr>
          <w:lang w:val="en-US"/>
        </w:rPr>
        <w:t>Katikireddi</w:t>
      </w:r>
      <w:proofErr w:type="spellEnd"/>
      <w:r>
        <w:rPr>
          <w:lang w:val="en-US"/>
        </w:rPr>
        <w:t>, 2018). This is not a minor point, considering that inequalities in health are socially based (Marmot, 2005) and mental health is not the ex</w:t>
      </w:r>
      <w:r w:rsidR="0043024B">
        <w:rPr>
          <w:lang w:val="en-US"/>
        </w:rPr>
        <w:t>ception (Fryers et al., 2003). It has to be noted that n</w:t>
      </w:r>
      <w:r>
        <w:rPr>
          <w:lang w:val="en-US"/>
        </w:rPr>
        <w:t>ot all inequalities in mental health are a result of a specific event, but are strongly associated with other structural factors. Socio-economic status, living standards, social interactions, marriage status and other dynamic aspects influence mental health outcomes (Bell, 2014; Fryers et al., 2003). Furthermore, not all individuals of a given group are evenly likely to be affected by a particular event and mental health and late-life depression is an exemplary case of a phenomenon that affects more females than their male counterparts, with a clear gender gap across sexes (Blazer, 2005; Aziz and Steffens, 2013, Bell and Jones, 2015). Furthermore, late-life depression prevalence varies greatly across countries. In Europe, for instance, there is a clear gap in prevalence between the Scandinavian Countries, with low</w:t>
      </w:r>
      <w:r w:rsidR="003D5BD8">
        <w:rPr>
          <w:lang w:val="en-US"/>
        </w:rPr>
        <w:t>er</w:t>
      </w:r>
      <w:r>
        <w:rPr>
          <w:lang w:val="en-US"/>
        </w:rPr>
        <w:t xml:space="preserve"> prevalence rates, and the South/Mediterranean countries, which present significantly higher rates (Dewey and Prince, 2005,</w:t>
      </w:r>
      <w:r w:rsidRPr="006C4907">
        <w:rPr>
          <w:lang w:val="en-US"/>
        </w:rPr>
        <w:t xml:space="preserve"> </w:t>
      </w:r>
      <w:r>
        <w:rPr>
          <w:lang w:val="en-US"/>
        </w:rPr>
        <w:t xml:space="preserve">Van de Velde, </w:t>
      </w:r>
      <w:proofErr w:type="spellStart"/>
      <w:r>
        <w:rPr>
          <w:lang w:val="en-US"/>
        </w:rPr>
        <w:t>Bracke</w:t>
      </w:r>
      <w:proofErr w:type="spellEnd"/>
      <w:r>
        <w:rPr>
          <w:lang w:val="en-US"/>
        </w:rPr>
        <w:t xml:space="preserve"> and</w:t>
      </w:r>
      <w:r w:rsidRPr="00A44396">
        <w:rPr>
          <w:lang w:val="en-US"/>
        </w:rPr>
        <w:t xml:space="preserve"> </w:t>
      </w:r>
      <w:proofErr w:type="spellStart"/>
      <w:r w:rsidRPr="00A44396">
        <w:rPr>
          <w:lang w:val="en-US"/>
        </w:rPr>
        <w:t>Levecque</w:t>
      </w:r>
      <w:proofErr w:type="spellEnd"/>
      <w:r w:rsidRPr="00A44396">
        <w:rPr>
          <w:lang w:val="en-US"/>
        </w:rPr>
        <w:t>, 2010</w:t>
      </w:r>
      <w:r>
        <w:rPr>
          <w:lang w:val="en-US"/>
        </w:rPr>
        <w:t xml:space="preserve">, </w:t>
      </w:r>
      <w:proofErr w:type="spellStart"/>
      <w:r>
        <w:rPr>
          <w:lang w:val="en-US"/>
        </w:rPr>
        <w:t>Aichberger</w:t>
      </w:r>
      <w:proofErr w:type="spellEnd"/>
      <w:r>
        <w:rPr>
          <w:lang w:val="en-US"/>
        </w:rPr>
        <w:t xml:space="preserve"> et al., 2010, </w:t>
      </w:r>
      <w:proofErr w:type="spellStart"/>
      <w:r>
        <w:rPr>
          <w:lang w:val="en-US"/>
        </w:rPr>
        <w:t>Horackova</w:t>
      </w:r>
      <w:proofErr w:type="spellEnd"/>
      <w:r>
        <w:rPr>
          <w:lang w:val="en-US"/>
        </w:rPr>
        <w:t xml:space="preserve"> et al., 2019).</w:t>
      </w:r>
      <w:r w:rsidR="008659DB">
        <w:rPr>
          <w:lang w:val="en-US"/>
        </w:rPr>
        <w:t xml:space="preserve"> The reasons why there are spatial inequalities in </w:t>
      </w:r>
      <w:r w:rsidR="001059CC">
        <w:rPr>
          <w:lang w:val="en-US"/>
        </w:rPr>
        <w:t xml:space="preserve">depression </w:t>
      </w:r>
      <w:r w:rsidR="008659DB">
        <w:rPr>
          <w:lang w:val="en-US"/>
        </w:rPr>
        <w:t>prevalence are not clear,</w:t>
      </w:r>
      <w:r w:rsidR="001059CC">
        <w:rPr>
          <w:lang w:val="en-US"/>
        </w:rPr>
        <w:t xml:space="preserve"> at a national trend, but previous evidence may suggest that socioeconomic and cultural factors may reinforce the spatial dimension of inequalities in prevalence (</w:t>
      </w:r>
      <w:proofErr w:type="spellStart"/>
      <w:r w:rsidR="001059CC">
        <w:rPr>
          <w:lang w:val="en-US"/>
        </w:rPr>
        <w:t>Cuadros</w:t>
      </w:r>
      <w:proofErr w:type="spellEnd"/>
      <w:r w:rsidR="001059CC">
        <w:rPr>
          <w:lang w:val="en-US"/>
        </w:rPr>
        <w:t xml:space="preserve"> et al., 2019)</w:t>
      </w:r>
    </w:p>
    <w:p w:rsidR="00690B29" w:rsidRDefault="00DA3D95" w:rsidP="00690B29">
      <w:pPr>
        <w:spacing w:line="360" w:lineRule="auto"/>
        <w:ind w:firstLine="708"/>
        <w:jc w:val="both"/>
        <w:rPr>
          <w:lang w:val="en-US"/>
        </w:rPr>
      </w:pPr>
      <w:r>
        <w:rPr>
          <w:lang w:val="en-US"/>
        </w:rPr>
        <w:t>Analyzing trends over different periods in late-life depression and differentials across countries by age and sex (and which factors are behind those trends and differences) is critical to have a better understanding of this health condition</w:t>
      </w:r>
      <w:r w:rsidRPr="00101380">
        <w:rPr>
          <w:lang w:val="en-US"/>
        </w:rPr>
        <w:t>.</w:t>
      </w:r>
      <w:r>
        <w:rPr>
          <w:lang w:val="en-US"/>
        </w:rPr>
        <w:t xml:space="preserve"> </w:t>
      </w:r>
      <w:r w:rsidR="00690B29">
        <w:rPr>
          <w:lang w:val="en-US"/>
        </w:rPr>
        <w:t xml:space="preserve">Researchers, on occasion, decompose </w:t>
      </w:r>
      <w:r w:rsidR="00690B29">
        <w:rPr>
          <w:lang w:val="en-US"/>
        </w:rPr>
        <w:lastRenderedPageBreak/>
        <w:t>such trends over time into three types of effects: age</w:t>
      </w:r>
      <w:r w:rsidR="0043024B">
        <w:rPr>
          <w:lang w:val="en-US"/>
        </w:rPr>
        <w:t xml:space="preserve"> effects</w:t>
      </w:r>
      <w:r w:rsidR="00690B29">
        <w:rPr>
          <w:lang w:val="en-US"/>
        </w:rPr>
        <w:t>, period</w:t>
      </w:r>
      <w:r w:rsidR="0043024B">
        <w:rPr>
          <w:lang w:val="en-US"/>
        </w:rPr>
        <w:t xml:space="preserve"> effects</w:t>
      </w:r>
      <w:r w:rsidR="00690B29">
        <w:rPr>
          <w:lang w:val="en-US"/>
        </w:rPr>
        <w:t xml:space="preserve"> and cohort effects. Age is arguably the most known of the three, and it refers to the effects that are a result of the unavoidable aging process of individuals in a certain population. The secular trends on a given phenomenon that occur across all age groups in a particular moment are conventionally known as period effects (Keyes et al., 2014).</w:t>
      </w:r>
    </w:p>
    <w:p w:rsidR="00690B29" w:rsidRDefault="00690B29" w:rsidP="00690B29">
      <w:pPr>
        <w:spacing w:line="360" w:lineRule="auto"/>
        <w:ind w:firstLine="708"/>
        <w:jc w:val="both"/>
        <w:rPr>
          <w:lang w:val="en-US"/>
        </w:rPr>
      </w:pPr>
      <w:r>
        <w:rPr>
          <w:lang w:val="en-US"/>
        </w:rPr>
        <w:t>However, some scholars (Spiers et al., 2011; Bell, 2014) argue that there is no sustained basis to think that changes over time in mental health and depression are due to continuous period trends</w:t>
      </w:r>
      <w:r w:rsidR="0043024B">
        <w:rPr>
          <w:lang w:val="en-US"/>
        </w:rPr>
        <w:t xml:space="preserve"> (this does not imply that they do not exist at all)</w:t>
      </w:r>
      <w:r>
        <w:rPr>
          <w:lang w:val="en-US"/>
        </w:rPr>
        <w:t xml:space="preserve">, but to changes across different cohorts. Those cohort effects are related to changes across groups of individuals who share a certain characteristic (usually, individuals that come from the same birth cohort) which experience together (from a chronological point of view) certain events in the life course and their outcomes (Ryder, 1965; </w:t>
      </w:r>
      <w:proofErr w:type="spellStart"/>
      <w:r>
        <w:rPr>
          <w:lang w:val="en-US"/>
        </w:rPr>
        <w:t>Hobcraft</w:t>
      </w:r>
      <w:proofErr w:type="spellEnd"/>
      <w:r>
        <w:rPr>
          <w:lang w:val="en-US"/>
        </w:rPr>
        <w:t xml:space="preserve">, Menken and Preston, 1982; Yang and Land, 2013). </w:t>
      </w:r>
      <w:r w:rsidR="0043024B">
        <w:rPr>
          <w:lang w:val="en-US"/>
        </w:rPr>
        <w:t>Such approach can lead</w:t>
      </w:r>
      <w:r w:rsidRPr="00BA4104">
        <w:rPr>
          <w:lang w:val="en-US"/>
        </w:rPr>
        <w:t xml:space="preserve"> to many interesting questions (that exceed the purposes of this study), such as</w:t>
      </w:r>
      <w:r w:rsidRPr="003B4DE4">
        <w:rPr>
          <w:lang w:val="en-US"/>
        </w:rPr>
        <w:t>:</w:t>
      </w:r>
      <w:r>
        <w:rPr>
          <w:lang w:val="en-US"/>
        </w:rPr>
        <w:t xml:space="preserve"> If depression is indeed growing as a health problem, what cohorts are driving this trend? Does that imply that it would affect younger cohorts over time as well? Or alternatively, since people are living more and more years, is the bulk of depression prevalence carried by the older cohorts? Do different countries share similar prevalence patterns across cohorts? Do the age effects</w:t>
      </w:r>
      <w:r w:rsidR="0043024B">
        <w:rPr>
          <w:lang w:val="en-US"/>
        </w:rPr>
        <w:t xml:space="preserve"> by sex </w:t>
      </w:r>
      <w:r>
        <w:rPr>
          <w:lang w:val="en-US"/>
        </w:rPr>
        <w:t>behave in a similar fashion in countries with different prevalence rates?  What do these effects imply for health care, social policies or</w:t>
      </w:r>
      <w:r w:rsidRPr="00274F03">
        <w:rPr>
          <w:lang w:val="en-US"/>
        </w:rPr>
        <w:t xml:space="preserve"> </w:t>
      </w:r>
      <w:r>
        <w:rPr>
          <w:lang w:val="en-US"/>
        </w:rPr>
        <w:t>pension systems?</w:t>
      </w:r>
    </w:p>
    <w:p w:rsidR="00690B29" w:rsidRDefault="00690B29" w:rsidP="00690B29">
      <w:pPr>
        <w:spacing w:line="360" w:lineRule="auto"/>
        <w:ind w:firstLine="708"/>
        <w:jc w:val="both"/>
        <w:rPr>
          <w:lang w:val="en-US"/>
        </w:rPr>
      </w:pPr>
      <w:r>
        <w:rPr>
          <w:lang w:val="en-US"/>
        </w:rPr>
        <w:t>Approaches that try to decompose age, period and cohort effects separately are known as Age-Period-Cohort (APC) models (</w:t>
      </w:r>
      <w:r w:rsidR="0043024B">
        <w:rPr>
          <w:lang w:val="en-US"/>
        </w:rPr>
        <w:t xml:space="preserve">Holford, 1992; </w:t>
      </w:r>
      <w:r>
        <w:rPr>
          <w:lang w:val="en-US"/>
        </w:rPr>
        <w:t xml:space="preserve">Yang and Land, 2013; Keyes et al., 2014; Acosta and Van </w:t>
      </w:r>
      <w:proofErr w:type="spellStart"/>
      <w:r>
        <w:rPr>
          <w:lang w:val="en-US"/>
        </w:rPr>
        <w:t>Raalte</w:t>
      </w:r>
      <w:proofErr w:type="spellEnd"/>
      <w:r>
        <w:rPr>
          <w:lang w:val="en-US"/>
        </w:rPr>
        <w:t xml:space="preserve">, 2019). As mentioned, Age effects refer to the results of own aging process of individuals, Period effects highlight the influence of contextual factors that are related to a specific year of measurement, and Cohort effects are results of similarities of individuals that were born in a similar period, and have shared a common set of historical experiences, characteristics and circumstances across their life course.  APC models are gaining traction in disciplines like Demography, Sociology and Epidemiology among others to analyze mortality and prevalence rates of a given phenomenon, but also things as varied as fertility changes, labor market analysis and residential patterns. This is possible due to </w:t>
      </w:r>
      <w:r>
        <w:rPr>
          <w:lang w:val="en-US"/>
        </w:rPr>
        <w:lastRenderedPageBreak/>
        <w:t xml:space="preserve">improvements in computing power, a greater interest in analyzing cohort trends over time and several methods to deal with the limitations and difficulties inherent to APC analysis. </w:t>
      </w:r>
    </w:p>
    <w:p w:rsidR="00690B29" w:rsidRDefault="00690B29" w:rsidP="00690B29">
      <w:pPr>
        <w:spacing w:line="360" w:lineRule="auto"/>
        <w:ind w:firstLine="708"/>
        <w:jc w:val="both"/>
        <w:rPr>
          <w:lang w:val="en-US"/>
        </w:rPr>
      </w:pPr>
    </w:p>
    <w:p w:rsidR="00690B29" w:rsidRPr="00F11CF6" w:rsidRDefault="00690B29" w:rsidP="00690B29">
      <w:pPr>
        <w:spacing w:line="360" w:lineRule="auto"/>
        <w:jc w:val="both"/>
        <w:rPr>
          <w:color w:val="auto"/>
          <w:u w:val="single"/>
          <w:lang w:val="en-US"/>
        </w:rPr>
      </w:pPr>
      <w:r w:rsidRPr="00F11CF6">
        <w:rPr>
          <w:color w:val="auto"/>
          <w:u w:val="single"/>
          <w:lang w:val="en-US"/>
        </w:rPr>
        <w:t xml:space="preserve">Previous findings:  </w:t>
      </w:r>
    </w:p>
    <w:p w:rsidR="00690B29" w:rsidRDefault="00690B29" w:rsidP="00690B29">
      <w:pPr>
        <w:spacing w:line="360" w:lineRule="auto"/>
        <w:jc w:val="both"/>
        <w:rPr>
          <w:lang w:val="en-US"/>
        </w:rPr>
      </w:pPr>
      <w:r w:rsidRPr="00101380">
        <w:rPr>
          <w:lang w:val="en-US"/>
        </w:rPr>
        <w:tab/>
      </w:r>
    </w:p>
    <w:p w:rsidR="00690B29" w:rsidRDefault="00690B29" w:rsidP="00690B29">
      <w:pPr>
        <w:spacing w:line="360" w:lineRule="auto"/>
        <w:jc w:val="both"/>
        <w:rPr>
          <w:lang w:val="en-US"/>
        </w:rPr>
      </w:pPr>
      <w:r>
        <w:rPr>
          <w:lang w:val="en-US"/>
        </w:rPr>
        <w:t xml:space="preserve">There is a fair share of studies that focus on cross-national differentials </w:t>
      </w:r>
      <w:r w:rsidRPr="00A44396">
        <w:rPr>
          <w:lang w:val="en-US"/>
        </w:rPr>
        <w:t>in late</w:t>
      </w:r>
      <w:r>
        <w:rPr>
          <w:lang w:val="en-US"/>
        </w:rPr>
        <w:t>-</w:t>
      </w:r>
      <w:r w:rsidRPr="00A44396">
        <w:rPr>
          <w:lang w:val="en-US"/>
        </w:rPr>
        <w:t xml:space="preserve">life depression </w:t>
      </w:r>
      <w:r>
        <w:rPr>
          <w:lang w:val="en-US"/>
        </w:rPr>
        <w:t xml:space="preserve">in European countries (Dewey and Prince, 2005, Hansen, </w:t>
      </w:r>
      <w:proofErr w:type="spellStart"/>
      <w:r>
        <w:rPr>
          <w:lang w:val="en-US"/>
        </w:rPr>
        <w:t>Slagsvold</w:t>
      </w:r>
      <w:proofErr w:type="spellEnd"/>
      <w:r>
        <w:rPr>
          <w:lang w:val="en-US"/>
        </w:rPr>
        <w:t xml:space="preserve"> and </w:t>
      </w:r>
      <w:proofErr w:type="spellStart"/>
      <w:r>
        <w:rPr>
          <w:lang w:val="en-US"/>
        </w:rPr>
        <w:t>Veenstra</w:t>
      </w:r>
      <w:proofErr w:type="spellEnd"/>
      <w:r>
        <w:rPr>
          <w:lang w:val="en-US"/>
        </w:rPr>
        <w:t xml:space="preserve">, 2017, </w:t>
      </w:r>
      <w:proofErr w:type="spellStart"/>
      <w:r>
        <w:rPr>
          <w:lang w:val="en-US"/>
        </w:rPr>
        <w:t>Aichberger</w:t>
      </w:r>
      <w:proofErr w:type="spellEnd"/>
      <w:r>
        <w:rPr>
          <w:lang w:val="en-US"/>
        </w:rPr>
        <w:t xml:space="preserve"> et al., 2010)</w:t>
      </w:r>
      <w:r w:rsidRPr="00A44396">
        <w:rPr>
          <w:lang w:val="en-US"/>
        </w:rPr>
        <w:t>.</w:t>
      </w:r>
      <w:r w:rsidR="009B7B62">
        <w:rPr>
          <w:lang w:val="en-US"/>
        </w:rPr>
        <w:t xml:space="preserve"> </w:t>
      </w:r>
      <w:r>
        <w:rPr>
          <w:lang w:val="en-US"/>
        </w:rPr>
        <w:t>Lower</w:t>
      </w:r>
      <w:r w:rsidRPr="00A44396">
        <w:rPr>
          <w:lang w:val="en-US"/>
        </w:rPr>
        <w:t xml:space="preserve"> prevalence rates</w:t>
      </w:r>
      <w:r>
        <w:rPr>
          <w:lang w:val="en-US"/>
        </w:rPr>
        <w:t xml:space="preserve"> were found</w:t>
      </w:r>
      <w:r w:rsidRPr="00A44396">
        <w:rPr>
          <w:lang w:val="en-US"/>
        </w:rPr>
        <w:t xml:space="preserve"> in Scandinavia</w:t>
      </w:r>
      <w:r>
        <w:rPr>
          <w:lang w:val="en-US"/>
        </w:rPr>
        <w:t>n countries</w:t>
      </w:r>
      <w:r w:rsidRPr="00A44396">
        <w:rPr>
          <w:lang w:val="en-US"/>
        </w:rPr>
        <w:t>,</w:t>
      </w:r>
      <w:r w:rsidR="009B7B62">
        <w:rPr>
          <w:lang w:val="en-US"/>
        </w:rPr>
        <w:t xml:space="preserve"> as Sweden and Denmark, while opposite results were found</w:t>
      </w:r>
      <w:r>
        <w:rPr>
          <w:lang w:val="en-US"/>
        </w:rPr>
        <w:t xml:space="preserve"> in</w:t>
      </w:r>
      <w:r w:rsidRPr="00A44396">
        <w:rPr>
          <w:lang w:val="en-US"/>
        </w:rPr>
        <w:t xml:space="preserve"> Southern Europe,</w:t>
      </w:r>
      <w:r w:rsidR="009B7B62">
        <w:rPr>
          <w:lang w:val="en-US"/>
        </w:rPr>
        <w:t xml:space="preserve"> especially in </w:t>
      </w:r>
      <w:r w:rsidRPr="00A44396">
        <w:rPr>
          <w:lang w:val="en-US"/>
        </w:rPr>
        <w:t>countr</w:t>
      </w:r>
      <w:r>
        <w:rPr>
          <w:lang w:val="en-US"/>
        </w:rPr>
        <w:t>ies like Spain or Italy</w:t>
      </w:r>
      <w:r w:rsidRPr="00A44396">
        <w:rPr>
          <w:lang w:val="en-US"/>
        </w:rPr>
        <w:t xml:space="preserve"> (Dewey and Prin</w:t>
      </w:r>
      <w:r>
        <w:rPr>
          <w:lang w:val="en-US"/>
        </w:rPr>
        <w:t xml:space="preserve">ce, 2005; Van de Velde, </w:t>
      </w:r>
      <w:proofErr w:type="spellStart"/>
      <w:r>
        <w:rPr>
          <w:lang w:val="en-US"/>
        </w:rPr>
        <w:t>Bracke</w:t>
      </w:r>
      <w:proofErr w:type="spellEnd"/>
      <w:r>
        <w:rPr>
          <w:lang w:val="en-US"/>
        </w:rPr>
        <w:t xml:space="preserve"> and</w:t>
      </w:r>
      <w:r w:rsidRPr="00A44396">
        <w:rPr>
          <w:lang w:val="en-US"/>
        </w:rPr>
        <w:t xml:space="preserve"> </w:t>
      </w:r>
      <w:proofErr w:type="spellStart"/>
      <w:r w:rsidRPr="00A44396">
        <w:rPr>
          <w:lang w:val="en-US"/>
        </w:rPr>
        <w:t>Levecque</w:t>
      </w:r>
      <w:proofErr w:type="spellEnd"/>
      <w:r w:rsidRPr="00A44396">
        <w:rPr>
          <w:lang w:val="en-US"/>
        </w:rPr>
        <w:t>, 2010;</w:t>
      </w:r>
      <w:r>
        <w:rPr>
          <w:lang w:val="en-US"/>
        </w:rPr>
        <w:t xml:space="preserve"> </w:t>
      </w:r>
      <w:proofErr w:type="spellStart"/>
      <w:r>
        <w:rPr>
          <w:lang w:val="en-US"/>
        </w:rPr>
        <w:t>Aichberger</w:t>
      </w:r>
      <w:proofErr w:type="spellEnd"/>
      <w:r>
        <w:rPr>
          <w:lang w:val="en-US"/>
        </w:rPr>
        <w:t xml:space="preserve"> et al., 2010;</w:t>
      </w:r>
      <w:r w:rsidRPr="00A44396">
        <w:rPr>
          <w:lang w:val="en-US"/>
        </w:rPr>
        <w:t xml:space="preserve"> </w:t>
      </w:r>
      <w:proofErr w:type="spellStart"/>
      <w:r w:rsidRPr="00A44396">
        <w:rPr>
          <w:lang w:val="en-US"/>
        </w:rPr>
        <w:t>Horackova</w:t>
      </w:r>
      <w:proofErr w:type="spellEnd"/>
      <w:r w:rsidRPr="00A44396">
        <w:rPr>
          <w:lang w:val="en-US"/>
        </w:rPr>
        <w:t xml:space="preserve"> et al. 2019). </w:t>
      </w:r>
      <w:r>
        <w:rPr>
          <w:lang w:val="en-US"/>
        </w:rPr>
        <w:t>N</w:t>
      </w:r>
      <w:r w:rsidRPr="00A44396">
        <w:rPr>
          <w:lang w:val="en-US"/>
        </w:rPr>
        <w:t>ot only</w:t>
      </w:r>
      <w:r>
        <w:rPr>
          <w:lang w:val="en-US"/>
        </w:rPr>
        <w:t xml:space="preserve"> the</w:t>
      </w:r>
      <w:r w:rsidRPr="00A44396">
        <w:rPr>
          <w:lang w:val="en-US"/>
        </w:rPr>
        <w:t xml:space="preserve"> overall </w:t>
      </w:r>
      <w:r>
        <w:rPr>
          <w:lang w:val="en-US"/>
        </w:rPr>
        <w:t xml:space="preserve">late-life depression </w:t>
      </w:r>
      <w:r w:rsidRPr="00A44396">
        <w:rPr>
          <w:lang w:val="en-US"/>
        </w:rPr>
        <w:t xml:space="preserve">prevalence was higher in </w:t>
      </w:r>
      <w:r w:rsidR="009B7B62">
        <w:rPr>
          <w:lang w:val="en-US"/>
        </w:rPr>
        <w:t>the latter countries</w:t>
      </w:r>
      <w:r w:rsidRPr="00A44396">
        <w:rPr>
          <w:lang w:val="en-US"/>
        </w:rPr>
        <w:t xml:space="preserve">, but </w:t>
      </w:r>
      <w:r>
        <w:rPr>
          <w:lang w:val="en-US"/>
        </w:rPr>
        <w:t>it was notably higher in the oldest ages and affected mostly the females in such countries, while differentials in Northern countries were modest across sexes and different ages</w:t>
      </w:r>
      <w:r w:rsidRPr="00A44396">
        <w:rPr>
          <w:lang w:val="en-US"/>
        </w:rPr>
        <w:t xml:space="preserve"> (Dewey and Prince, 2005; V</w:t>
      </w:r>
      <w:r w:rsidRPr="00101380">
        <w:rPr>
          <w:lang w:val="en-US"/>
        </w:rPr>
        <w:t>an de Velde et al., 2010</w:t>
      </w:r>
      <w:r>
        <w:rPr>
          <w:lang w:val="en-US"/>
        </w:rPr>
        <w:t xml:space="preserve">, </w:t>
      </w:r>
      <w:proofErr w:type="spellStart"/>
      <w:r>
        <w:rPr>
          <w:lang w:val="en-US"/>
        </w:rPr>
        <w:t>Aichberger</w:t>
      </w:r>
      <w:proofErr w:type="spellEnd"/>
      <w:r>
        <w:rPr>
          <w:lang w:val="en-US"/>
        </w:rPr>
        <w:t xml:space="preserve"> et al., 2010</w:t>
      </w:r>
      <w:r w:rsidRPr="00101380">
        <w:rPr>
          <w:lang w:val="en-US"/>
        </w:rPr>
        <w:t>).</w:t>
      </w:r>
      <w:r>
        <w:rPr>
          <w:lang w:val="en-US"/>
        </w:rPr>
        <w:t xml:space="preserve"> </w:t>
      </w:r>
    </w:p>
    <w:p w:rsidR="00690B29" w:rsidRDefault="00690B29" w:rsidP="00690B29">
      <w:pPr>
        <w:spacing w:line="360" w:lineRule="auto"/>
        <w:ind w:firstLine="708"/>
        <w:jc w:val="both"/>
        <w:rPr>
          <w:lang w:val="en-US"/>
        </w:rPr>
      </w:pPr>
      <w:r>
        <w:rPr>
          <w:lang w:val="en-US"/>
        </w:rPr>
        <w:t xml:space="preserve">On the other hand, studies that address depression prevalence (or similar aspects) from an APC perspective are scarce and most of them do not involve European countries (Keyes et al., 2014, </w:t>
      </w:r>
      <w:proofErr w:type="spellStart"/>
      <w:r w:rsidRPr="008F33D2">
        <w:rPr>
          <w:color w:val="000000"/>
          <w:shd w:val="clear" w:color="auto" w:fill="FFFFFF"/>
          <w:lang w:val="en-US"/>
        </w:rPr>
        <w:t>Wickramaratne</w:t>
      </w:r>
      <w:proofErr w:type="spellEnd"/>
      <w:r>
        <w:rPr>
          <w:color w:val="000000"/>
          <w:shd w:val="clear" w:color="auto" w:fill="FFFFFF"/>
          <w:lang w:val="en-US"/>
        </w:rPr>
        <w:t xml:space="preserve"> et al., 1989, </w:t>
      </w:r>
      <w:proofErr w:type="spellStart"/>
      <w:r>
        <w:rPr>
          <w:color w:val="000000"/>
          <w:shd w:val="clear" w:color="auto" w:fill="FFFFFF"/>
          <w:lang w:val="en-US"/>
        </w:rPr>
        <w:t>Lavori</w:t>
      </w:r>
      <w:proofErr w:type="spellEnd"/>
      <w:r>
        <w:rPr>
          <w:color w:val="000000"/>
          <w:shd w:val="clear" w:color="auto" w:fill="FFFFFF"/>
          <w:lang w:val="en-US"/>
        </w:rPr>
        <w:t xml:space="preserve"> et al., 1987</w:t>
      </w:r>
      <w:r>
        <w:rPr>
          <w:lang w:val="en-US"/>
        </w:rPr>
        <w:t>). However, we can reference the work of Bell (2014) as a watermark for the purposes of the study, by analyzing the mental well-being across a group of cohorts in the UK using an APC approach. The author finds that mental health trajectories have a curve trajectory in the late-life, with a steep increase in the last years of life and a relative deterioration of the mental well-being of the younger cohorts. In addition, he found that gender and marriage were strongly related with mental health, affecting life-course and cohort trajectories, with females and non-married individuals presenting worse mental health. Spiers et al. (2011), on the other hand, found no increases in mental disorder prevalence across English cohorts.</w:t>
      </w:r>
    </w:p>
    <w:p w:rsidR="00690B29" w:rsidRDefault="00690B29" w:rsidP="00690B29">
      <w:pPr>
        <w:spacing w:line="360" w:lineRule="auto"/>
        <w:ind w:firstLine="708"/>
        <w:jc w:val="both"/>
        <w:rPr>
          <w:b/>
          <w:lang w:val="en-US"/>
        </w:rPr>
      </w:pPr>
      <w:r>
        <w:rPr>
          <w:lang w:val="en-US"/>
        </w:rPr>
        <w:t xml:space="preserve">Thus, this is an interesting opportunity for providing a new perspective on the topic, while elucidating if any potential changes to depression prevalence rates over the last years could be related to age, period or cohort effects in selected aging populations in Northern and Southern Europe, given the previously mentioned prevalence gap across them. </w:t>
      </w:r>
    </w:p>
    <w:p w:rsidR="00690B29" w:rsidRDefault="00690B29" w:rsidP="00690B29">
      <w:pPr>
        <w:spacing w:line="360" w:lineRule="auto"/>
        <w:jc w:val="both"/>
        <w:rPr>
          <w:u w:val="single"/>
          <w:lang w:val="en-US"/>
        </w:rPr>
      </w:pPr>
    </w:p>
    <w:p w:rsidR="00690B29" w:rsidRPr="008A76FA" w:rsidRDefault="00690B29" w:rsidP="00690B29">
      <w:pPr>
        <w:spacing w:line="360" w:lineRule="auto"/>
        <w:jc w:val="both"/>
        <w:rPr>
          <w:u w:val="single"/>
          <w:lang w:val="en-US"/>
        </w:rPr>
      </w:pPr>
      <w:r w:rsidRPr="008A76FA">
        <w:rPr>
          <w:u w:val="single"/>
          <w:lang w:val="en-US"/>
        </w:rPr>
        <w:lastRenderedPageBreak/>
        <w:t>Research objective:</w:t>
      </w:r>
    </w:p>
    <w:p w:rsidR="00690B29" w:rsidRDefault="00690B29" w:rsidP="00690B29">
      <w:pPr>
        <w:spacing w:line="360" w:lineRule="auto"/>
        <w:ind w:firstLine="708"/>
        <w:jc w:val="both"/>
        <w:rPr>
          <w:lang w:val="en-US"/>
        </w:rPr>
      </w:pPr>
    </w:p>
    <w:p w:rsidR="00690B29" w:rsidRPr="0042656F" w:rsidRDefault="00690B29" w:rsidP="00690B29">
      <w:pPr>
        <w:spacing w:line="360" w:lineRule="auto"/>
        <w:ind w:firstLine="708"/>
        <w:jc w:val="both"/>
        <w:rPr>
          <w:lang w:val="en-US"/>
        </w:rPr>
      </w:pPr>
      <w:r>
        <w:rPr>
          <w:lang w:val="en-US"/>
        </w:rPr>
        <w:t>This study intends to describe trends in the prevalence of depression by sex and age in selected Europea</w:t>
      </w:r>
      <w:r w:rsidR="00265020">
        <w:rPr>
          <w:lang w:val="en-US"/>
        </w:rPr>
        <w:t>n countries during the 2004-2016</w:t>
      </w:r>
      <w:r>
        <w:rPr>
          <w:lang w:val="en-US"/>
        </w:rPr>
        <w:t xml:space="preserve"> </w:t>
      </w:r>
      <w:r w:rsidR="008C708A">
        <w:rPr>
          <w:lang w:val="en-US"/>
        </w:rPr>
        <w:t>periods</w:t>
      </w:r>
      <w:r>
        <w:rPr>
          <w:lang w:val="en-US"/>
        </w:rPr>
        <w:t xml:space="preserve"> applying </w:t>
      </w:r>
      <w:r w:rsidR="00264246">
        <w:rPr>
          <w:lang w:val="en-US"/>
        </w:rPr>
        <w:t>“</w:t>
      </w:r>
      <w:r>
        <w:rPr>
          <w:lang w:val="en-US"/>
        </w:rPr>
        <w:t>detrended</w:t>
      </w:r>
      <w:r w:rsidR="00264246">
        <w:rPr>
          <w:lang w:val="en-US"/>
        </w:rPr>
        <w:t>”</w:t>
      </w:r>
      <w:r>
        <w:rPr>
          <w:lang w:val="en-US"/>
        </w:rPr>
        <w:t>-APC models (Yang and Land, 2013, Carstensen 2007)</w:t>
      </w:r>
      <w:r w:rsidR="00264246">
        <w:rPr>
          <w:lang w:val="en-US"/>
        </w:rPr>
        <w:t>, using a cohort-</w:t>
      </w:r>
      <w:r>
        <w:rPr>
          <w:lang w:val="en-US"/>
        </w:rPr>
        <w:t>based paramet</w:t>
      </w:r>
      <w:r w:rsidR="00265020">
        <w:rPr>
          <w:lang w:val="en-US"/>
        </w:rPr>
        <w:t>e</w:t>
      </w:r>
      <w:r>
        <w:rPr>
          <w:lang w:val="en-US"/>
        </w:rPr>
        <w:t xml:space="preserve">rization. The main objective is to </w:t>
      </w:r>
      <w:r w:rsidR="00264246">
        <w:rPr>
          <w:lang w:val="en-US"/>
        </w:rPr>
        <w:t>visualize and</w:t>
      </w:r>
      <w:r>
        <w:rPr>
          <w:lang w:val="en-US"/>
        </w:rPr>
        <w:t xml:space="preserve"> distinguish age, period and cohort effects</w:t>
      </w:r>
      <w:r w:rsidR="00264246">
        <w:rPr>
          <w:lang w:val="en-US"/>
        </w:rPr>
        <w:t xml:space="preserve"> in depression</w:t>
      </w:r>
      <w:r w:rsidR="005710FA">
        <w:rPr>
          <w:lang w:val="en-US"/>
        </w:rPr>
        <w:t xml:space="preserve"> prevalence for such countries.</w:t>
      </w:r>
    </w:p>
    <w:p w:rsidR="00690B29" w:rsidRPr="00A44396" w:rsidRDefault="00690B29" w:rsidP="00690B29">
      <w:pPr>
        <w:spacing w:line="360" w:lineRule="auto"/>
        <w:jc w:val="both"/>
        <w:rPr>
          <w:lang w:val="en-US"/>
        </w:rPr>
      </w:pPr>
      <w:r w:rsidRPr="00A44396">
        <w:rPr>
          <w:lang w:val="en-US"/>
        </w:rPr>
        <w:tab/>
      </w:r>
    </w:p>
    <w:p w:rsidR="00690B29" w:rsidRPr="00F11CF6" w:rsidRDefault="00690B29" w:rsidP="00690B29">
      <w:pPr>
        <w:spacing w:line="360" w:lineRule="auto"/>
        <w:jc w:val="both"/>
        <w:rPr>
          <w:u w:val="single"/>
          <w:lang w:val="en-US"/>
        </w:rPr>
      </w:pPr>
      <w:r w:rsidRPr="00F11CF6">
        <w:rPr>
          <w:b/>
          <w:u w:val="single"/>
          <w:lang w:val="en-US"/>
        </w:rPr>
        <w:t>Data and Methods</w:t>
      </w:r>
      <w:r w:rsidRPr="00F11CF6">
        <w:rPr>
          <w:u w:val="single"/>
          <w:lang w:val="en-US"/>
        </w:rPr>
        <w:t xml:space="preserve">: </w:t>
      </w:r>
    </w:p>
    <w:p w:rsidR="00690B29" w:rsidRPr="00101380" w:rsidRDefault="00690B29" w:rsidP="00690B29">
      <w:pPr>
        <w:spacing w:line="360" w:lineRule="auto"/>
        <w:jc w:val="both"/>
        <w:rPr>
          <w:lang w:val="en-US"/>
        </w:rPr>
      </w:pPr>
      <w:r w:rsidRPr="008A76FA">
        <w:rPr>
          <w:u w:val="single"/>
          <w:lang w:val="en-US"/>
        </w:rPr>
        <w:t>Data source and definitions</w:t>
      </w:r>
      <w:r>
        <w:rPr>
          <w:lang w:val="en-US"/>
        </w:rPr>
        <w:t xml:space="preserve">: </w:t>
      </w:r>
    </w:p>
    <w:p w:rsidR="00690B29" w:rsidRDefault="00690B29" w:rsidP="00690B29">
      <w:pPr>
        <w:spacing w:line="360" w:lineRule="auto"/>
        <w:jc w:val="both"/>
        <w:rPr>
          <w:lang w:val="en-US"/>
        </w:rPr>
      </w:pPr>
      <w:r w:rsidRPr="00101380">
        <w:rPr>
          <w:lang w:val="en-US"/>
        </w:rPr>
        <w:tab/>
      </w:r>
    </w:p>
    <w:p w:rsidR="00690B29" w:rsidRDefault="00690B29" w:rsidP="00690B29">
      <w:pPr>
        <w:spacing w:line="360" w:lineRule="auto"/>
        <w:ind w:firstLine="708"/>
        <w:jc w:val="both"/>
        <w:rPr>
          <w:lang w:val="en-US"/>
        </w:rPr>
      </w:pPr>
      <w:r w:rsidRPr="00101380">
        <w:rPr>
          <w:lang w:val="en-US"/>
        </w:rPr>
        <w:t>The main data source for this study</w:t>
      </w:r>
      <w:r>
        <w:rPr>
          <w:lang w:val="en-US"/>
        </w:rPr>
        <w:t xml:space="preserve"> is t</w:t>
      </w:r>
      <w:r w:rsidRPr="00A44396">
        <w:rPr>
          <w:lang w:val="en-US"/>
        </w:rPr>
        <w:t>he Survey of Health, Ageing and Retirement</w:t>
      </w:r>
      <w:r>
        <w:rPr>
          <w:lang w:val="en-US"/>
        </w:rPr>
        <w:t xml:space="preserve"> in Europe</w:t>
      </w:r>
      <w:r w:rsidRPr="00A44396">
        <w:rPr>
          <w:lang w:val="en-US"/>
        </w:rPr>
        <w:t xml:space="preserve"> (SHARE). </w:t>
      </w:r>
      <w:r>
        <w:rPr>
          <w:lang w:val="en-US"/>
        </w:rPr>
        <w:t>SHARE</w:t>
      </w:r>
      <w:r w:rsidRPr="00A44396">
        <w:rPr>
          <w:lang w:val="en-US"/>
        </w:rPr>
        <w:t xml:space="preserve"> is </w:t>
      </w:r>
      <w:r>
        <w:rPr>
          <w:lang w:val="en-US"/>
        </w:rPr>
        <w:t xml:space="preserve">a </w:t>
      </w:r>
      <w:r w:rsidRPr="00A44396">
        <w:rPr>
          <w:lang w:val="en-US"/>
        </w:rPr>
        <w:t xml:space="preserve">multiple wave panel study that follows cohorts of </w:t>
      </w:r>
      <w:r>
        <w:rPr>
          <w:lang w:val="en-US"/>
        </w:rPr>
        <w:t xml:space="preserve">non-institutionalized </w:t>
      </w:r>
      <w:r w:rsidRPr="00A44396">
        <w:rPr>
          <w:lang w:val="en-US"/>
        </w:rPr>
        <w:t>respondents aged 50</w:t>
      </w:r>
      <w:r>
        <w:rPr>
          <w:lang w:val="en-US"/>
        </w:rPr>
        <w:t xml:space="preserve"> and over</w:t>
      </w:r>
      <w:r w:rsidRPr="00A44396">
        <w:rPr>
          <w:lang w:val="en-US"/>
        </w:rPr>
        <w:t xml:space="preserve"> in several European countries </w:t>
      </w:r>
      <w:r>
        <w:rPr>
          <w:lang w:val="en-US"/>
        </w:rPr>
        <w:t>from</w:t>
      </w:r>
      <w:r w:rsidRPr="00A44396">
        <w:rPr>
          <w:lang w:val="en-US"/>
        </w:rPr>
        <w:t xml:space="preserve"> </w:t>
      </w:r>
      <w:r>
        <w:rPr>
          <w:lang w:val="en-US"/>
        </w:rPr>
        <w:t xml:space="preserve">2004 onwards. Successive waves were collected in 2007, 2011, 2013, 2015 and 2017 (and one special retrospective survey, also known as SHARELIFE, in 2009). The first wave started collecting data from twelve countries: Germany, the Netherlands, Switzerland, Austria, Sweden, Denmark, Spain, France, Italy, Belgium, Greece and Israel. During the following waves, more countries were added into the survey, more than doubling the initial group. Every wave is considered to be representative of the population of the surveyed countries (Bergmann et al, 2019). </w:t>
      </w:r>
      <w:r w:rsidRPr="00A44396">
        <w:rPr>
          <w:lang w:val="en-US"/>
        </w:rPr>
        <w:t xml:space="preserve">The survey provides information about physical and mental health of the respondents (at a household and individual level), among other detailed aspects of </w:t>
      </w:r>
      <w:r>
        <w:rPr>
          <w:lang w:val="en-US"/>
        </w:rPr>
        <w:t>their sociodemographic characteristics (educational attainment, wealth, social support among others) and overall well-being.</w:t>
      </w:r>
    </w:p>
    <w:p w:rsidR="00690B29" w:rsidRDefault="00690B29" w:rsidP="00690B29">
      <w:pPr>
        <w:spacing w:line="360" w:lineRule="auto"/>
        <w:ind w:firstLine="708"/>
        <w:jc w:val="both"/>
        <w:rPr>
          <w:lang w:val="en-US"/>
        </w:rPr>
      </w:pPr>
    </w:p>
    <w:p w:rsidR="00690B29" w:rsidRPr="0054543B" w:rsidRDefault="00690B29" w:rsidP="00690B29">
      <w:pPr>
        <w:spacing w:line="360" w:lineRule="auto"/>
        <w:jc w:val="both"/>
        <w:rPr>
          <w:u w:val="single"/>
          <w:lang w:val="en-US"/>
        </w:rPr>
      </w:pPr>
      <w:r w:rsidRPr="0054543B">
        <w:rPr>
          <w:u w:val="single"/>
          <w:lang w:val="en-US"/>
        </w:rPr>
        <w:t>Dependent variable</w:t>
      </w:r>
      <w:r>
        <w:rPr>
          <w:u w:val="single"/>
          <w:lang w:val="en-US"/>
        </w:rPr>
        <w:t xml:space="preserve"> and other key variables</w:t>
      </w:r>
      <w:r w:rsidRPr="0054543B">
        <w:rPr>
          <w:u w:val="single"/>
          <w:lang w:val="en-US"/>
        </w:rPr>
        <w:t xml:space="preserve">: </w:t>
      </w:r>
    </w:p>
    <w:p w:rsidR="00690B29" w:rsidRDefault="00690B29" w:rsidP="00690B29">
      <w:pPr>
        <w:spacing w:line="360" w:lineRule="auto"/>
        <w:ind w:firstLine="708"/>
        <w:jc w:val="both"/>
        <w:rPr>
          <w:lang w:val="en-US"/>
        </w:rPr>
      </w:pPr>
      <w:r>
        <w:rPr>
          <w:lang w:val="en-US"/>
        </w:rPr>
        <w:t>Depression is the main dependent variable of this study</w:t>
      </w:r>
      <w:r w:rsidRPr="00264202">
        <w:rPr>
          <w:color w:val="auto"/>
          <w:lang w:val="en-US"/>
        </w:rPr>
        <w:t>.</w:t>
      </w:r>
      <w:r>
        <w:rPr>
          <w:lang w:val="en-US"/>
        </w:rPr>
        <w:t xml:space="preserve"> The main attractive that SHARE offers for this project is the ability to compare the depression prevalence </w:t>
      </w:r>
      <w:r w:rsidR="007E503D">
        <w:rPr>
          <w:lang w:val="en-US"/>
        </w:rPr>
        <w:t xml:space="preserve">(we will use the notions of rates or proportions interchangeably in this article, although is the second one that is technically correct since prevalence is a proportion by definition) </w:t>
      </w:r>
      <w:r>
        <w:rPr>
          <w:lang w:val="en-US"/>
        </w:rPr>
        <w:t>of different populations across multiple observations while using the same instrument.</w:t>
      </w:r>
    </w:p>
    <w:p w:rsidR="00690B29" w:rsidRDefault="00690B29" w:rsidP="00690B29">
      <w:pPr>
        <w:spacing w:line="360" w:lineRule="auto"/>
        <w:jc w:val="both"/>
        <w:rPr>
          <w:lang w:val="en-US"/>
        </w:rPr>
      </w:pPr>
      <w:r>
        <w:rPr>
          <w:lang w:val="en-US"/>
        </w:rPr>
        <w:lastRenderedPageBreak/>
        <w:t xml:space="preserve"> </w:t>
      </w:r>
      <w:r>
        <w:rPr>
          <w:lang w:val="en-US"/>
        </w:rPr>
        <w:tab/>
        <w:t>SHARE utilizes the</w:t>
      </w:r>
      <w:r w:rsidRPr="00A44396">
        <w:rPr>
          <w:lang w:val="en-US"/>
        </w:rPr>
        <w:t xml:space="preserve"> 12 item EURO-D scale</w:t>
      </w:r>
      <w:r>
        <w:rPr>
          <w:lang w:val="en-US"/>
        </w:rPr>
        <w:t xml:space="preserve"> measure</w:t>
      </w:r>
      <w:r w:rsidRPr="00A44396">
        <w:rPr>
          <w:lang w:val="en-US"/>
        </w:rPr>
        <w:t xml:space="preserve">, </w:t>
      </w:r>
      <w:r>
        <w:rPr>
          <w:lang w:val="en-US"/>
        </w:rPr>
        <w:t>which</w:t>
      </w:r>
      <w:r w:rsidRPr="00A44396">
        <w:rPr>
          <w:lang w:val="en-US"/>
        </w:rPr>
        <w:t xml:space="preserve"> has been validated in other studies of depression prevalence (Prince et al. 1999A, Prince et al. 1999B, Guerra et al., 2015). </w:t>
      </w:r>
      <w:r>
        <w:rPr>
          <w:lang w:val="en-US"/>
        </w:rPr>
        <w:t>And we will follow</w:t>
      </w:r>
      <w:r w:rsidRPr="00A44396">
        <w:rPr>
          <w:lang w:val="en-US"/>
        </w:rPr>
        <w:t xml:space="preserve"> the criterion established by Dewey and Prince (2005) to define clinically significant depression, also discussed and validated with</w:t>
      </w:r>
      <w:r>
        <w:rPr>
          <w:lang w:val="en-US"/>
        </w:rPr>
        <w:t xml:space="preserve"> the aforementioned</w:t>
      </w:r>
      <w:r w:rsidRPr="00A44396">
        <w:rPr>
          <w:lang w:val="en-US"/>
        </w:rPr>
        <w:t xml:space="preserve"> previous studies: if the E</w:t>
      </w:r>
      <w:r w:rsidRPr="00101380">
        <w:rPr>
          <w:lang w:val="en-US"/>
        </w:rPr>
        <w:t>URO-D score result is</w:t>
      </w:r>
      <w:r>
        <w:rPr>
          <w:lang w:val="en-US"/>
        </w:rPr>
        <w:t xml:space="preserve"> 4 or</w:t>
      </w:r>
      <w:r w:rsidRPr="00101380">
        <w:rPr>
          <w:lang w:val="en-US"/>
        </w:rPr>
        <w:t xml:space="preserve"> higher </w:t>
      </w:r>
      <w:r>
        <w:rPr>
          <w:lang w:val="en-US"/>
        </w:rPr>
        <w:t>(from a scale of twelve non-weighted items, ranging from 0 to 12)</w:t>
      </w:r>
      <w:r w:rsidRPr="00101380">
        <w:rPr>
          <w:lang w:val="en-US"/>
        </w:rPr>
        <w:t>, it means that the respondent “would be likely to be diagnosed as suffering from a depressive disorder, for which therapeutic intervention would be indicated” (p.109).</w:t>
      </w:r>
      <w:r>
        <w:rPr>
          <w:lang w:val="en-US"/>
        </w:rPr>
        <w:t xml:space="preserve"> Late life depression, thus, would consider individuals aged 50 years and above that report scores equal or higher than the defined threshold value. </w:t>
      </w:r>
    </w:p>
    <w:p w:rsidR="00690B29" w:rsidRDefault="00690B29" w:rsidP="00690B29">
      <w:pPr>
        <w:spacing w:line="360" w:lineRule="auto"/>
        <w:jc w:val="both"/>
        <w:rPr>
          <w:lang w:val="en-US"/>
        </w:rPr>
      </w:pPr>
      <w:r>
        <w:rPr>
          <w:lang w:val="en-US"/>
        </w:rPr>
        <w:tab/>
        <w:t>We intend to describe depression prevalence based</w:t>
      </w:r>
      <w:r w:rsidR="005710FA">
        <w:rPr>
          <w:lang w:val="en-US"/>
        </w:rPr>
        <w:t xml:space="preserve"> on sex</w:t>
      </w:r>
      <w:r>
        <w:rPr>
          <w:lang w:val="en-US"/>
        </w:rPr>
        <w:t>.</w:t>
      </w:r>
      <w:r w:rsidR="004F77AE">
        <w:rPr>
          <w:lang w:val="en-US"/>
        </w:rPr>
        <w:t xml:space="preserve"> We also explored partnership status</w:t>
      </w:r>
      <w:r w:rsidR="005710FA">
        <w:rPr>
          <w:lang w:val="en-US"/>
        </w:rPr>
        <w:t xml:space="preserve"> and educational attainment</w:t>
      </w:r>
      <w:r w:rsidR="006D6562">
        <w:rPr>
          <w:lang w:val="en-US"/>
        </w:rPr>
        <w:t xml:space="preserve"> as </w:t>
      </w:r>
      <w:r w:rsidR="004F77AE">
        <w:rPr>
          <w:lang w:val="en-US"/>
        </w:rPr>
        <w:t>potential key variable</w:t>
      </w:r>
      <w:r w:rsidR="005710FA">
        <w:rPr>
          <w:lang w:val="en-US"/>
        </w:rPr>
        <w:t>s</w:t>
      </w:r>
      <w:r w:rsidR="004F77AE">
        <w:rPr>
          <w:lang w:val="en-US"/>
        </w:rPr>
        <w:t>, but due to some limitations in the sample size (particularly with wave 7) we d</w:t>
      </w:r>
      <w:r w:rsidR="00CD0AB4">
        <w:rPr>
          <w:lang w:val="en-US"/>
        </w:rPr>
        <w:t>ecided to exclude the results</w:t>
      </w:r>
      <w:r w:rsidR="004F77AE">
        <w:rPr>
          <w:lang w:val="en-US"/>
        </w:rPr>
        <w:t xml:space="preserve"> from the final analysis.</w:t>
      </w:r>
    </w:p>
    <w:p w:rsidR="006517DB" w:rsidRDefault="006517DB" w:rsidP="00690B29">
      <w:pPr>
        <w:spacing w:line="360" w:lineRule="auto"/>
        <w:jc w:val="both"/>
        <w:rPr>
          <w:lang w:val="en-US"/>
        </w:rPr>
      </w:pPr>
    </w:p>
    <w:p w:rsidR="00690B29" w:rsidRPr="0054543B" w:rsidRDefault="00690B29" w:rsidP="00690B29">
      <w:pPr>
        <w:spacing w:line="360" w:lineRule="auto"/>
        <w:jc w:val="both"/>
        <w:rPr>
          <w:u w:val="single"/>
          <w:lang w:val="en-US"/>
        </w:rPr>
      </w:pPr>
      <w:r>
        <w:rPr>
          <w:u w:val="single"/>
          <w:lang w:val="en-US"/>
        </w:rPr>
        <w:t>Country selection and treatment of the data</w:t>
      </w:r>
      <w:r w:rsidRPr="0054543B">
        <w:rPr>
          <w:u w:val="single"/>
          <w:lang w:val="en-US"/>
        </w:rPr>
        <w:t xml:space="preserve">: </w:t>
      </w:r>
    </w:p>
    <w:p w:rsidR="00690B29" w:rsidRDefault="00690B29" w:rsidP="00690B29">
      <w:pPr>
        <w:spacing w:line="360" w:lineRule="auto"/>
        <w:ind w:firstLine="708"/>
        <w:jc w:val="both"/>
        <w:rPr>
          <w:lang w:val="en-US"/>
        </w:rPr>
      </w:pPr>
    </w:p>
    <w:p w:rsidR="00036529" w:rsidRDefault="00690B29" w:rsidP="00036529">
      <w:pPr>
        <w:spacing w:line="360" w:lineRule="auto"/>
        <w:ind w:firstLine="708"/>
        <w:jc w:val="both"/>
        <w:rPr>
          <w:lang w:val="en-US"/>
        </w:rPr>
      </w:pPr>
      <w:r>
        <w:rPr>
          <w:lang w:val="en-US"/>
        </w:rPr>
        <w:t xml:space="preserve">The relatively small sample size forces some assumptions and decisions regarding the composition of population in terms of age and cohort (and the countries deemed as suitable for trend analysis). </w:t>
      </w:r>
      <w:r w:rsidR="00036529">
        <w:rPr>
          <w:lang w:val="en-US"/>
        </w:rPr>
        <w:t xml:space="preserve">There are seven SHARE waves that were collected during the 2004-17 period. However, SHARELIFE (wave 3) questions were recorded for the 2008-09 period but do not involve reports on depression prevalence. </w:t>
      </w:r>
    </w:p>
    <w:p w:rsidR="00397A08" w:rsidRDefault="00690B29" w:rsidP="00690B29">
      <w:pPr>
        <w:spacing w:line="360" w:lineRule="auto"/>
        <w:ind w:firstLine="708"/>
        <w:jc w:val="both"/>
        <w:rPr>
          <w:lang w:val="en-US"/>
        </w:rPr>
      </w:pPr>
      <w:r>
        <w:rPr>
          <w:lang w:val="en-US"/>
        </w:rPr>
        <w:t>After some testing,</w:t>
      </w:r>
      <w:r w:rsidR="00036529">
        <w:rPr>
          <w:lang w:val="en-US"/>
        </w:rPr>
        <w:t xml:space="preserve"> and</w:t>
      </w:r>
      <w:r>
        <w:rPr>
          <w:lang w:val="en-US"/>
        </w:rPr>
        <w:t xml:space="preserve"> considering the</w:t>
      </w:r>
      <w:r w:rsidR="00036529">
        <w:rPr>
          <w:lang w:val="en-US"/>
        </w:rPr>
        <w:t xml:space="preserve"> a priori</w:t>
      </w:r>
      <w:r>
        <w:rPr>
          <w:lang w:val="en-US"/>
        </w:rPr>
        <w:t xml:space="preserve"> unequal period timespans of the collected waves, we found a </w:t>
      </w:r>
      <w:proofErr w:type="gramStart"/>
      <w:r>
        <w:rPr>
          <w:lang w:val="en-US"/>
        </w:rPr>
        <w:t>four age</w:t>
      </w:r>
      <w:proofErr w:type="gramEnd"/>
      <w:r>
        <w:rPr>
          <w:lang w:val="en-US"/>
        </w:rPr>
        <w:t xml:space="preserve"> group distribution suitable for the purposes of this study. The range of those nine four-age groups varies</w:t>
      </w:r>
      <w:r w:rsidR="004E7F92">
        <w:rPr>
          <w:lang w:val="en-US"/>
        </w:rPr>
        <w:t xml:space="preserve"> from</w:t>
      </w:r>
      <w:r>
        <w:rPr>
          <w:lang w:val="en-US"/>
        </w:rPr>
        <w:t xml:space="preserve"> 50-53 (being 52 the mean year for that group) to 82 and over as the last open group. </w:t>
      </w:r>
      <w:r w:rsidR="00397A08">
        <w:rPr>
          <w:lang w:val="en-US"/>
        </w:rPr>
        <w:t>In order to make intervals suitable for APC analysis, we opted to merge waves 4 and 5 into its midpoint (2012), and the same for waves 6 and 7 (2016), which is particularly helpful given the scarcity of data in wave 7. Furthermore, we made an, admittedly, strong assumption: prevalence rates for year 2007 (corresponding to Wave 2) are the same to 2008 in order to make 4 years with equal intervals: 2004, 2008, 2012, 2016</w:t>
      </w:r>
      <w:r w:rsidR="00E30261">
        <w:rPr>
          <w:lang w:val="en-US"/>
        </w:rPr>
        <w:t xml:space="preserve"> (and consider removing cases present in both waves to avoid </w:t>
      </w:r>
      <w:r w:rsidR="00E30261">
        <w:rPr>
          <w:lang w:val="en-US"/>
        </w:rPr>
        <w:lastRenderedPageBreak/>
        <w:t>duplication of effects)</w:t>
      </w:r>
      <w:r w:rsidR="00397A08">
        <w:rPr>
          <w:lang w:val="en-US"/>
        </w:rPr>
        <w:t xml:space="preserve">. However, if depression is a phenomenon driven by cohorts, this assumption may be more justifiable.  </w:t>
      </w:r>
    </w:p>
    <w:p w:rsidR="00690B29" w:rsidRDefault="00690B29" w:rsidP="00690B29">
      <w:pPr>
        <w:spacing w:line="360" w:lineRule="auto"/>
        <w:ind w:firstLine="708"/>
        <w:jc w:val="both"/>
        <w:rPr>
          <w:lang w:val="en-US"/>
        </w:rPr>
      </w:pPr>
      <w:r>
        <w:rPr>
          <w:lang w:val="en-US"/>
        </w:rPr>
        <w:t>Accordingly, the selected cohorts e</w:t>
      </w:r>
      <w:r w:rsidR="00397A08">
        <w:rPr>
          <w:lang w:val="en-US"/>
        </w:rPr>
        <w:t>ncompass those born between 1920 and 1964</w:t>
      </w:r>
      <w:r>
        <w:rPr>
          <w:lang w:val="en-US"/>
        </w:rPr>
        <w:t xml:space="preserve">.  We will consider only valid cases that offer a response to the depression scale in the survey. Only a very small set of countries participated in all of the SHARE survey waves, limiting the potential for follow-up collection across countries to measure depression prevalence. Thus, we decided to </w:t>
      </w:r>
      <w:r w:rsidR="005710FA">
        <w:rPr>
          <w:lang w:val="en-US"/>
        </w:rPr>
        <w:t>choose six</w:t>
      </w:r>
      <w:r>
        <w:rPr>
          <w:lang w:val="en-US"/>
        </w:rPr>
        <w:t xml:space="preserve"> countries in order to see how APC effects behave across t</w:t>
      </w:r>
      <w:r w:rsidR="005710FA">
        <w:rPr>
          <w:lang w:val="en-US"/>
        </w:rPr>
        <w:t>hem</w:t>
      </w:r>
      <w:r>
        <w:rPr>
          <w:lang w:val="en-US"/>
        </w:rPr>
        <w:t>.</w:t>
      </w:r>
      <w:r w:rsidR="005710FA">
        <w:rPr>
          <w:lang w:val="en-US"/>
        </w:rPr>
        <w:t xml:space="preserve"> Three of those countries presented low prevalence rates by age in the first wave (Denmark, Sweden and Germany), and the remaining three presented </w:t>
      </w:r>
      <w:r>
        <w:rPr>
          <w:lang w:val="en-US"/>
        </w:rPr>
        <w:t xml:space="preserve">high </w:t>
      </w:r>
      <w:r w:rsidR="005710FA">
        <w:rPr>
          <w:lang w:val="en-US"/>
        </w:rPr>
        <w:t>prevalence rates</w:t>
      </w:r>
      <w:r>
        <w:rPr>
          <w:lang w:val="en-US"/>
        </w:rPr>
        <w:t xml:space="preserve"> </w:t>
      </w:r>
      <w:r w:rsidR="005710FA">
        <w:rPr>
          <w:lang w:val="en-US"/>
        </w:rPr>
        <w:t>in that same</w:t>
      </w:r>
      <w:r>
        <w:rPr>
          <w:lang w:val="en-US"/>
        </w:rPr>
        <w:t xml:space="preserve"> wave (</w:t>
      </w:r>
      <w:r w:rsidR="005710FA">
        <w:rPr>
          <w:lang w:val="en-US"/>
        </w:rPr>
        <w:t xml:space="preserve">Italy, </w:t>
      </w:r>
      <w:r w:rsidRPr="00A44396">
        <w:rPr>
          <w:lang w:val="en-US"/>
        </w:rPr>
        <w:t>Spain</w:t>
      </w:r>
      <w:r>
        <w:rPr>
          <w:lang w:val="en-US"/>
        </w:rPr>
        <w:t xml:space="preserve"> </w:t>
      </w:r>
      <w:r w:rsidRPr="00A44396">
        <w:rPr>
          <w:lang w:val="en-US"/>
        </w:rPr>
        <w:t xml:space="preserve">and </w:t>
      </w:r>
      <w:r w:rsidR="005710FA">
        <w:rPr>
          <w:lang w:val="en-US"/>
        </w:rPr>
        <w:t>France</w:t>
      </w:r>
      <w:r>
        <w:rPr>
          <w:lang w:val="en-US"/>
        </w:rPr>
        <w:t>)</w:t>
      </w:r>
      <w:r w:rsidR="005710FA">
        <w:rPr>
          <w:lang w:val="en-US"/>
        </w:rPr>
        <w:t>.</w:t>
      </w:r>
      <w:r>
        <w:rPr>
          <w:lang w:val="en-US"/>
        </w:rPr>
        <w:t xml:space="preserve"> </w:t>
      </w:r>
    </w:p>
    <w:p w:rsidR="00690B29" w:rsidRDefault="00690B29" w:rsidP="00F5484D">
      <w:pPr>
        <w:spacing w:line="360" w:lineRule="auto"/>
        <w:ind w:firstLine="708"/>
        <w:jc w:val="both"/>
        <w:rPr>
          <w:u w:val="single"/>
          <w:lang w:val="en-US"/>
        </w:rPr>
      </w:pPr>
      <w:r>
        <w:rPr>
          <w:lang w:val="en-US"/>
        </w:rPr>
        <w:t xml:space="preserve">We will use the cross-wave weights provided by SHARE in order to produce adequate estimations representative at population level (recreating “pseudo”-cohorts). </w:t>
      </w:r>
      <w:r w:rsidR="00036529">
        <w:rPr>
          <w:lang w:val="en-US"/>
        </w:rPr>
        <w:t>After merging the aforementioned waves,</w:t>
      </w:r>
      <w:r>
        <w:rPr>
          <w:lang w:val="en-US"/>
        </w:rPr>
        <w:t xml:space="preserve"> it is possible to establish</w:t>
      </w:r>
      <w:r w:rsidR="00036529">
        <w:rPr>
          <w:lang w:val="en-US"/>
        </w:rPr>
        <w:t xml:space="preserve"> reasonable</w:t>
      </w:r>
      <w:r>
        <w:rPr>
          <w:lang w:val="en-US"/>
        </w:rPr>
        <w:t xml:space="preserve"> depression prevalence rates at a population level for age groups in all</w:t>
      </w:r>
      <w:r w:rsidR="00036529">
        <w:rPr>
          <w:lang w:val="en-US"/>
        </w:rPr>
        <w:t xml:space="preserve"> analyzed periods.</w:t>
      </w:r>
    </w:p>
    <w:p w:rsidR="00690B29" w:rsidRDefault="00690B29" w:rsidP="00690B29">
      <w:pPr>
        <w:spacing w:line="360" w:lineRule="auto"/>
        <w:ind w:firstLine="708"/>
        <w:jc w:val="both"/>
        <w:rPr>
          <w:lang w:val="en-US"/>
        </w:rPr>
      </w:pPr>
      <w:r>
        <w:rPr>
          <w:lang w:val="en-US"/>
        </w:rPr>
        <w:t xml:space="preserve">Thus, we end up with an overall of </w:t>
      </w:r>
      <w:r w:rsidR="00036529">
        <w:rPr>
          <w:lang w:val="en-US"/>
        </w:rPr>
        <w:t>432</w:t>
      </w:r>
      <w:r>
        <w:rPr>
          <w:lang w:val="en-US"/>
        </w:rPr>
        <w:t xml:space="preserve"> age-period interactions as a result of nine age groups, </w:t>
      </w:r>
      <w:r w:rsidR="007D6DF5">
        <w:rPr>
          <w:lang w:val="en-US"/>
        </w:rPr>
        <w:t xml:space="preserve">six countries and </w:t>
      </w:r>
      <w:r w:rsidR="00036529">
        <w:rPr>
          <w:lang w:val="en-US"/>
        </w:rPr>
        <w:t>four</w:t>
      </w:r>
      <w:r w:rsidR="007D6DF5">
        <w:rPr>
          <w:lang w:val="en-US"/>
        </w:rPr>
        <w:t xml:space="preserve"> periods,</w:t>
      </w:r>
      <w:r>
        <w:rPr>
          <w:lang w:val="en-US"/>
        </w:rPr>
        <w:t xml:space="preserve"> separately</w:t>
      </w:r>
      <w:r w:rsidR="007D6DF5">
        <w:rPr>
          <w:lang w:val="en-US"/>
        </w:rPr>
        <w:t xml:space="preserve"> by sex</w:t>
      </w:r>
      <w:r>
        <w:rPr>
          <w:lang w:val="en-US"/>
        </w:rPr>
        <w:t>. Given the particular coding inp</w:t>
      </w:r>
      <w:r w:rsidR="007D6DF5">
        <w:rPr>
          <w:lang w:val="en-US"/>
        </w:rPr>
        <w:t xml:space="preserve">ut necessary for the chosen APC </w:t>
      </w:r>
      <w:r>
        <w:rPr>
          <w:lang w:val="en-US"/>
        </w:rPr>
        <w:t>strategy, there is no need to previou</w:t>
      </w:r>
      <w:r w:rsidR="007D6DF5">
        <w:rPr>
          <w:lang w:val="en-US"/>
        </w:rPr>
        <w:t>sly adjust</w:t>
      </w:r>
      <w:r w:rsidR="00036529">
        <w:rPr>
          <w:lang w:val="en-US"/>
        </w:rPr>
        <w:t xml:space="preserve"> or smooth</w:t>
      </w:r>
      <w:r w:rsidR="007D6DF5">
        <w:rPr>
          <w:lang w:val="en-US"/>
        </w:rPr>
        <w:t xml:space="preserve"> exposures and counts.</w:t>
      </w:r>
    </w:p>
    <w:p w:rsidR="00690B29" w:rsidRDefault="00690B29" w:rsidP="00690B29">
      <w:pPr>
        <w:spacing w:line="360" w:lineRule="auto"/>
        <w:jc w:val="both"/>
        <w:rPr>
          <w:u w:val="single"/>
          <w:lang w:val="en-US"/>
        </w:rPr>
      </w:pPr>
    </w:p>
    <w:p w:rsidR="00690B29" w:rsidRPr="008A76FA" w:rsidRDefault="00690B29" w:rsidP="00690B29">
      <w:pPr>
        <w:spacing w:line="360" w:lineRule="auto"/>
        <w:jc w:val="both"/>
        <w:rPr>
          <w:u w:val="single"/>
          <w:lang w:val="en-US"/>
        </w:rPr>
      </w:pPr>
      <w:r>
        <w:rPr>
          <w:u w:val="single"/>
          <w:lang w:val="en-US"/>
        </w:rPr>
        <w:t>Analytical strategy:</w:t>
      </w:r>
    </w:p>
    <w:p w:rsidR="00690B29" w:rsidRDefault="00690B29" w:rsidP="00690B29">
      <w:pPr>
        <w:spacing w:line="360" w:lineRule="auto"/>
        <w:jc w:val="both"/>
        <w:rPr>
          <w:lang w:val="en-US"/>
        </w:rPr>
      </w:pPr>
      <w:r>
        <w:rPr>
          <w:lang w:val="en-US"/>
        </w:rPr>
        <w:tab/>
        <w:t xml:space="preserve"> </w:t>
      </w:r>
    </w:p>
    <w:p w:rsidR="007D6DF5" w:rsidRDefault="00690B29" w:rsidP="007D6DF5">
      <w:pPr>
        <w:spacing w:line="360" w:lineRule="auto"/>
        <w:ind w:firstLine="708"/>
        <w:jc w:val="both"/>
        <w:rPr>
          <w:lang w:val="en-US"/>
        </w:rPr>
      </w:pPr>
      <w:r>
        <w:rPr>
          <w:lang w:val="en-US"/>
        </w:rPr>
        <w:t>The approach for analysis involves, in first place, an exploratory phase involving the visualization of the standardized depression prevalence-rates across the selected European countries (using the total respondent population surveyed in the baseline 2004 wave as a s</w:t>
      </w:r>
      <w:r w:rsidR="00036529">
        <w:rPr>
          <w:lang w:val="en-US"/>
        </w:rPr>
        <w:t>tandard) in the 2004-16</w:t>
      </w:r>
      <w:r w:rsidR="007D6DF5">
        <w:rPr>
          <w:lang w:val="en-US"/>
        </w:rPr>
        <w:t xml:space="preserve"> period. </w:t>
      </w:r>
    </w:p>
    <w:p w:rsidR="00690B29" w:rsidRDefault="00C65F82" w:rsidP="00690B29">
      <w:pPr>
        <w:spacing w:line="360" w:lineRule="auto"/>
        <w:ind w:firstLine="708"/>
        <w:jc w:val="both"/>
        <w:rPr>
          <w:lang w:val="en-US"/>
        </w:rPr>
      </w:pPr>
      <w:r>
        <w:rPr>
          <w:lang w:val="en-US"/>
        </w:rPr>
        <w:t>Such rates are visualized w</w:t>
      </w:r>
      <w:r w:rsidR="00690B29">
        <w:rPr>
          <w:lang w:val="en-US"/>
        </w:rPr>
        <w:t>ith</w:t>
      </w:r>
      <w:r w:rsidR="007D6DF5">
        <w:rPr>
          <w:lang w:val="en-US"/>
        </w:rPr>
        <w:t xml:space="preserve"> the standard four plots indicated by Carstensen (2007)</w:t>
      </w:r>
      <w:r>
        <w:rPr>
          <w:lang w:val="en-US"/>
        </w:rPr>
        <w:t xml:space="preserve">: Age by </w:t>
      </w:r>
      <w:r w:rsidR="00690B29">
        <w:rPr>
          <w:lang w:val="en-US"/>
        </w:rPr>
        <w:t>Period</w:t>
      </w:r>
      <w:r>
        <w:rPr>
          <w:lang w:val="en-US"/>
        </w:rPr>
        <w:t>, Age by Cohort, Period by Age and Cohort by Age</w:t>
      </w:r>
      <w:r w:rsidR="00690B29">
        <w:rPr>
          <w:lang w:val="en-US"/>
        </w:rPr>
        <w:t xml:space="preserve"> plots. This is done to visualize how the three dimensions of age, period and cohort interact across countries for different survey waves. All of those fi</w:t>
      </w:r>
      <w:r>
        <w:rPr>
          <w:lang w:val="en-US"/>
        </w:rPr>
        <w:t>gures will be provided with assistance</w:t>
      </w:r>
      <w:r w:rsidR="00690B29">
        <w:rPr>
          <w:lang w:val="en-US"/>
        </w:rPr>
        <w:t xml:space="preserve"> of the ggplot2 package developed for</w:t>
      </w:r>
      <w:r>
        <w:rPr>
          <w:lang w:val="en-US"/>
        </w:rPr>
        <w:t xml:space="preserve"> the open code</w:t>
      </w:r>
      <w:r w:rsidR="00690B29">
        <w:rPr>
          <w:lang w:val="en-US"/>
        </w:rPr>
        <w:t xml:space="preserve"> R software (Wickham, 2016). </w:t>
      </w:r>
    </w:p>
    <w:p w:rsidR="00690B29" w:rsidRDefault="00690B29" w:rsidP="00690B29">
      <w:pPr>
        <w:spacing w:line="360" w:lineRule="auto"/>
        <w:ind w:firstLine="708"/>
        <w:jc w:val="both"/>
        <w:rPr>
          <w:lang w:val="en-US"/>
        </w:rPr>
      </w:pPr>
      <w:r>
        <w:rPr>
          <w:lang w:val="en-US"/>
        </w:rPr>
        <w:lastRenderedPageBreak/>
        <w:t>APC statistical models have the potential to identify trends over the three dimensions of age, period (in years) and cohorts (year of birth, usually). It is known that such approach comes with some limitations, particularly the linear identification problem that involves the impossibility of separating the Age, Period and Cohort effects from a mathematical point of view (</w:t>
      </w:r>
      <w:r w:rsidR="00C65F82">
        <w:rPr>
          <w:lang w:val="en-US"/>
        </w:rPr>
        <w:t xml:space="preserve">Holford, 1992; </w:t>
      </w:r>
      <w:r>
        <w:rPr>
          <w:lang w:val="en-US"/>
        </w:rPr>
        <w:t xml:space="preserve">Acosta and Van </w:t>
      </w:r>
      <w:proofErr w:type="spellStart"/>
      <w:r>
        <w:rPr>
          <w:lang w:val="en-US"/>
        </w:rPr>
        <w:t>Raalte</w:t>
      </w:r>
      <w:proofErr w:type="spellEnd"/>
      <w:r>
        <w:rPr>
          <w:lang w:val="en-US"/>
        </w:rPr>
        <w:t>, 2019; Bell, 2014; Carstensen, 2007;</w:t>
      </w:r>
      <w:r w:rsidR="00B86D54">
        <w:rPr>
          <w:lang w:val="en-US"/>
        </w:rPr>
        <w:t xml:space="preserve"> Nielsen and Nielsen, 2014;</w:t>
      </w:r>
      <w:r>
        <w:rPr>
          <w:lang w:val="en-US"/>
        </w:rPr>
        <w:t xml:space="preserve"> Yang and Land, 2013). Such impossibility is based on the perfect collinearity of the three elements, due to the fact that mathematically A=P-C. As a result, a series of possible approaches to deal with the linear identification problem have been developed. An overview of some of the most commonly used statistical methods is provided in Yang and Land (2013) and comments about alternative graphical methods can be found in Acosta and van </w:t>
      </w:r>
      <w:proofErr w:type="spellStart"/>
      <w:r>
        <w:rPr>
          <w:lang w:val="en-US"/>
        </w:rPr>
        <w:t>Raalte</w:t>
      </w:r>
      <w:proofErr w:type="spellEnd"/>
      <w:r>
        <w:rPr>
          <w:lang w:val="en-US"/>
        </w:rPr>
        <w:t xml:space="preserve"> (2019).</w:t>
      </w:r>
    </w:p>
    <w:p w:rsidR="000B466D" w:rsidRDefault="00690B29" w:rsidP="00BC7951">
      <w:pPr>
        <w:spacing w:line="360" w:lineRule="auto"/>
        <w:ind w:firstLine="708"/>
        <w:jc w:val="both"/>
        <w:rPr>
          <w:lang w:val="en-US"/>
        </w:rPr>
      </w:pPr>
      <w:r>
        <w:rPr>
          <w:lang w:val="en-US"/>
        </w:rPr>
        <w:t xml:space="preserve">In this case, we will take advantage of the approach that was suggested by Carstensen (2007), by using natural cubic splines to visualize the Age, Period and Cohort effects. In such approach, the dimensions of age, period and cohort are treated as continuous variables that follow a Poisson distribution (and as a result, are expressed in log </w:t>
      </w:r>
      <w:r w:rsidR="000B466D">
        <w:rPr>
          <w:lang w:val="en-US"/>
        </w:rPr>
        <w:t>values</w:t>
      </w:r>
      <w:r>
        <w:rPr>
          <w:lang w:val="en-US"/>
        </w:rPr>
        <w:t>)</w:t>
      </w:r>
      <w:r w:rsidR="00C65F82">
        <w:rPr>
          <w:lang w:val="en-US"/>
        </w:rPr>
        <w:t xml:space="preserve">, that are graphically expressed in linear and </w:t>
      </w:r>
      <w:proofErr w:type="spellStart"/>
      <w:proofErr w:type="gramStart"/>
      <w:r w:rsidR="00C65F82">
        <w:rPr>
          <w:lang w:val="en-US"/>
        </w:rPr>
        <w:t>non linear</w:t>
      </w:r>
      <w:proofErr w:type="spellEnd"/>
      <w:proofErr w:type="gramEnd"/>
      <w:r w:rsidR="00C65F82">
        <w:rPr>
          <w:lang w:val="en-US"/>
        </w:rPr>
        <w:t xml:space="preserve"> (2</w:t>
      </w:r>
      <w:r w:rsidR="00C65F82" w:rsidRPr="00C65F82">
        <w:rPr>
          <w:vertAlign w:val="superscript"/>
          <w:lang w:val="en-US"/>
        </w:rPr>
        <w:t>nd</w:t>
      </w:r>
      <w:r w:rsidR="00C65F82">
        <w:rPr>
          <w:lang w:val="en-US"/>
        </w:rPr>
        <w:t xml:space="preserve"> order) effects</w:t>
      </w:r>
      <w:r w:rsidR="000B466D">
        <w:rPr>
          <w:lang w:val="en-US"/>
        </w:rPr>
        <w:t xml:space="preserve">. </w:t>
      </w:r>
    </w:p>
    <w:p w:rsidR="00BC7951" w:rsidRDefault="00C65F82" w:rsidP="00690B29">
      <w:pPr>
        <w:spacing w:line="360" w:lineRule="auto"/>
        <w:ind w:firstLine="708"/>
        <w:jc w:val="both"/>
        <w:rPr>
          <w:lang w:val="en-US"/>
        </w:rPr>
      </w:pPr>
      <w:r>
        <w:rPr>
          <w:lang w:val="en-US"/>
        </w:rPr>
        <w:t xml:space="preserve">In </w:t>
      </w:r>
      <w:proofErr w:type="gramStart"/>
      <w:r>
        <w:rPr>
          <w:lang w:val="en-US"/>
        </w:rPr>
        <w:t>this visualizations</w:t>
      </w:r>
      <w:proofErr w:type="gramEnd"/>
      <w:r>
        <w:rPr>
          <w:lang w:val="en-US"/>
        </w:rPr>
        <w:t>, t</w:t>
      </w:r>
      <w:r w:rsidR="00690B29">
        <w:rPr>
          <w:lang w:val="en-US"/>
        </w:rPr>
        <w:t>here is one dimension expressed in terms of log rates (conventionally it is age, because it usually tends to be the strongest dimension to explain variation of a cer</w:t>
      </w:r>
      <w:r w:rsidR="00807A32">
        <w:rPr>
          <w:lang w:val="en-US"/>
        </w:rPr>
        <w:t>1</w:t>
      </w:r>
      <w:r w:rsidR="00690B29">
        <w:rPr>
          <w:lang w:val="en-US"/>
        </w:rPr>
        <w:t>tain phenomenon</w:t>
      </w:r>
      <w:r>
        <w:rPr>
          <w:lang w:val="en-US"/>
        </w:rPr>
        <w:t>)</w:t>
      </w:r>
      <w:r w:rsidR="000B466D">
        <w:rPr>
          <w:lang w:val="en-US"/>
        </w:rPr>
        <w:t>.  T</w:t>
      </w:r>
      <w:r w:rsidR="00690B29">
        <w:rPr>
          <w:lang w:val="en-US"/>
        </w:rPr>
        <w:t>he second</w:t>
      </w:r>
      <w:r w:rsidR="000B466D">
        <w:rPr>
          <w:lang w:val="en-US"/>
        </w:rPr>
        <w:t xml:space="preserve"> dimension, in this case cohort, </w:t>
      </w:r>
      <w:r w:rsidR="00BC7951">
        <w:rPr>
          <w:lang w:val="en-US"/>
        </w:rPr>
        <w:t>carries</w:t>
      </w:r>
      <w:r>
        <w:rPr>
          <w:lang w:val="en-US"/>
        </w:rPr>
        <w:t xml:space="preserve"> both</w:t>
      </w:r>
      <w:r w:rsidR="00BC7951">
        <w:rPr>
          <w:lang w:val="en-US"/>
        </w:rPr>
        <w:t xml:space="preserve"> the</w:t>
      </w:r>
      <w:r>
        <w:rPr>
          <w:lang w:val="en-US"/>
        </w:rPr>
        <w:t xml:space="preserve"> non-linear</w:t>
      </w:r>
      <w:r w:rsidR="00FC5C14">
        <w:rPr>
          <w:lang w:val="en-US"/>
        </w:rPr>
        <w:t xml:space="preserve"> log-relative risk to an arbitrary reference cohort </w:t>
      </w:r>
      <w:r>
        <w:rPr>
          <w:lang w:val="en-US"/>
        </w:rPr>
        <w:t>(whose value is constrained to be 0)</w:t>
      </w:r>
      <w:r w:rsidR="00BC7951">
        <w:rPr>
          <w:lang w:val="en-US"/>
        </w:rPr>
        <w:t xml:space="preserve"> and the log-linear trend</w:t>
      </w:r>
      <w:r w:rsidR="00690B29">
        <w:rPr>
          <w:lang w:val="en-US"/>
        </w:rPr>
        <w:t xml:space="preserve"> </w:t>
      </w:r>
      <w:r w:rsidR="00BC7951">
        <w:rPr>
          <w:lang w:val="en-US"/>
        </w:rPr>
        <w:t>(also known as drift)</w:t>
      </w:r>
      <w:r>
        <w:rPr>
          <w:lang w:val="en-US"/>
        </w:rPr>
        <w:t xml:space="preserve"> as well</w:t>
      </w:r>
      <w:r w:rsidR="00BC7951">
        <w:rPr>
          <w:lang w:val="en-US"/>
        </w:rPr>
        <w:t>. T</w:t>
      </w:r>
      <w:r w:rsidR="00690B29">
        <w:rPr>
          <w:lang w:val="en-US"/>
        </w:rPr>
        <w:t>he third dimension</w:t>
      </w:r>
      <w:r w:rsidR="00BC7951">
        <w:rPr>
          <w:lang w:val="en-US"/>
        </w:rPr>
        <w:t>, in this case period,</w:t>
      </w:r>
      <w:r w:rsidR="00690B29">
        <w:rPr>
          <w:lang w:val="en-US"/>
        </w:rPr>
        <w:t xml:space="preserve"> is expressed as the interaction of the remaini</w:t>
      </w:r>
      <w:r w:rsidR="00FC5C14">
        <w:rPr>
          <w:lang w:val="en-US"/>
        </w:rPr>
        <w:t>ng two, in rate-ratio residuals, and is constrained to have 0 slope on average and the function average is equal to 0 as well.</w:t>
      </w:r>
    </w:p>
    <w:p w:rsidR="00BC7951" w:rsidRDefault="00BC7951" w:rsidP="00BC7951">
      <w:pPr>
        <w:spacing w:line="360" w:lineRule="auto"/>
        <w:ind w:firstLine="708"/>
        <w:jc w:val="both"/>
        <w:rPr>
          <w:lang w:val="en-US"/>
        </w:rPr>
      </w:pPr>
      <w:r>
        <w:rPr>
          <w:lang w:val="en-US"/>
        </w:rPr>
        <w:t xml:space="preserve">The APC effects are treated as non-linear functions of </w:t>
      </w:r>
      <w:r w:rsidRPr="000B466D">
        <w:rPr>
          <w:rStyle w:val="nfasis"/>
          <w:color w:val="000000"/>
          <w:shd w:val="clear" w:color="auto" w:fill="FFFFFF"/>
          <w:lang w:val="en-US"/>
        </w:rPr>
        <w:t>f(a)</w:t>
      </w:r>
      <w:r w:rsidRPr="000B466D">
        <w:rPr>
          <w:color w:val="000000"/>
          <w:shd w:val="clear" w:color="auto" w:fill="FFFFFF"/>
          <w:lang w:val="en-US"/>
        </w:rPr>
        <w:t>, </w:t>
      </w:r>
      <w:r w:rsidRPr="000B466D">
        <w:rPr>
          <w:rStyle w:val="nfasis"/>
          <w:color w:val="000000"/>
          <w:shd w:val="clear" w:color="auto" w:fill="FFFFFF"/>
          <w:lang w:val="en-US"/>
        </w:rPr>
        <w:t>h(c)</w:t>
      </w:r>
      <w:r w:rsidRPr="000B466D">
        <w:rPr>
          <w:color w:val="000000"/>
          <w:shd w:val="clear" w:color="auto" w:fill="FFFFFF"/>
          <w:lang w:val="en-US"/>
        </w:rPr>
        <w:t>, and </w:t>
      </w:r>
      <w:r w:rsidRPr="000B466D">
        <w:rPr>
          <w:rStyle w:val="nfasis"/>
          <w:color w:val="000000"/>
          <w:shd w:val="clear" w:color="auto" w:fill="FFFFFF"/>
          <w:lang w:val="en-US"/>
        </w:rPr>
        <w:t>g(p)</w:t>
      </w:r>
      <w:r w:rsidR="00FC5C14">
        <w:rPr>
          <w:rStyle w:val="nfasis"/>
          <w:i w:val="0"/>
          <w:color w:val="000000"/>
          <w:shd w:val="clear" w:color="auto" w:fill="FFFFFF"/>
          <w:lang w:val="en-US"/>
        </w:rPr>
        <w:t>, along with the mentioned linear drift</w:t>
      </w:r>
      <w:r w:rsidRPr="000B466D">
        <w:rPr>
          <w:color w:val="000000"/>
          <w:shd w:val="clear" w:color="auto" w:fill="FFFFFF"/>
          <w:lang w:val="en-US"/>
        </w:rPr>
        <w:t xml:space="preserve">. </w:t>
      </w:r>
      <w:r>
        <w:rPr>
          <w:lang w:val="en-US"/>
        </w:rPr>
        <w:t xml:space="preserve"> In this case, the log-linear APC model for depression prevalence d at age </w:t>
      </w:r>
      <w:proofErr w:type="spellStart"/>
      <w:r>
        <w:rPr>
          <w:lang w:val="en-US"/>
        </w:rPr>
        <w:t>a</w:t>
      </w:r>
      <w:proofErr w:type="spellEnd"/>
      <w:r>
        <w:rPr>
          <w:lang w:val="en-US"/>
        </w:rPr>
        <w:t xml:space="preserve"> in period p for individuals with birth cohort c=p-a could be expressed as</w:t>
      </w:r>
      <w:r w:rsidR="00325A80">
        <w:rPr>
          <w:lang w:val="en-US"/>
        </w:rPr>
        <w:t xml:space="preserve">: </w:t>
      </w:r>
    </w:p>
    <w:p w:rsidR="00BC7951" w:rsidRPr="000B466D" w:rsidRDefault="00BC7951" w:rsidP="00BC7951">
      <w:pPr>
        <w:shd w:val="clear" w:color="auto" w:fill="FFFFFF"/>
        <w:suppressAutoHyphens w:val="0"/>
        <w:jc w:val="center"/>
        <w:textAlignment w:val="center"/>
        <w:rPr>
          <w:color w:val="000000"/>
          <w:lang w:val="en-US" w:eastAsia="en-US"/>
        </w:rPr>
      </w:pPr>
      <w:proofErr w:type="gramStart"/>
      <w:r w:rsidRPr="000B466D">
        <w:rPr>
          <w:color w:val="000000"/>
          <w:lang w:val="en-US" w:eastAsia="en-US"/>
        </w:rPr>
        <w:t>ln(</w:t>
      </w:r>
      <w:proofErr w:type="gramEnd"/>
      <w:r w:rsidRPr="00BC7951">
        <w:rPr>
          <w:i/>
          <w:iCs/>
          <w:color w:val="000000"/>
          <w:lang w:val="en-US" w:eastAsia="en-US"/>
        </w:rPr>
        <w:t>d</w:t>
      </w:r>
      <w:r w:rsidRPr="000B466D">
        <w:rPr>
          <w:color w:val="000000"/>
          <w:lang w:val="en-US" w:eastAsia="en-US"/>
        </w:rPr>
        <w:t>(</w:t>
      </w:r>
      <w:r w:rsidRPr="00BC7951">
        <w:rPr>
          <w:i/>
          <w:iCs/>
          <w:color w:val="000000"/>
          <w:lang w:val="en-US" w:eastAsia="en-US"/>
        </w:rPr>
        <w:t>a</w:t>
      </w:r>
      <w:r w:rsidRPr="000B466D">
        <w:rPr>
          <w:color w:val="000000"/>
          <w:lang w:val="en-US" w:eastAsia="en-US"/>
        </w:rPr>
        <w:t>, </w:t>
      </w:r>
      <w:r w:rsidRPr="00BC7951">
        <w:rPr>
          <w:i/>
          <w:iCs/>
          <w:color w:val="000000"/>
          <w:lang w:val="en-US" w:eastAsia="en-US"/>
        </w:rPr>
        <w:t>p</w:t>
      </w:r>
      <w:r w:rsidRPr="000B466D">
        <w:rPr>
          <w:color w:val="000000"/>
          <w:lang w:val="en-US" w:eastAsia="en-US"/>
        </w:rPr>
        <w:t>)) = </w:t>
      </w:r>
      <w:proofErr w:type="spellStart"/>
      <w:r w:rsidRPr="00BC7951">
        <w:rPr>
          <w:i/>
          <w:iCs/>
          <w:color w:val="000000"/>
          <w:lang w:val="en-US" w:eastAsia="en-US"/>
        </w:rPr>
        <w:t>r</w:t>
      </w:r>
      <w:r w:rsidRPr="00BC7951">
        <w:rPr>
          <w:i/>
          <w:iCs/>
          <w:color w:val="000000"/>
          <w:vertAlign w:val="subscript"/>
          <w:lang w:val="en-US" w:eastAsia="en-US"/>
        </w:rPr>
        <w:t>co</w:t>
      </w:r>
      <w:proofErr w:type="spellEnd"/>
      <w:r w:rsidRPr="000B466D">
        <w:rPr>
          <w:color w:val="000000"/>
          <w:lang w:val="en-US" w:eastAsia="en-US"/>
        </w:rPr>
        <w:t>(</w:t>
      </w:r>
      <w:r w:rsidRPr="00BC7951">
        <w:rPr>
          <w:i/>
          <w:iCs/>
          <w:color w:val="000000"/>
          <w:lang w:val="en-US" w:eastAsia="en-US"/>
        </w:rPr>
        <w:t>a</w:t>
      </w:r>
      <w:r w:rsidRPr="000B466D">
        <w:rPr>
          <w:color w:val="000000"/>
          <w:lang w:val="en-US" w:eastAsia="en-US"/>
        </w:rPr>
        <w:t>) + </w:t>
      </w:r>
      <w:r w:rsidRPr="00BC7951">
        <w:rPr>
          <w:i/>
          <w:iCs/>
          <w:color w:val="000000"/>
          <w:lang w:val="en-US" w:eastAsia="en-US"/>
        </w:rPr>
        <w:t>δ</w:t>
      </w:r>
      <w:r w:rsidRPr="000B466D">
        <w:rPr>
          <w:color w:val="000000"/>
          <w:lang w:val="en-US" w:eastAsia="en-US"/>
        </w:rPr>
        <w:t>(</w:t>
      </w:r>
      <w:r w:rsidRPr="00BC7951">
        <w:rPr>
          <w:i/>
          <w:iCs/>
          <w:color w:val="000000"/>
          <w:lang w:val="en-US" w:eastAsia="en-US"/>
        </w:rPr>
        <w:t>c</w:t>
      </w:r>
      <w:r w:rsidRPr="000B466D">
        <w:rPr>
          <w:color w:val="000000"/>
          <w:lang w:val="en-US" w:eastAsia="en-US"/>
        </w:rPr>
        <w:t> - </w:t>
      </w:r>
      <w:r w:rsidRPr="00BC7951">
        <w:rPr>
          <w:i/>
          <w:iCs/>
          <w:color w:val="000000"/>
          <w:lang w:val="en-US" w:eastAsia="en-US"/>
        </w:rPr>
        <w:t>c</w:t>
      </w:r>
      <w:r w:rsidRPr="000B466D">
        <w:rPr>
          <w:color w:val="000000"/>
          <w:vertAlign w:val="subscript"/>
          <w:lang w:val="en-US" w:eastAsia="en-US"/>
        </w:rPr>
        <w:t>0</w:t>
      </w:r>
      <w:r w:rsidRPr="000B466D">
        <w:rPr>
          <w:color w:val="000000"/>
          <w:lang w:val="en-US" w:eastAsia="en-US"/>
        </w:rPr>
        <w:t>) + </w:t>
      </w:r>
      <w:r w:rsidRPr="00BC7951">
        <w:rPr>
          <w:i/>
          <w:iCs/>
          <w:color w:val="000000"/>
          <w:lang w:val="en-US" w:eastAsia="en-US"/>
        </w:rPr>
        <w:t>g</w:t>
      </w:r>
      <w:r w:rsidRPr="000B466D">
        <w:rPr>
          <w:color w:val="000000"/>
          <w:lang w:val="en-US" w:eastAsia="en-US"/>
        </w:rPr>
        <w:t>(</w:t>
      </w:r>
      <w:r w:rsidRPr="00BC7951">
        <w:rPr>
          <w:i/>
          <w:iCs/>
          <w:color w:val="000000"/>
          <w:lang w:val="en-US" w:eastAsia="en-US"/>
        </w:rPr>
        <w:t>p</w:t>
      </w:r>
      <w:r w:rsidRPr="000B466D">
        <w:rPr>
          <w:color w:val="000000"/>
          <w:lang w:val="en-US" w:eastAsia="en-US"/>
        </w:rPr>
        <w:t>) + </w:t>
      </w:r>
      <w:r w:rsidRPr="00BC7951">
        <w:rPr>
          <w:i/>
          <w:iCs/>
          <w:color w:val="000000"/>
          <w:lang w:val="en-US" w:eastAsia="en-US"/>
        </w:rPr>
        <w:t>h</w:t>
      </w:r>
      <w:r w:rsidRPr="000B466D">
        <w:rPr>
          <w:color w:val="000000"/>
          <w:lang w:val="en-US" w:eastAsia="en-US"/>
        </w:rPr>
        <w:t>(</w:t>
      </w:r>
      <w:r w:rsidRPr="00BC7951">
        <w:rPr>
          <w:i/>
          <w:iCs/>
          <w:color w:val="000000"/>
          <w:lang w:val="en-US" w:eastAsia="en-US"/>
        </w:rPr>
        <w:t>c</w:t>
      </w:r>
      <w:r w:rsidRPr="000B466D">
        <w:rPr>
          <w:color w:val="000000"/>
          <w:lang w:val="en-US" w:eastAsia="en-US"/>
        </w:rPr>
        <w:t>)</w:t>
      </w:r>
    </w:p>
    <w:p w:rsidR="00BC7951" w:rsidRPr="000B466D" w:rsidRDefault="00325A80" w:rsidP="00325A80">
      <w:pPr>
        <w:shd w:val="clear" w:color="auto" w:fill="FFFFFF"/>
        <w:suppressAutoHyphens w:val="0"/>
        <w:spacing w:before="166" w:after="166" w:line="360" w:lineRule="auto"/>
        <w:rPr>
          <w:color w:val="000000"/>
          <w:lang w:val="en-US" w:eastAsia="en-US"/>
        </w:rPr>
      </w:pPr>
      <w:r>
        <w:rPr>
          <w:color w:val="000000"/>
          <w:lang w:val="en-US" w:eastAsia="en-US"/>
        </w:rPr>
        <w:t>W</w:t>
      </w:r>
      <w:r w:rsidR="00BC7951" w:rsidRPr="000B466D">
        <w:rPr>
          <w:color w:val="000000"/>
          <w:lang w:val="en-US" w:eastAsia="en-US"/>
        </w:rPr>
        <w:t>here </w:t>
      </w:r>
      <w:proofErr w:type="spellStart"/>
      <w:r w:rsidR="00BC7951" w:rsidRPr="00BC7951">
        <w:rPr>
          <w:i/>
          <w:iCs/>
          <w:color w:val="000000"/>
          <w:lang w:val="en-US" w:eastAsia="en-US"/>
        </w:rPr>
        <w:t>r</w:t>
      </w:r>
      <w:r w:rsidR="00BC7951" w:rsidRPr="00BC7951">
        <w:rPr>
          <w:i/>
          <w:iCs/>
          <w:color w:val="000000"/>
          <w:vertAlign w:val="subscript"/>
          <w:lang w:val="en-US" w:eastAsia="en-US"/>
        </w:rPr>
        <w:t>co</w:t>
      </w:r>
      <w:proofErr w:type="spellEnd"/>
      <w:r w:rsidR="00BC7951" w:rsidRPr="00BC7951">
        <w:rPr>
          <w:i/>
          <w:iCs/>
          <w:color w:val="000000"/>
          <w:lang w:val="en-US" w:eastAsia="en-US"/>
        </w:rPr>
        <w:t>(a)</w:t>
      </w:r>
      <w:r w:rsidR="00BC7951" w:rsidRPr="000B466D">
        <w:rPr>
          <w:color w:val="000000"/>
          <w:lang w:val="en-US" w:eastAsia="en-US"/>
        </w:rPr>
        <w:t> are the age-specific</w:t>
      </w:r>
      <w:r w:rsidR="00BC7951" w:rsidRPr="00BC7951">
        <w:rPr>
          <w:color w:val="000000"/>
          <w:lang w:val="en-US" w:eastAsia="en-US"/>
        </w:rPr>
        <w:t xml:space="preserve"> prevalence</w:t>
      </w:r>
      <w:r w:rsidR="00BC7951" w:rsidRPr="000B466D">
        <w:rPr>
          <w:color w:val="000000"/>
          <w:lang w:val="en-US" w:eastAsia="en-US"/>
        </w:rPr>
        <w:t xml:space="preserve"> rates in the reference cohort </w:t>
      </w:r>
      <w:r w:rsidR="00BC7951" w:rsidRPr="00BC7951">
        <w:rPr>
          <w:i/>
          <w:iCs/>
          <w:color w:val="000000"/>
          <w:lang w:val="en-US" w:eastAsia="en-US"/>
        </w:rPr>
        <w:t>c</w:t>
      </w:r>
      <w:r w:rsidR="00BC7951" w:rsidRPr="00BC7951">
        <w:rPr>
          <w:i/>
          <w:iCs/>
          <w:color w:val="000000"/>
          <w:vertAlign w:val="subscript"/>
          <w:lang w:val="en-US" w:eastAsia="en-US"/>
        </w:rPr>
        <w:t>0</w:t>
      </w:r>
      <w:r w:rsidR="00BC7951" w:rsidRPr="00BC7951">
        <w:rPr>
          <w:color w:val="000000"/>
          <w:lang w:val="en-US" w:eastAsia="en-US"/>
        </w:rPr>
        <w:t>=1943</w:t>
      </w:r>
      <w:r w:rsidR="00BC7951" w:rsidRPr="000B466D">
        <w:rPr>
          <w:color w:val="000000"/>
          <w:lang w:val="en-US" w:eastAsia="en-US"/>
        </w:rPr>
        <w:t xml:space="preserve"> (</w:t>
      </w:r>
      <w:r w:rsidR="00BC7951" w:rsidRPr="00BC7951">
        <w:rPr>
          <w:color w:val="000000"/>
          <w:lang w:val="en-US" w:eastAsia="en-US"/>
        </w:rPr>
        <w:t xml:space="preserve">chosen as a </w:t>
      </w:r>
      <w:r w:rsidR="00BC7951" w:rsidRPr="000B466D">
        <w:rPr>
          <w:color w:val="000000"/>
          <w:lang w:val="en-US" w:eastAsia="en-US"/>
        </w:rPr>
        <w:t>mid-point of the</w:t>
      </w:r>
      <w:r w:rsidR="00BC7951">
        <w:rPr>
          <w:color w:val="000000"/>
          <w:lang w:val="en-US" w:eastAsia="en-US"/>
        </w:rPr>
        <w:t xml:space="preserve"> cohorts); δ represents the slope of the drift</w:t>
      </w:r>
      <w:r w:rsidR="00BC7951" w:rsidRPr="000B466D">
        <w:rPr>
          <w:color w:val="000000"/>
          <w:lang w:val="en-US" w:eastAsia="en-US"/>
        </w:rPr>
        <w:t>; </w:t>
      </w:r>
      <w:r w:rsidR="00BC7951" w:rsidRPr="00BC7951">
        <w:rPr>
          <w:i/>
          <w:iCs/>
          <w:color w:val="000000"/>
          <w:lang w:val="en-US" w:eastAsia="en-US"/>
        </w:rPr>
        <w:t>h(c)</w:t>
      </w:r>
      <w:r w:rsidR="00BC7951" w:rsidRPr="000B466D">
        <w:rPr>
          <w:color w:val="000000"/>
          <w:lang w:val="en-US" w:eastAsia="en-US"/>
        </w:rPr>
        <w:t> is the cohort function,</w:t>
      </w:r>
      <w:r w:rsidR="00BC7951" w:rsidRPr="00BC7951">
        <w:rPr>
          <w:color w:val="000000"/>
          <w:lang w:val="en-US" w:eastAsia="en-US"/>
        </w:rPr>
        <w:t xml:space="preserve"> that can be</w:t>
      </w:r>
      <w:r w:rsidR="00BC7951" w:rsidRPr="000B466D">
        <w:rPr>
          <w:color w:val="000000"/>
          <w:lang w:val="en-US" w:eastAsia="en-US"/>
        </w:rPr>
        <w:t xml:space="preserve"> interpretable as</w:t>
      </w:r>
      <w:r w:rsidR="00BC7951" w:rsidRPr="00BC7951">
        <w:rPr>
          <w:color w:val="000000"/>
          <w:lang w:val="en-US" w:eastAsia="en-US"/>
        </w:rPr>
        <w:t xml:space="preserve"> the</w:t>
      </w:r>
      <w:r w:rsidR="00BC7951" w:rsidRPr="000B466D">
        <w:rPr>
          <w:color w:val="000000"/>
          <w:lang w:val="en-US" w:eastAsia="en-US"/>
        </w:rPr>
        <w:t xml:space="preserve"> log relative risk to cohort</w:t>
      </w:r>
      <w:r w:rsidR="00BC7951" w:rsidRPr="00BC7951">
        <w:rPr>
          <w:color w:val="000000"/>
          <w:lang w:val="en-US" w:eastAsia="en-US"/>
        </w:rPr>
        <w:t xml:space="preserve"> of reference</w:t>
      </w:r>
      <w:r w:rsidR="00BC7951" w:rsidRPr="000B466D">
        <w:rPr>
          <w:color w:val="000000"/>
          <w:lang w:val="en-US" w:eastAsia="en-US"/>
        </w:rPr>
        <w:t> </w:t>
      </w:r>
      <w:r w:rsidR="00BC7951" w:rsidRPr="00BC7951">
        <w:rPr>
          <w:i/>
          <w:iCs/>
          <w:color w:val="000000"/>
          <w:lang w:val="en-US" w:eastAsia="en-US"/>
        </w:rPr>
        <w:t>c</w:t>
      </w:r>
      <w:r w:rsidR="00BC7951" w:rsidRPr="00BC7951">
        <w:rPr>
          <w:i/>
          <w:iCs/>
          <w:color w:val="000000"/>
          <w:vertAlign w:val="subscript"/>
          <w:lang w:val="en-US" w:eastAsia="en-US"/>
        </w:rPr>
        <w:t>0</w:t>
      </w:r>
      <w:r w:rsidR="00BC7951" w:rsidRPr="000B466D">
        <w:rPr>
          <w:color w:val="000000"/>
          <w:lang w:val="en-US" w:eastAsia="en-US"/>
        </w:rPr>
        <w:t>, and </w:t>
      </w:r>
      <w:r w:rsidR="00BC7951" w:rsidRPr="00BC7951">
        <w:rPr>
          <w:i/>
          <w:iCs/>
          <w:color w:val="000000"/>
          <w:lang w:val="en-US" w:eastAsia="en-US"/>
        </w:rPr>
        <w:t>g(p)</w:t>
      </w:r>
      <w:r w:rsidR="00BC7951" w:rsidRPr="000B466D">
        <w:rPr>
          <w:color w:val="000000"/>
          <w:lang w:val="en-US" w:eastAsia="en-US"/>
        </w:rPr>
        <w:t> is the</w:t>
      </w:r>
      <w:r w:rsidR="00BC7951" w:rsidRPr="00BC7951">
        <w:rPr>
          <w:color w:val="000000"/>
          <w:lang w:val="en-US" w:eastAsia="en-US"/>
        </w:rPr>
        <w:t xml:space="preserve"> remaining</w:t>
      </w:r>
      <w:r w:rsidR="00BC7951" w:rsidRPr="000B466D">
        <w:rPr>
          <w:color w:val="000000"/>
          <w:lang w:val="en-US" w:eastAsia="en-US"/>
        </w:rPr>
        <w:t xml:space="preserve"> period function.</w:t>
      </w:r>
    </w:p>
    <w:p w:rsidR="00690B29" w:rsidRDefault="00690B29" w:rsidP="00690B29">
      <w:pPr>
        <w:spacing w:line="360" w:lineRule="auto"/>
        <w:ind w:firstLine="708"/>
        <w:jc w:val="both"/>
        <w:rPr>
          <w:lang w:val="en-US"/>
        </w:rPr>
      </w:pPr>
      <w:r>
        <w:rPr>
          <w:lang w:val="en-US"/>
        </w:rPr>
        <w:lastRenderedPageBreak/>
        <w:t xml:space="preserve"> The “</w:t>
      </w:r>
      <w:r w:rsidRPr="004C4FE0">
        <w:rPr>
          <w:i/>
          <w:lang w:val="en-US"/>
        </w:rPr>
        <w:t>Epi</w:t>
      </w:r>
      <w:r>
        <w:rPr>
          <w:i/>
          <w:lang w:val="en-US"/>
        </w:rPr>
        <w:t>”</w:t>
      </w:r>
      <w:r w:rsidRPr="004C4FE0">
        <w:rPr>
          <w:i/>
          <w:lang w:val="en-US"/>
        </w:rPr>
        <w:t xml:space="preserve"> </w:t>
      </w:r>
      <w:r>
        <w:rPr>
          <w:lang w:val="en-US"/>
        </w:rPr>
        <w:t xml:space="preserve">package was developed in R software (Carstensen et al., 2019) to, analyze APC trends (among many other possible uses) and we will use it to visualize the effects of each separate dimension of Age, Cohort and Period for the selected countries. The Carstensen natural splines approach provides the researcher an easy interpretation of the different separate effects of age, period and cohort in a simple fashion. </w:t>
      </w:r>
    </w:p>
    <w:p w:rsidR="00690B29" w:rsidRDefault="00690B29" w:rsidP="00690B29">
      <w:pPr>
        <w:spacing w:line="360" w:lineRule="auto"/>
        <w:ind w:firstLine="708"/>
        <w:jc w:val="both"/>
        <w:rPr>
          <w:lang w:val="en-US"/>
        </w:rPr>
      </w:pPr>
      <w:r>
        <w:rPr>
          <w:lang w:val="en-US"/>
        </w:rPr>
        <w:t xml:space="preserve">It has to be mentioned that since the </w:t>
      </w:r>
      <w:r w:rsidR="00036529">
        <w:rPr>
          <w:lang w:val="en-US"/>
        </w:rPr>
        <w:t>available data for this study was</w:t>
      </w:r>
      <w:r>
        <w:rPr>
          <w:lang w:val="en-US"/>
        </w:rPr>
        <w:t xml:space="preserve"> not presented in equal age and period timespans</w:t>
      </w:r>
      <w:r w:rsidR="00036529">
        <w:rPr>
          <w:lang w:val="en-US"/>
        </w:rPr>
        <w:t xml:space="preserve"> (if we opted to use waves 1 to 7 separately)</w:t>
      </w:r>
      <w:r>
        <w:rPr>
          <w:lang w:val="en-US"/>
        </w:rPr>
        <w:t>, there is no linear dependency in principle. Thus, a straightforward factor model for each of the three dimensions could work and provide a solution, but the results in such a model would be biased, and most importantly, the source of bias would be unknown, which is obviously problematic. While the detrended cubic splines solution</w:t>
      </w:r>
      <w:r w:rsidR="00036529">
        <w:rPr>
          <w:lang w:val="en-US"/>
        </w:rPr>
        <w:t xml:space="preserve"> and the chosen analytical strategy for the data </w:t>
      </w:r>
      <w:r>
        <w:rPr>
          <w:lang w:val="en-US"/>
        </w:rPr>
        <w:t>brings the linear dependency issue back into question (because it considers all the three dim</w:t>
      </w:r>
      <w:r w:rsidR="00036529">
        <w:rPr>
          <w:lang w:val="en-US"/>
        </w:rPr>
        <w:t>ensions as continuous variables</w:t>
      </w:r>
      <w:r>
        <w:rPr>
          <w:lang w:val="en-US"/>
        </w:rPr>
        <w:t xml:space="preserve">), it also allows the researcher to have more control and knowledge of the potential results of the analysis. Furthermore, as mentioned by Acosta and van </w:t>
      </w:r>
      <w:proofErr w:type="spellStart"/>
      <w:r>
        <w:rPr>
          <w:lang w:val="en-US"/>
        </w:rPr>
        <w:t>Raalte</w:t>
      </w:r>
      <w:proofErr w:type="spellEnd"/>
      <w:r>
        <w:rPr>
          <w:lang w:val="en-US"/>
        </w:rPr>
        <w:t xml:space="preserve"> (2019), the Detrended-APC model allows the researcher to easily compare effects across different po</w:t>
      </w:r>
      <w:r w:rsidR="00086271">
        <w:rPr>
          <w:lang w:val="en-US"/>
        </w:rPr>
        <w:t xml:space="preserve">pulations, as such is the case, and it also works well with relative sparse </w:t>
      </w:r>
      <w:r w:rsidR="00036529">
        <w:rPr>
          <w:lang w:val="en-US"/>
        </w:rPr>
        <w:t>data</w:t>
      </w:r>
      <w:r w:rsidR="00086271">
        <w:rPr>
          <w:lang w:val="en-US"/>
        </w:rPr>
        <w:t xml:space="preserve"> (Dobson et al., 2020)</w:t>
      </w:r>
    </w:p>
    <w:p w:rsidR="00086271" w:rsidRDefault="00001C04" w:rsidP="00690B29">
      <w:pPr>
        <w:spacing w:line="360" w:lineRule="auto"/>
        <w:ind w:firstLine="708"/>
        <w:jc w:val="both"/>
        <w:rPr>
          <w:lang w:val="en-US"/>
        </w:rPr>
      </w:pPr>
      <w:r>
        <w:rPr>
          <w:lang w:val="en-US"/>
        </w:rPr>
        <w:t>T</w:t>
      </w:r>
      <w:r w:rsidR="00086271">
        <w:rPr>
          <w:lang w:val="en-US"/>
        </w:rPr>
        <w:t xml:space="preserve">hese particular models that can easily alternate between a cohort major </w:t>
      </w:r>
      <w:r>
        <w:rPr>
          <w:lang w:val="en-US"/>
        </w:rPr>
        <w:t>and a period major parameterization (in other words, which dimension carries the drift)</w:t>
      </w:r>
      <w:r w:rsidR="00086271">
        <w:rPr>
          <w:lang w:val="en-US"/>
        </w:rPr>
        <w:t xml:space="preserve"> have a great deal of flexibility</w:t>
      </w:r>
      <w:r>
        <w:rPr>
          <w:lang w:val="en-US"/>
        </w:rPr>
        <w:t>. However, the choice of parameterization is critical for modeling the effects of age, period and cohort, as results will be influenced by the constraints (based on either theoretical assumptions or external information) made by the researcher.</w:t>
      </w:r>
    </w:p>
    <w:p w:rsidR="00690B29" w:rsidRDefault="00001C04" w:rsidP="00936D8F">
      <w:pPr>
        <w:spacing w:line="360" w:lineRule="auto"/>
        <w:ind w:firstLine="708"/>
        <w:jc w:val="both"/>
        <w:rPr>
          <w:lang w:val="en-US"/>
        </w:rPr>
      </w:pPr>
      <w:r>
        <w:rPr>
          <w:lang w:val="en-US"/>
        </w:rPr>
        <w:t xml:space="preserve">When </w:t>
      </w:r>
      <w:r w:rsidR="00690B29">
        <w:rPr>
          <w:lang w:val="en-US"/>
        </w:rPr>
        <w:t xml:space="preserve">analyzing mental health trends, </w:t>
      </w:r>
      <w:r>
        <w:rPr>
          <w:lang w:val="en-US"/>
        </w:rPr>
        <w:t xml:space="preserve">it is accepted that </w:t>
      </w:r>
      <w:r w:rsidR="00690B29">
        <w:rPr>
          <w:lang w:val="en-US"/>
        </w:rPr>
        <w:t>we can make stron</w:t>
      </w:r>
      <w:r>
        <w:rPr>
          <w:lang w:val="en-US"/>
        </w:rPr>
        <w:t>g assumptions with theoretical foundation</w:t>
      </w:r>
      <w:r w:rsidR="00690B29">
        <w:rPr>
          <w:lang w:val="en-US"/>
        </w:rPr>
        <w:t xml:space="preserve"> (Spiers et al., 2011, Bell &amp; Jones, 2013, Bell, 2014). Those assumptions indicate that is unlikely that we can expect a continuous period trend affecting all age groups, apart from some specific valleys or peaks in certain contexts (like the last European recession). Thus, changes in mental health and depression that could happen over time are more likely to be explained by cohort effects, manifested in the collective experience of a set of individuals during their life course (Bell, 2014). As a result, the chosen model parameterization in this case is considered cohort based (also known </w:t>
      </w:r>
      <w:r w:rsidR="009B1495">
        <w:rPr>
          <w:lang w:val="en-US"/>
        </w:rPr>
        <w:t>as cohort major), using the 1942</w:t>
      </w:r>
      <w:r w:rsidR="00690B29">
        <w:rPr>
          <w:lang w:val="en-US"/>
        </w:rPr>
        <w:t xml:space="preserve"> cohort as a reference</w:t>
      </w:r>
      <w:r w:rsidR="009B1495">
        <w:rPr>
          <w:lang w:val="en-US"/>
        </w:rPr>
        <w:t xml:space="preserve"> (since in this model cohorts are</w:t>
      </w:r>
      <w:r w:rsidR="00E30261">
        <w:rPr>
          <w:lang w:val="en-US"/>
        </w:rPr>
        <w:t xml:space="preserve"> expressed </w:t>
      </w:r>
      <w:r w:rsidR="00E30261">
        <w:rPr>
          <w:lang w:val="en-US"/>
        </w:rPr>
        <w:lastRenderedPageBreak/>
        <w:t>as</w:t>
      </w:r>
      <w:r w:rsidR="009B1495">
        <w:rPr>
          <w:lang w:val="en-US"/>
        </w:rPr>
        <w:t xml:space="preserve"> continuous variables we can use the hypothetical 1942 cohort as a reference instead of 1940 or 1944)</w:t>
      </w:r>
      <w:r w:rsidR="00690B29">
        <w:rPr>
          <w:lang w:val="en-US"/>
        </w:rPr>
        <w:t xml:space="preserve"> and stripping the period d</w:t>
      </w:r>
      <w:r w:rsidR="0018228D">
        <w:rPr>
          <w:lang w:val="en-US"/>
        </w:rPr>
        <w:t>imension from its linear trend. Final technical details about the analysis indicate that we have chosen</w:t>
      </w:r>
      <w:r w:rsidR="00690B29">
        <w:rPr>
          <w:lang w:val="en-US"/>
        </w:rPr>
        <w:t xml:space="preserve"> the naïve weights for the inner product in matrix multiplication</w:t>
      </w:r>
      <w:r w:rsidR="00325A80">
        <w:rPr>
          <w:lang w:val="en-US"/>
        </w:rPr>
        <w:t xml:space="preserve"> for extracting the drift</w:t>
      </w:r>
      <w:r w:rsidR="0018228D">
        <w:rPr>
          <w:lang w:val="en-US"/>
        </w:rPr>
        <w:t>, and three</w:t>
      </w:r>
      <w:r w:rsidR="00325A80">
        <w:rPr>
          <w:lang w:val="en-US"/>
        </w:rPr>
        <w:t xml:space="preserve"> knot</w:t>
      </w:r>
      <w:r w:rsidR="0018228D">
        <w:rPr>
          <w:lang w:val="en-US"/>
        </w:rPr>
        <w:t>s (because the standard value, five knots, would probably result in overfitting given the scarcity of data)</w:t>
      </w:r>
      <w:r w:rsidR="00690B29">
        <w:rPr>
          <w:lang w:val="en-US"/>
        </w:rPr>
        <w:t xml:space="preserve"> for fitting the cubic splines. </w:t>
      </w:r>
      <w:r w:rsidR="0018228D">
        <w:rPr>
          <w:lang w:val="en-US"/>
        </w:rPr>
        <w:t>Finally, w</w:t>
      </w:r>
      <w:r w:rsidR="00690B29">
        <w:rPr>
          <w:lang w:val="en-US"/>
        </w:rPr>
        <w:t>hile the natural splines solution does not “solve” the linear dependency problem (</w:t>
      </w:r>
      <w:r w:rsidR="00036529">
        <w:rPr>
          <w:lang w:val="en-US"/>
        </w:rPr>
        <w:t xml:space="preserve">and </w:t>
      </w:r>
      <w:r w:rsidR="00690B29">
        <w:rPr>
          <w:lang w:val="en-US"/>
        </w:rPr>
        <w:t>neither it claims to), we can acknowledge that any potential bias provided is the result of the chosen parameterization that, in this case, is driven by theory an</w:t>
      </w:r>
      <w:r w:rsidR="00036529">
        <w:rPr>
          <w:lang w:val="en-US"/>
        </w:rPr>
        <w:t>d the assumptions made by</w:t>
      </w:r>
      <w:r w:rsidR="00690B29">
        <w:rPr>
          <w:lang w:val="en-US"/>
        </w:rPr>
        <w:t xml:space="preserve"> the researchers. </w:t>
      </w:r>
    </w:p>
    <w:p w:rsidR="00936D8F" w:rsidRDefault="00936D8F" w:rsidP="00936D8F">
      <w:pPr>
        <w:spacing w:line="360" w:lineRule="auto"/>
        <w:jc w:val="both"/>
        <w:rPr>
          <w:lang w:val="en-US"/>
        </w:rPr>
      </w:pPr>
    </w:p>
    <w:p w:rsidR="00936D8F" w:rsidRPr="00936D8F" w:rsidRDefault="00936D8F" w:rsidP="00936D8F">
      <w:pPr>
        <w:spacing w:line="360" w:lineRule="auto"/>
        <w:jc w:val="both"/>
        <w:rPr>
          <w:u w:val="single"/>
          <w:lang w:val="en-US"/>
        </w:rPr>
      </w:pPr>
      <w:r w:rsidRPr="00936D8F">
        <w:rPr>
          <w:u w:val="single"/>
          <w:lang w:val="en-US"/>
        </w:rPr>
        <w:t>Results:</w:t>
      </w:r>
    </w:p>
    <w:p w:rsidR="00690B29" w:rsidRDefault="00690B29" w:rsidP="00690B29">
      <w:pPr>
        <w:spacing w:line="360" w:lineRule="auto"/>
        <w:ind w:firstLine="708"/>
        <w:jc w:val="both"/>
        <w:rPr>
          <w:lang w:val="en-US"/>
        </w:rPr>
      </w:pPr>
    </w:p>
    <w:p w:rsidR="00690B29" w:rsidRDefault="00690B29" w:rsidP="00690B29">
      <w:pPr>
        <w:spacing w:line="360" w:lineRule="auto"/>
        <w:jc w:val="both"/>
        <w:rPr>
          <w:lang w:val="en-US"/>
        </w:rPr>
      </w:pPr>
      <w:r>
        <w:rPr>
          <w:u w:val="single"/>
          <w:lang w:val="en-US"/>
        </w:rPr>
        <w:t>Age- Standardized Rates:</w:t>
      </w:r>
    </w:p>
    <w:p w:rsidR="00690B29" w:rsidRDefault="00690B29" w:rsidP="00690B29">
      <w:pPr>
        <w:spacing w:line="360" w:lineRule="auto"/>
        <w:ind w:firstLine="708"/>
        <w:jc w:val="both"/>
        <w:rPr>
          <w:lang w:val="en-US"/>
        </w:rPr>
      </w:pPr>
    </w:p>
    <w:p w:rsidR="00690B29" w:rsidRDefault="00690B29" w:rsidP="00690B29">
      <w:pPr>
        <w:spacing w:line="360" w:lineRule="auto"/>
        <w:ind w:firstLine="708"/>
        <w:jc w:val="both"/>
        <w:rPr>
          <w:lang w:val="en-US"/>
        </w:rPr>
      </w:pPr>
      <w:r>
        <w:rPr>
          <w:lang w:val="en-US"/>
        </w:rPr>
        <w:t xml:space="preserve"> Figure 1 shows Age-Standardized Prevalence Rates</w:t>
      </w:r>
      <w:r w:rsidR="007E503D">
        <w:rPr>
          <w:lang w:val="en-US"/>
        </w:rPr>
        <w:t xml:space="preserve"> (or Proportions)</w:t>
      </w:r>
      <w:r>
        <w:rPr>
          <w:lang w:val="en-US"/>
        </w:rPr>
        <w:t xml:space="preserve"> of depression prevalence in the selected countries for population aged 50 and above during the 2004-1</w:t>
      </w:r>
      <w:r w:rsidR="00036529">
        <w:rPr>
          <w:lang w:val="en-US"/>
        </w:rPr>
        <w:t>6</w:t>
      </w:r>
      <w:r>
        <w:rPr>
          <w:lang w:val="en-US"/>
        </w:rPr>
        <w:t xml:space="preserve"> period. As expected, prevalence ra</w:t>
      </w:r>
      <w:r w:rsidR="00F433EA">
        <w:rPr>
          <w:lang w:val="en-US"/>
        </w:rPr>
        <w:t>tes are higher</w:t>
      </w:r>
      <w:r>
        <w:rPr>
          <w:lang w:val="en-US"/>
        </w:rPr>
        <w:t xml:space="preserve"> in </w:t>
      </w:r>
      <w:r w:rsidR="00F433EA">
        <w:rPr>
          <w:lang w:val="en-US"/>
        </w:rPr>
        <w:t>Italy, Spain and France and lower in Denmark, Sweden and Germany</w:t>
      </w:r>
      <w:r>
        <w:rPr>
          <w:lang w:val="en-US"/>
        </w:rPr>
        <w:t xml:space="preserve">.  In </w:t>
      </w:r>
      <w:r w:rsidR="00F433EA">
        <w:rPr>
          <w:lang w:val="en-US"/>
        </w:rPr>
        <w:t>some</w:t>
      </w:r>
      <w:r>
        <w:rPr>
          <w:lang w:val="en-US"/>
        </w:rPr>
        <w:t xml:space="preserve"> countries depression prevalence rates remained relatively stable and any variations in prevalence, most of them trending down, could be considered as moderate. This is not unexpected, given that we are considering that most changes in depression could be cohort based. However, there is a situation that catches the eye: Spain strong sustained improvement over the measured period (and to some extent, Italy and Sweden show some improvement as well)</w:t>
      </w:r>
      <w:r w:rsidR="00F433EA">
        <w:rPr>
          <w:lang w:val="en-US"/>
        </w:rPr>
        <w:t>, while Germany shows an increase of depression prevalence</w:t>
      </w:r>
      <w:r w:rsidR="00036529">
        <w:rPr>
          <w:lang w:val="en-US"/>
        </w:rPr>
        <w:t>, and, to a lesser extent, so does France</w:t>
      </w:r>
      <w:r>
        <w:rPr>
          <w:lang w:val="en-US"/>
        </w:rPr>
        <w:t>.</w:t>
      </w:r>
    </w:p>
    <w:p w:rsidR="00690B29" w:rsidRDefault="00DB2241" w:rsidP="00690B29">
      <w:pPr>
        <w:spacing w:line="360" w:lineRule="auto"/>
        <w:jc w:val="both"/>
        <w:rPr>
          <w:lang w:val="en-US"/>
        </w:rPr>
      </w:pPr>
      <w:r>
        <w:rPr>
          <w:noProof/>
          <w:lang w:val="en-US" w:eastAsia="en-US"/>
        </w:rPr>
        <w:lastRenderedPageBreak/>
        <w:drawing>
          <wp:inline distT="0" distB="0" distL="0" distR="0">
            <wp:extent cx="5612130" cy="344095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3440953"/>
                    </a:xfrm>
                    <a:prstGeom prst="rect">
                      <a:avLst/>
                    </a:prstGeom>
                    <a:noFill/>
                    <a:ln w="9525">
                      <a:noFill/>
                      <a:miter lim="800000"/>
                      <a:headEnd/>
                      <a:tailEnd/>
                    </a:ln>
                  </pic:spPr>
                </pic:pic>
              </a:graphicData>
            </a:graphic>
          </wp:inline>
        </w:drawing>
      </w:r>
    </w:p>
    <w:p w:rsidR="00952196" w:rsidRDefault="00690B29" w:rsidP="00325A80">
      <w:pPr>
        <w:spacing w:line="360" w:lineRule="auto"/>
        <w:jc w:val="both"/>
        <w:rPr>
          <w:lang w:val="en-US"/>
        </w:rPr>
      </w:pPr>
      <w:r w:rsidRPr="00325A80">
        <w:rPr>
          <w:lang w:val="en-US"/>
        </w:rPr>
        <w:t>Figure 1</w:t>
      </w:r>
      <w:r w:rsidR="00325A80">
        <w:rPr>
          <w:lang w:val="en-US"/>
        </w:rPr>
        <w:t>.</w:t>
      </w:r>
      <w:r>
        <w:rPr>
          <w:lang w:val="en-US"/>
        </w:rPr>
        <w:t xml:space="preserve"> Age-Standardized Depression Prevalence rates by Country </w:t>
      </w:r>
    </w:p>
    <w:p w:rsidR="00690B29" w:rsidRDefault="00690B29" w:rsidP="00325A80">
      <w:pPr>
        <w:spacing w:line="360" w:lineRule="auto"/>
        <w:jc w:val="both"/>
        <w:rPr>
          <w:lang w:val="en-US"/>
        </w:rPr>
      </w:pPr>
      <w:r>
        <w:rPr>
          <w:lang w:val="en-US"/>
        </w:rPr>
        <w:t>(</w:t>
      </w:r>
      <w:r w:rsidRPr="003A0001">
        <w:rPr>
          <w:b/>
          <w:lang w:val="en-US"/>
        </w:rPr>
        <w:t>author´s calculations based on SHARE-ERIC</w:t>
      </w:r>
      <w:r>
        <w:rPr>
          <w:lang w:val="en-US"/>
        </w:rPr>
        <w:t>).</w:t>
      </w:r>
    </w:p>
    <w:p w:rsidR="00690B29" w:rsidRDefault="00690B29" w:rsidP="00690B29">
      <w:pPr>
        <w:spacing w:line="360" w:lineRule="auto"/>
        <w:ind w:firstLine="708"/>
        <w:jc w:val="both"/>
        <w:rPr>
          <w:lang w:val="en-US"/>
        </w:rPr>
      </w:pPr>
    </w:p>
    <w:p w:rsidR="00690B29" w:rsidRDefault="001E5C21" w:rsidP="001E5C21">
      <w:pPr>
        <w:spacing w:line="360" w:lineRule="auto"/>
        <w:jc w:val="both"/>
        <w:rPr>
          <w:u w:val="single"/>
          <w:lang w:val="en-US"/>
        </w:rPr>
      </w:pPr>
      <w:r>
        <w:rPr>
          <w:u w:val="single"/>
          <w:lang w:val="en-US"/>
        </w:rPr>
        <w:t xml:space="preserve">Four Classical Plots: Age by Period, Period by Age, Age by </w:t>
      </w:r>
      <w:r w:rsidR="00690B29">
        <w:rPr>
          <w:u w:val="single"/>
          <w:lang w:val="en-US"/>
        </w:rPr>
        <w:t>Cohort</w:t>
      </w:r>
      <w:r>
        <w:rPr>
          <w:u w:val="single"/>
          <w:lang w:val="en-US"/>
        </w:rPr>
        <w:t xml:space="preserve"> and Cohort by Age.</w:t>
      </w:r>
    </w:p>
    <w:p w:rsidR="001E5C21" w:rsidRDefault="001E5C21" w:rsidP="001E5C21">
      <w:pPr>
        <w:spacing w:line="360" w:lineRule="auto"/>
        <w:jc w:val="both"/>
        <w:rPr>
          <w:lang w:val="en-US"/>
        </w:rPr>
      </w:pPr>
    </w:p>
    <w:p w:rsidR="00882EFB" w:rsidRDefault="00882EFB" w:rsidP="00690B29">
      <w:pPr>
        <w:spacing w:line="360" w:lineRule="auto"/>
        <w:ind w:firstLine="708"/>
        <w:jc w:val="both"/>
        <w:rPr>
          <w:lang w:val="en-US"/>
        </w:rPr>
      </w:pPr>
      <w:r>
        <w:rPr>
          <w:lang w:val="en-US"/>
        </w:rPr>
        <w:t>In APC analysis, four exploratory plots are presented as an exploratory measure</w:t>
      </w:r>
      <w:r w:rsidR="005F653F">
        <w:rPr>
          <w:lang w:val="en-US"/>
        </w:rPr>
        <w:t xml:space="preserve">: depression prevalence by age for different periods (Figure 2), depression prevalence by period for different age groups (Figure 3), depression prevalence by age for different birth cohorts (Figure 4) and prevalence by cohort for different age groups (Figure 5). If the first two figures show parallel curves, this supports </w:t>
      </w:r>
      <w:r w:rsidR="00F161E3">
        <w:rPr>
          <w:lang w:val="en-US"/>
        </w:rPr>
        <w:t>the presence of period effects (and an age-period model</w:t>
      </w:r>
      <w:r w:rsidR="00036529">
        <w:rPr>
          <w:lang w:val="en-US"/>
        </w:rPr>
        <w:t xml:space="preserve"> should be suitable</w:t>
      </w:r>
      <w:r w:rsidR="00F161E3">
        <w:rPr>
          <w:lang w:val="en-US"/>
        </w:rPr>
        <w:t xml:space="preserve"> as</w:t>
      </w:r>
      <w:r w:rsidR="00036529">
        <w:rPr>
          <w:lang w:val="en-US"/>
        </w:rPr>
        <w:t xml:space="preserve"> a</w:t>
      </w:r>
      <w:r w:rsidR="00F161E3">
        <w:rPr>
          <w:lang w:val="en-US"/>
        </w:rPr>
        <w:t xml:space="preserve"> result)</w:t>
      </w:r>
      <w:r w:rsidR="005F653F">
        <w:rPr>
          <w:lang w:val="en-US"/>
        </w:rPr>
        <w:t xml:space="preserve">, and if the remaining plots show parallel curves, it </w:t>
      </w:r>
      <w:r w:rsidR="00F161E3">
        <w:rPr>
          <w:lang w:val="en-US"/>
        </w:rPr>
        <w:t>implies that cohort effects are present</w:t>
      </w:r>
      <w:r w:rsidR="005F653F">
        <w:rPr>
          <w:lang w:val="en-US"/>
        </w:rPr>
        <w:t xml:space="preserve"> (Carstensen, 2007).</w:t>
      </w:r>
    </w:p>
    <w:p w:rsidR="00CA4C07" w:rsidRDefault="00F161E3" w:rsidP="000F1E22">
      <w:pPr>
        <w:spacing w:line="360" w:lineRule="auto"/>
        <w:ind w:firstLine="708"/>
        <w:jc w:val="both"/>
        <w:rPr>
          <w:lang w:val="en-US"/>
        </w:rPr>
      </w:pPr>
      <w:r>
        <w:rPr>
          <w:lang w:val="en-US"/>
        </w:rPr>
        <w:t>Results present</w:t>
      </w:r>
      <w:r w:rsidR="000F1E22">
        <w:rPr>
          <w:lang w:val="en-US"/>
        </w:rPr>
        <w:t xml:space="preserve"> in f</w:t>
      </w:r>
      <w:r w:rsidR="00690B29">
        <w:rPr>
          <w:lang w:val="en-US"/>
        </w:rPr>
        <w:t>igure</w:t>
      </w:r>
      <w:r w:rsidR="00F433EA">
        <w:rPr>
          <w:lang w:val="en-US"/>
        </w:rPr>
        <w:t>s</w:t>
      </w:r>
      <w:r w:rsidR="00690B29">
        <w:rPr>
          <w:lang w:val="en-US"/>
        </w:rPr>
        <w:t xml:space="preserve"> 2</w:t>
      </w:r>
      <w:r w:rsidR="00F433EA">
        <w:rPr>
          <w:lang w:val="en-US"/>
        </w:rPr>
        <w:t xml:space="preserve"> to 5</w:t>
      </w:r>
      <w:r w:rsidR="000F1E22">
        <w:rPr>
          <w:lang w:val="en-US"/>
        </w:rPr>
        <w:t xml:space="preserve"> indicate that countries present</w:t>
      </w:r>
      <w:r w:rsidR="00D36186">
        <w:rPr>
          <w:lang w:val="en-US"/>
        </w:rPr>
        <w:t xml:space="preserve"> very</w:t>
      </w:r>
      <w:r w:rsidR="000F1E22">
        <w:rPr>
          <w:lang w:val="en-US"/>
        </w:rPr>
        <w:t xml:space="preserve"> different patterns in each of those four two-dimensional plots.</w:t>
      </w:r>
      <w:r w:rsidR="00DE7D95">
        <w:rPr>
          <w:lang w:val="en-US"/>
        </w:rPr>
        <w:t xml:space="preserve"> </w:t>
      </w:r>
      <w:r w:rsidR="00762297">
        <w:rPr>
          <w:lang w:val="en-US"/>
        </w:rPr>
        <w:t>T</w:t>
      </w:r>
      <w:r w:rsidR="00CA4C07">
        <w:rPr>
          <w:lang w:val="en-US"/>
        </w:rPr>
        <w:t xml:space="preserve">he figures indicate that </w:t>
      </w:r>
      <w:r w:rsidR="000338F2">
        <w:rPr>
          <w:lang w:val="en-US"/>
        </w:rPr>
        <w:t xml:space="preserve">the </w:t>
      </w:r>
      <w:r w:rsidR="00F678FD">
        <w:rPr>
          <w:lang w:val="en-US"/>
        </w:rPr>
        <w:t xml:space="preserve">presence of some parallel lines </w:t>
      </w:r>
      <w:r w:rsidR="000338F2">
        <w:rPr>
          <w:lang w:val="en-US"/>
        </w:rPr>
        <w:t>could suggest</w:t>
      </w:r>
      <w:r w:rsidR="00762297">
        <w:rPr>
          <w:lang w:val="en-US"/>
        </w:rPr>
        <w:t xml:space="preserve"> some linear effects</w:t>
      </w:r>
      <w:r w:rsidR="000338F2">
        <w:rPr>
          <w:lang w:val="en-US"/>
        </w:rPr>
        <w:t xml:space="preserve"> (which in this case we attribute to the cohort dimension)</w:t>
      </w:r>
      <w:r w:rsidR="00762297">
        <w:rPr>
          <w:lang w:val="en-US"/>
        </w:rPr>
        <w:t>. But also, there is a variety of non-linear effects</w:t>
      </w:r>
      <w:r w:rsidR="00D36186">
        <w:rPr>
          <w:lang w:val="en-US"/>
        </w:rPr>
        <w:t xml:space="preserve"> (particularly with younger cohorts)</w:t>
      </w:r>
      <w:r w:rsidR="00762297">
        <w:rPr>
          <w:lang w:val="en-US"/>
        </w:rPr>
        <w:t xml:space="preserve"> present based on the change of slope across categories</w:t>
      </w:r>
      <w:r w:rsidR="000338F2">
        <w:rPr>
          <w:lang w:val="en-US"/>
        </w:rPr>
        <w:t xml:space="preserve"> for</w:t>
      </w:r>
      <w:r w:rsidR="00762297">
        <w:rPr>
          <w:lang w:val="en-US"/>
        </w:rPr>
        <w:t xml:space="preserve"> the three dimensions</w:t>
      </w:r>
      <w:r w:rsidR="00D36186">
        <w:rPr>
          <w:lang w:val="en-US"/>
        </w:rPr>
        <w:t xml:space="preserve"> of age, period and cohort,</w:t>
      </w:r>
      <w:r w:rsidR="000338F2">
        <w:rPr>
          <w:lang w:val="en-US"/>
        </w:rPr>
        <w:t xml:space="preserve"> which supports the notion of an </w:t>
      </w:r>
      <w:r w:rsidR="00F678FD">
        <w:rPr>
          <w:lang w:val="en-US"/>
        </w:rPr>
        <w:t xml:space="preserve">APC </w:t>
      </w:r>
      <w:r w:rsidR="000338F2">
        <w:rPr>
          <w:lang w:val="en-US"/>
        </w:rPr>
        <w:t>framework</w:t>
      </w:r>
      <w:r w:rsidR="00F678FD">
        <w:rPr>
          <w:lang w:val="en-US"/>
        </w:rPr>
        <w:t xml:space="preserve">. </w:t>
      </w:r>
    </w:p>
    <w:p w:rsidR="00690B29" w:rsidRDefault="003F5C6F" w:rsidP="00690B29">
      <w:pPr>
        <w:spacing w:line="360" w:lineRule="auto"/>
        <w:jc w:val="both"/>
        <w:rPr>
          <w:lang w:val="en-US"/>
        </w:rPr>
      </w:pPr>
      <w:r>
        <w:rPr>
          <w:noProof/>
          <w:lang w:val="en-US" w:eastAsia="en-US"/>
        </w:rPr>
        <w:lastRenderedPageBreak/>
        <w:drawing>
          <wp:inline distT="0" distB="0" distL="0" distR="0">
            <wp:extent cx="5612130" cy="3444221"/>
            <wp:effectExtent l="19050" t="0" r="7620" b="0"/>
            <wp:docPr id="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srcRect/>
                    <a:stretch>
                      <a:fillRect/>
                    </a:stretch>
                  </pic:blipFill>
                  <pic:spPr bwMode="auto">
                    <a:xfrm>
                      <a:off x="0" y="0"/>
                      <a:ext cx="5612130" cy="3444221"/>
                    </a:xfrm>
                    <a:prstGeom prst="rect">
                      <a:avLst/>
                    </a:prstGeom>
                    <a:noFill/>
                    <a:ln w="9525">
                      <a:noFill/>
                      <a:miter lim="800000"/>
                      <a:headEnd/>
                      <a:tailEnd/>
                    </a:ln>
                  </pic:spPr>
                </pic:pic>
              </a:graphicData>
            </a:graphic>
          </wp:inline>
        </w:drawing>
      </w:r>
    </w:p>
    <w:p w:rsidR="00F433EA" w:rsidRDefault="00F433EA" w:rsidP="00690B29">
      <w:pPr>
        <w:spacing w:line="360" w:lineRule="auto"/>
        <w:jc w:val="both"/>
        <w:rPr>
          <w:lang w:val="en-US"/>
        </w:rPr>
      </w:pPr>
      <w:r>
        <w:rPr>
          <w:lang w:val="en-US"/>
        </w:rPr>
        <w:t xml:space="preserve">Figure 2. Period variation of Depression Log-Rates by age and selected countries </w:t>
      </w:r>
    </w:p>
    <w:p w:rsidR="00690B29" w:rsidRDefault="00690B29" w:rsidP="00690B29">
      <w:pPr>
        <w:spacing w:line="360" w:lineRule="auto"/>
        <w:jc w:val="both"/>
        <w:rPr>
          <w:lang w:val="en-US"/>
        </w:rPr>
      </w:pPr>
      <w:r>
        <w:rPr>
          <w:lang w:val="en-US"/>
        </w:rPr>
        <w:t>(</w:t>
      </w:r>
      <w:r w:rsidRPr="003A0001">
        <w:rPr>
          <w:b/>
          <w:lang w:val="en-US"/>
        </w:rPr>
        <w:t>author´s calculations based on SHARE-ERIC</w:t>
      </w:r>
      <w:r>
        <w:rPr>
          <w:lang w:val="en-US"/>
        </w:rPr>
        <w:t>).</w:t>
      </w:r>
    </w:p>
    <w:p w:rsidR="00690B29" w:rsidRDefault="003F5C6F" w:rsidP="00690B29">
      <w:pPr>
        <w:spacing w:line="360" w:lineRule="auto"/>
        <w:jc w:val="both"/>
        <w:rPr>
          <w:u w:val="single"/>
          <w:lang w:val="en-US"/>
        </w:rPr>
      </w:pPr>
      <w:r w:rsidRPr="003F5C6F">
        <w:rPr>
          <w:noProof/>
          <w:lang w:val="en-US" w:eastAsia="en-US"/>
        </w:rPr>
        <w:drawing>
          <wp:inline distT="0" distB="0" distL="0" distR="0">
            <wp:extent cx="5612130" cy="3444221"/>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5612130" cy="3444221"/>
                    </a:xfrm>
                    <a:prstGeom prst="rect">
                      <a:avLst/>
                    </a:prstGeom>
                    <a:noFill/>
                    <a:ln w="9525">
                      <a:noFill/>
                      <a:miter lim="800000"/>
                      <a:headEnd/>
                      <a:tailEnd/>
                    </a:ln>
                  </pic:spPr>
                </pic:pic>
              </a:graphicData>
            </a:graphic>
          </wp:inline>
        </w:drawing>
      </w:r>
    </w:p>
    <w:p w:rsidR="00F433EA" w:rsidRDefault="00554252" w:rsidP="00F433EA">
      <w:pPr>
        <w:spacing w:line="360" w:lineRule="auto"/>
        <w:jc w:val="both"/>
        <w:rPr>
          <w:lang w:val="en-US"/>
        </w:rPr>
      </w:pPr>
      <w:r>
        <w:rPr>
          <w:lang w:val="en-US"/>
        </w:rPr>
        <w:t>Figure 3</w:t>
      </w:r>
      <w:r w:rsidR="00F433EA">
        <w:rPr>
          <w:lang w:val="en-US"/>
        </w:rPr>
        <w:t xml:space="preserve">. Period variation of Depression Log-Rates by age and selected countries </w:t>
      </w:r>
    </w:p>
    <w:p w:rsidR="00554252" w:rsidRDefault="00F433EA" w:rsidP="00F433EA">
      <w:pPr>
        <w:spacing w:line="360" w:lineRule="auto"/>
        <w:jc w:val="both"/>
        <w:rPr>
          <w:lang w:val="en-US"/>
        </w:rPr>
      </w:pPr>
      <w:r>
        <w:rPr>
          <w:lang w:val="en-US"/>
        </w:rPr>
        <w:t>(</w:t>
      </w:r>
      <w:r w:rsidRPr="003A0001">
        <w:rPr>
          <w:b/>
          <w:lang w:val="en-US"/>
        </w:rPr>
        <w:t>author´s calculations based on SHARE-ERIC</w:t>
      </w:r>
      <w:r>
        <w:rPr>
          <w:lang w:val="en-US"/>
        </w:rPr>
        <w:t>)</w:t>
      </w:r>
    </w:p>
    <w:p w:rsidR="00D86406" w:rsidRPr="00F433EA" w:rsidRDefault="003F5C6F" w:rsidP="00690B29">
      <w:pPr>
        <w:spacing w:line="360" w:lineRule="auto"/>
        <w:jc w:val="both"/>
        <w:rPr>
          <w:lang w:val="en-US"/>
        </w:rPr>
      </w:pPr>
      <w:r>
        <w:rPr>
          <w:noProof/>
          <w:lang w:val="en-US" w:eastAsia="en-US"/>
        </w:rPr>
        <w:lastRenderedPageBreak/>
        <w:drawing>
          <wp:inline distT="0" distB="0" distL="0" distR="0">
            <wp:extent cx="5612130" cy="3444221"/>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5612130" cy="3444221"/>
                    </a:xfrm>
                    <a:prstGeom prst="rect">
                      <a:avLst/>
                    </a:prstGeom>
                    <a:noFill/>
                    <a:ln w="9525">
                      <a:noFill/>
                      <a:miter lim="800000"/>
                      <a:headEnd/>
                      <a:tailEnd/>
                    </a:ln>
                  </pic:spPr>
                </pic:pic>
              </a:graphicData>
            </a:graphic>
          </wp:inline>
        </w:drawing>
      </w:r>
    </w:p>
    <w:p w:rsidR="00554252" w:rsidRDefault="00554252" w:rsidP="00554252">
      <w:pPr>
        <w:spacing w:line="360" w:lineRule="auto"/>
        <w:jc w:val="both"/>
        <w:rPr>
          <w:lang w:val="en-US"/>
        </w:rPr>
      </w:pPr>
      <w:r>
        <w:rPr>
          <w:lang w:val="en-US"/>
        </w:rPr>
        <w:t xml:space="preserve">Figure 4. Age Variation of Depression Log-Rates by birth cohorts in selected countries. </w:t>
      </w:r>
    </w:p>
    <w:p w:rsidR="00554252" w:rsidRDefault="00554252" w:rsidP="00554252">
      <w:pPr>
        <w:spacing w:line="360" w:lineRule="auto"/>
        <w:jc w:val="both"/>
        <w:rPr>
          <w:lang w:val="en-US"/>
        </w:rPr>
      </w:pPr>
      <w:r>
        <w:rPr>
          <w:lang w:val="en-US"/>
        </w:rPr>
        <w:t>(</w:t>
      </w:r>
      <w:r w:rsidRPr="003A0001">
        <w:rPr>
          <w:b/>
          <w:lang w:val="en-US"/>
        </w:rPr>
        <w:t>author´s calculations based on SHARE-ERIC</w:t>
      </w:r>
      <w:r>
        <w:rPr>
          <w:lang w:val="en-US"/>
        </w:rPr>
        <w:t>).</w:t>
      </w:r>
    </w:p>
    <w:p w:rsidR="00F433EA" w:rsidRPr="00F433EA" w:rsidRDefault="003F5C6F" w:rsidP="00690B29">
      <w:pPr>
        <w:spacing w:line="360" w:lineRule="auto"/>
        <w:jc w:val="both"/>
        <w:rPr>
          <w:lang w:val="en-US"/>
        </w:rPr>
      </w:pPr>
      <w:r>
        <w:rPr>
          <w:noProof/>
          <w:lang w:val="en-US" w:eastAsia="en-US"/>
        </w:rPr>
        <w:drawing>
          <wp:inline distT="0" distB="0" distL="0" distR="0">
            <wp:extent cx="5612130" cy="3444221"/>
            <wp:effectExtent l="1905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5612130" cy="3444221"/>
                    </a:xfrm>
                    <a:prstGeom prst="rect">
                      <a:avLst/>
                    </a:prstGeom>
                    <a:noFill/>
                    <a:ln w="9525">
                      <a:noFill/>
                      <a:miter lim="800000"/>
                      <a:headEnd/>
                      <a:tailEnd/>
                    </a:ln>
                  </pic:spPr>
                </pic:pic>
              </a:graphicData>
            </a:graphic>
          </wp:inline>
        </w:drawing>
      </w:r>
    </w:p>
    <w:p w:rsidR="00554252" w:rsidRDefault="00554252" w:rsidP="00554252">
      <w:pPr>
        <w:spacing w:line="360" w:lineRule="auto"/>
        <w:jc w:val="both"/>
        <w:rPr>
          <w:lang w:val="en-US"/>
        </w:rPr>
      </w:pPr>
      <w:r>
        <w:rPr>
          <w:lang w:val="en-US"/>
        </w:rPr>
        <w:t xml:space="preserve">Figure 5. Cohort Variation of Depression Log-Rates by birth cohort in selected countries. </w:t>
      </w:r>
    </w:p>
    <w:p w:rsidR="00554252" w:rsidRDefault="00554252" w:rsidP="00554252">
      <w:pPr>
        <w:spacing w:line="360" w:lineRule="auto"/>
        <w:jc w:val="both"/>
        <w:rPr>
          <w:lang w:val="en-US"/>
        </w:rPr>
      </w:pPr>
      <w:r>
        <w:rPr>
          <w:lang w:val="en-US"/>
        </w:rPr>
        <w:t>(</w:t>
      </w:r>
      <w:r w:rsidRPr="003A0001">
        <w:rPr>
          <w:b/>
          <w:lang w:val="en-US"/>
        </w:rPr>
        <w:t>author´s calculations based on SHARE-ERIC</w:t>
      </w:r>
      <w:r>
        <w:rPr>
          <w:lang w:val="en-US"/>
        </w:rPr>
        <w:t>).</w:t>
      </w:r>
    </w:p>
    <w:p w:rsidR="000153F3" w:rsidRDefault="000153F3" w:rsidP="00554252">
      <w:pPr>
        <w:spacing w:line="360" w:lineRule="auto"/>
        <w:jc w:val="both"/>
        <w:rPr>
          <w:lang w:val="en-US"/>
        </w:rPr>
      </w:pPr>
      <w:r>
        <w:rPr>
          <w:lang w:val="en-US"/>
        </w:rPr>
        <w:lastRenderedPageBreak/>
        <w:t>However, apart from visual inspection, it would be convenient to</w:t>
      </w:r>
      <w:r w:rsidR="00972CBB">
        <w:rPr>
          <w:lang w:val="en-US"/>
        </w:rPr>
        <w:t xml:space="preserve"> perform and Analysis of Variance (ANOVA) in order to a</w:t>
      </w:r>
      <w:r>
        <w:rPr>
          <w:lang w:val="en-US"/>
        </w:rPr>
        <w:t xml:space="preserve">nalyze the </w:t>
      </w:r>
      <w:r w:rsidR="00972CBB">
        <w:rPr>
          <w:lang w:val="en-US"/>
        </w:rPr>
        <w:t xml:space="preserve">model </w:t>
      </w:r>
      <w:r>
        <w:rPr>
          <w:lang w:val="en-US"/>
        </w:rPr>
        <w:t>deviance</w:t>
      </w:r>
      <w:r w:rsidR="00972CBB">
        <w:rPr>
          <w:lang w:val="en-US"/>
        </w:rPr>
        <w:t xml:space="preserve"> in each case, considering that lower deviance should be better.</w:t>
      </w:r>
      <w:r w:rsidR="00D85AC1">
        <w:rPr>
          <w:lang w:val="en-US"/>
        </w:rPr>
        <w:t xml:space="preserve"> Table 1 presents the values of the different models. </w:t>
      </w:r>
      <w:r w:rsidR="00972CBB">
        <w:rPr>
          <w:lang w:val="en-US"/>
        </w:rPr>
        <w:t>We present five possible alternatives: Age, Age-Drift (which includes the linear trend</w:t>
      </w:r>
      <w:r w:rsidR="00D85AC1">
        <w:rPr>
          <w:lang w:val="en-US"/>
        </w:rPr>
        <w:t>) and</w:t>
      </w:r>
      <w:r w:rsidR="00972CBB">
        <w:rPr>
          <w:lang w:val="en-US"/>
        </w:rPr>
        <w:t xml:space="preserve"> Age-Cohort, Age-Period and Age-Period-Cohort, which include both linear and</w:t>
      </w:r>
      <w:r w:rsidR="00D85AC1">
        <w:rPr>
          <w:lang w:val="en-US"/>
        </w:rPr>
        <w:t xml:space="preserve"> non-linear effects</w:t>
      </w:r>
      <w:r w:rsidR="00972CBB">
        <w:rPr>
          <w:lang w:val="en-US"/>
        </w:rPr>
        <w:t>. While the presence of a linear trend may be negligible</w:t>
      </w:r>
      <w:r w:rsidR="008659DB">
        <w:rPr>
          <w:lang w:val="en-US"/>
        </w:rPr>
        <w:t xml:space="preserve"> in some cases (as is the</w:t>
      </w:r>
      <w:r w:rsidR="00972CBB">
        <w:rPr>
          <w:lang w:val="en-US"/>
        </w:rPr>
        <w:t xml:space="preserve"> case for Denmark or Sw</w:t>
      </w:r>
      <w:r w:rsidR="00E30261">
        <w:rPr>
          <w:lang w:val="en-US"/>
        </w:rPr>
        <w:t>eden)</w:t>
      </w:r>
      <w:r w:rsidR="008659DB">
        <w:rPr>
          <w:lang w:val="en-US"/>
        </w:rPr>
        <w:t xml:space="preserve"> it is not for others (Spain, Germany, Italy, and in a lesser term, France). Furthermore, i</w:t>
      </w:r>
      <w:r w:rsidR="00E30261">
        <w:rPr>
          <w:lang w:val="en-US"/>
        </w:rPr>
        <w:t xml:space="preserve">n all cases APC models tend to perform better than </w:t>
      </w:r>
      <w:r w:rsidR="008659DB">
        <w:rPr>
          <w:lang w:val="en-US"/>
        </w:rPr>
        <w:t>their two-factor counterparts</w:t>
      </w:r>
      <w:r w:rsidR="00E30261">
        <w:rPr>
          <w:lang w:val="en-US"/>
        </w:rPr>
        <w:t xml:space="preserve"> </w:t>
      </w:r>
      <w:r w:rsidR="00972CBB">
        <w:rPr>
          <w:lang w:val="en-US"/>
        </w:rPr>
        <w:t>(</w:t>
      </w:r>
      <w:r w:rsidR="008659DB">
        <w:rPr>
          <w:lang w:val="en-US"/>
        </w:rPr>
        <w:t>and also age-cohort models seem to have less deviance than age-period models, and this is independent</w:t>
      </w:r>
      <w:r w:rsidR="00E30261">
        <w:rPr>
          <w:lang w:val="en-US"/>
        </w:rPr>
        <w:t xml:space="preserve"> of the chosen </w:t>
      </w:r>
      <w:r w:rsidR="00972CBB">
        <w:rPr>
          <w:lang w:val="en-US"/>
        </w:rPr>
        <w:t>parameterization</w:t>
      </w:r>
      <w:r w:rsidR="008659DB">
        <w:rPr>
          <w:lang w:val="en-US"/>
        </w:rPr>
        <w:t>)</w:t>
      </w:r>
      <w:r w:rsidR="00972CBB">
        <w:rPr>
          <w:lang w:val="en-US"/>
        </w:rPr>
        <w:t>.</w:t>
      </w:r>
    </w:p>
    <w:p w:rsidR="000153F3" w:rsidRDefault="000153F3" w:rsidP="00554252">
      <w:pPr>
        <w:spacing w:line="360" w:lineRule="auto"/>
        <w:jc w:val="both"/>
        <w:rPr>
          <w:lang w:val="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2422"/>
        <w:gridCol w:w="1847"/>
        <w:gridCol w:w="1601"/>
        <w:gridCol w:w="1755"/>
      </w:tblGrid>
      <w:tr w:rsidR="000153F3" w:rsidTr="00972CBB">
        <w:tc>
          <w:tcPr>
            <w:tcW w:w="686" w:type="pct"/>
            <w:tcBorders>
              <w:bottom w:val="single" w:sz="4" w:space="0" w:color="auto"/>
            </w:tcBorders>
          </w:tcPr>
          <w:p w:rsidR="000153F3" w:rsidRPr="00F36C28" w:rsidRDefault="000153F3" w:rsidP="00972CBB">
            <w:pPr>
              <w:rPr>
                <w:sz w:val="20"/>
                <w:szCs w:val="20"/>
                <w:lang w:val="en-US"/>
              </w:rPr>
            </w:pPr>
            <w:r w:rsidRPr="00F36C28">
              <w:rPr>
                <w:sz w:val="20"/>
                <w:szCs w:val="20"/>
                <w:lang w:val="en-US"/>
              </w:rPr>
              <w:t>Country</w:t>
            </w:r>
          </w:p>
        </w:tc>
        <w:tc>
          <w:tcPr>
            <w:tcW w:w="1370" w:type="pct"/>
            <w:tcBorders>
              <w:bottom w:val="single" w:sz="4" w:space="0" w:color="auto"/>
            </w:tcBorders>
          </w:tcPr>
          <w:p w:rsidR="000153F3" w:rsidRPr="00F36C28" w:rsidRDefault="000153F3" w:rsidP="00972CBB">
            <w:pPr>
              <w:rPr>
                <w:sz w:val="20"/>
                <w:szCs w:val="20"/>
                <w:lang w:val="en-US"/>
              </w:rPr>
            </w:pPr>
            <w:r w:rsidRPr="00F36C28">
              <w:rPr>
                <w:sz w:val="20"/>
                <w:szCs w:val="20"/>
                <w:lang w:val="en-US"/>
              </w:rPr>
              <w:t>Model</w:t>
            </w:r>
          </w:p>
        </w:tc>
        <w:tc>
          <w:tcPr>
            <w:tcW w:w="1045" w:type="pct"/>
            <w:tcBorders>
              <w:bottom w:val="single" w:sz="4" w:space="0" w:color="auto"/>
            </w:tcBorders>
          </w:tcPr>
          <w:p w:rsidR="000153F3" w:rsidRPr="00F36C28" w:rsidRDefault="000153F3" w:rsidP="00972CBB">
            <w:pPr>
              <w:rPr>
                <w:sz w:val="20"/>
                <w:szCs w:val="20"/>
                <w:lang w:val="en-US"/>
              </w:rPr>
            </w:pPr>
            <w:r w:rsidRPr="00F36C28">
              <w:rPr>
                <w:sz w:val="20"/>
                <w:szCs w:val="20"/>
                <w:lang w:val="en-US"/>
              </w:rPr>
              <w:t>Model Deviance</w:t>
            </w:r>
          </w:p>
        </w:tc>
        <w:tc>
          <w:tcPr>
            <w:tcW w:w="906" w:type="pct"/>
            <w:tcBorders>
              <w:bottom w:val="single" w:sz="4" w:space="0" w:color="auto"/>
            </w:tcBorders>
          </w:tcPr>
          <w:p w:rsidR="000153F3" w:rsidRPr="00F36C28" w:rsidRDefault="000153F3" w:rsidP="00972CBB">
            <w:pPr>
              <w:rPr>
                <w:sz w:val="20"/>
                <w:szCs w:val="20"/>
                <w:lang w:val="en-US"/>
              </w:rPr>
            </w:pPr>
            <w:r w:rsidRPr="00F36C28">
              <w:rPr>
                <w:sz w:val="20"/>
                <w:szCs w:val="20"/>
                <w:lang w:val="en-US"/>
              </w:rPr>
              <w:t>Test Deviance</w:t>
            </w:r>
          </w:p>
        </w:tc>
        <w:tc>
          <w:tcPr>
            <w:tcW w:w="993" w:type="pct"/>
            <w:tcBorders>
              <w:bottom w:val="single" w:sz="4" w:space="0" w:color="auto"/>
            </w:tcBorders>
          </w:tcPr>
          <w:p w:rsidR="000153F3" w:rsidRPr="00F36C28" w:rsidRDefault="000153F3" w:rsidP="00972CBB">
            <w:pPr>
              <w:rPr>
                <w:sz w:val="20"/>
                <w:szCs w:val="20"/>
                <w:lang w:val="en-US"/>
              </w:rPr>
            </w:pPr>
            <w:r w:rsidRPr="00F36C28">
              <w:rPr>
                <w:sz w:val="20"/>
                <w:szCs w:val="20"/>
                <w:lang w:val="en-US"/>
              </w:rPr>
              <w:t>P-Value</w:t>
            </w:r>
          </w:p>
        </w:tc>
      </w:tr>
      <w:tr w:rsidR="000153F3" w:rsidTr="00972CBB">
        <w:tc>
          <w:tcPr>
            <w:tcW w:w="686" w:type="pct"/>
            <w:vMerge w:val="restart"/>
            <w:tcBorders>
              <w:top w:val="single" w:sz="4" w:space="0" w:color="auto"/>
            </w:tcBorders>
          </w:tcPr>
          <w:p w:rsidR="000153F3" w:rsidRPr="00F36C28" w:rsidRDefault="000153F3" w:rsidP="00972CBB">
            <w:pPr>
              <w:rPr>
                <w:sz w:val="20"/>
                <w:szCs w:val="20"/>
                <w:lang w:val="en-US"/>
              </w:rPr>
            </w:pPr>
            <w:r w:rsidRPr="00F36C28">
              <w:rPr>
                <w:sz w:val="20"/>
                <w:szCs w:val="20"/>
                <w:lang w:val="en-US"/>
              </w:rPr>
              <w:t>Denmark</w:t>
            </w:r>
          </w:p>
        </w:tc>
        <w:tc>
          <w:tcPr>
            <w:tcW w:w="1370" w:type="pct"/>
            <w:tcBorders>
              <w:top w:val="single" w:sz="4" w:space="0" w:color="auto"/>
            </w:tcBorders>
          </w:tcPr>
          <w:p w:rsidR="000153F3" w:rsidRPr="00F36C28" w:rsidRDefault="000153F3" w:rsidP="00972CBB">
            <w:pPr>
              <w:rPr>
                <w:sz w:val="20"/>
                <w:szCs w:val="20"/>
                <w:lang w:val="en-US"/>
              </w:rPr>
            </w:pPr>
            <w:r w:rsidRPr="00F36C28">
              <w:rPr>
                <w:sz w:val="20"/>
                <w:szCs w:val="20"/>
                <w:lang w:val="en-US"/>
              </w:rPr>
              <w:t>Age</w:t>
            </w:r>
          </w:p>
        </w:tc>
        <w:tc>
          <w:tcPr>
            <w:tcW w:w="1045" w:type="pct"/>
            <w:tcBorders>
              <w:top w:val="single" w:sz="4" w:space="0" w:color="auto"/>
            </w:tcBorders>
          </w:tcPr>
          <w:p w:rsidR="000153F3" w:rsidRPr="00F36C28" w:rsidRDefault="000153F3" w:rsidP="002811F8">
            <w:pPr>
              <w:rPr>
                <w:sz w:val="20"/>
                <w:szCs w:val="20"/>
                <w:lang w:val="en-US"/>
              </w:rPr>
            </w:pPr>
            <w:r w:rsidRPr="00F36C28">
              <w:rPr>
                <w:sz w:val="20"/>
                <w:szCs w:val="20"/>
                <w:lang w:val="en-US"/>
              </w:rPr>
              <w:t>1</w:t>
            </w:r>
            <w:r w:rsidR="002811F8">
              <w:rPr>
                <w:sz w:val="20"/>
                <w:szCs w:val="20"/>
                <w:lang w:val="en-US"/>
              </w:rPr>
              <w:t>3085</w:t>
            </w:r>
            <w:r w:rsidRPr="00F36C28">
              <w:rPr>
                <w:sz w:val="20"/>
                <w:szCs w:val="20"/>
                <w:lang w:val="en-US"/>
              </w:rPr>
              <w:t>.</w:t>
            </w:r>
            <w:r w:rsidR="002811F8">
              <w:rPr>
                <w:sz w:val="20"/>
                <w:szCs w:val="20"/>
                <w:lang w:val="en-US"/>
              </w:rPr>
              <w:t>2</w:t>
            </w:r>
          </w:p>
        </w:tc>
        <w:tc>
          <w:tcPr>
            <w:tcW w:w="906" w:type="pct"/>
            <w:tcBorders>
              <w:top w:val="single" w:sz="4" w:space="0" w:color="auto"/>
            </w:tcBorders>
          </w:tcPr>
          <w:p w:rsidR="000153F3" w:rsidRPr="00F36C28" w:rsidRDefault="000153F3" w:rsidP="00972CBB">
            <w:pPr>
              <w:rPr>
                <w:sz w:val="20"/>
                <w:szCs w:val="20"/>
                <w:lang w:val="en-US"/>
              </w:rPr>
            </w:pPr>
            <w:r w:rsidRPr="00F36C28">
              <w:rPr>
                <w:sz w:val="20"/>
                <w:szCs w:val="20"/>
                <w:lang w:val="en-US"/>
              </w:rPr>
              <w:t>NA</w:t>
            </w:r>
          </w:p>
        </w:tc>
        <w:tc>
          <w:tcPr>
            <w:tcW w:w="993" w:type="pct"/>
            <w:tcBorders>
              <w:top w:val="single" w:sz="4" w:space="0" w:color="auto"/>
            </w:tcBorders>
          </w:tcPr>
          <w:p w:rsidR="000153F3" w:rsidRPr="00F36C28" w:rsidRDefault="000153F3" w:rsidP="00972CBB">
            <w:pPr>
              <w:rPr>
                <w:sz w:val="20"/>
                <w:szCs w:val="20"/>
                <w:lang w:val="en-US"/>
              </w:rPr>
            </w:pPr>
            <w:r w:rsidRPr="00F36C28">
              <w:rPr>
                <w:sz w:val="20"/>
                <w:szCs w:val="20"/>
                <w:lang w:val="en-US"/>
              </w:rPr>
              <w:t>NA</w:t>
            </w:r>
          </w:p>
        </w:tc>
      </w:tr>
      <w:tr w:rsidR="000153F3" w:rsidTr="00972CBB">
        <w:tc>
          <w:tcPr>
            <w:tcW w:w="686" w:type="pct"/>
            <w:vMerge/>
          </w:tcPr>
          <w:p w:rsidR="000153F3" w:rsidRPr="00F36C28" w:rsidRDefault="000153F3" w:rsidP="00972CBB">
            <w:pPr>
              <w:rPr>
                <w:sz w:val="20"/>
                <w:szCs w:val="20"/>
                <w:lang w:val="en-US"/>
              </w:rPr>
            </w:pPr>
          </w:p>
        </w:tc>
        <w:tc>
          <w:tcPr>
            <w:tcW w:w="1370" w:type="pct"/>
          </w:tcPr>
          <w:p w:rsidR="000153F3" w:rsidRPr="00F36C28" w:rsidRDefault="000153F3" w:rsidP="00D85AC1">
            <w:pPr>
              <w:rPr>
                <w:sz w:val="20"/>
                <w:szCs w:val="20"/>
                <w:lang w:val="en-US"/>
              </w:rPr>
            </w:pPr>
            <w:r w:rsidRPr="00F36C28">
              <w:rPr>
                <w:sz w:val="20"/>
                <w:szCs w:val="20"/>
                <w:lang w:val="en-US"/>
              </w:rPr>
              <w:t>Age-</w:t>
            </w:r>
            <w:r w:rsidR="00D85AC1">
              <w:rPr>
                <w:sz w:val="20"/>
                <w:szCs w:val="20"/>
                <w:lang w:val="en-US"/>
              </w:rPr>
              <w:t>Drif</w:t>
            </w:r>
            <w:r w:rsidRPr="00F36C28">
              <w:rPr>
                <w:sz w:val="20"/>
                <w:szCs w:val="20"/>
                <w:lang w:val="en-US"/>
              </w:rPr>
              <w:t>t</w:t>
            </w:r>
          </w:p>
        </w:tc>
        <w:tc>
          <w:tcPr>
            <w:tcW w:w="1045" w:type="pct"/>
          </w:tcPr>
          <w:p w:rsidR="000153F3" w:rsidRPr="00F36C28" w:rsidRDefault="00D85AC1" w:rsidP="00972CBB">
            <w:pPr>
              <w:rPr>
                <w:sz w:val="20"/>
                <w:szCs w:val="20"/>
                <w:lang w:val="en-US"/>
              </w:rPr>
            </w:pPr>
            <w:r>
              <w:rPr>
                <w:sz w:val="20"/>
                <w:szCs w:val="20"/>
                <w:lang w:val="en-US"/>
              </w:rPr>
              <w:t>13085.2</w:t>
            </w:r>
          </w:p>
        </w:tc>
        <w:tc>
          <w:tcPr>
            <w:tcW w:w="906" w:type="pct"/>
          </w:tcPr>
          <w:p w:rsidR="000153F3" w:rsidRPr="00F36C28" w:rsidRDefault="00D85AC1" w:rsidP="00972CBB">
            <w:pPr>
              <w:rPr>
                <w:sz w:val="20"/>
                <w:szCs w:val="20"/>
                <w:lang w:val="en-US"/>
              </w:rPr>
            </w:pPr>
            <w:r>
              <w:rPr>
                <w:sz w:val="20"/>
                <w:szCs w:val="20"/>
                <w:lang w:val="en-US"/>
              </w:rPr>
              <w:t>0.02</w:t>
            </w:r>
          </w:p>
        </w:tc>
        <w:tc>
          <w:tcPr>
            <w:tcW w:w="993" w:type="pct"/>
          </w:tcPr>
          <w:p w:rsidR="000153F3"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11656</w:t>
            </w:r>
            <w:r w:rsidRPr="00F36C28">
              <w:rPr>
                <w:sz w:val="20"/>
                <w:szCs w:val="20"/>
                <w:lang w:val="en-US"/>
              </w:rPr>
              <w:t>.6</w:t>
            </w:r>
          </w:p>
        </w:tc>
        <w:tc>
          <w:tcPr>
            <w:tcW w:w="906" w:type="pct"/>
          </w:tcPr>
          <w:p w:rsidR="00D85AC1" w:rsidRPr="00F36C28" w:rsidRDefault="00D85AC1" w:rsidP="00972CBB">
            <w:pPr>
              <w:rPr>
                <w:sz w:val="20"/>
                <w:szCs w:val="20"/>
                <w:lang w:val="en-US"/>
              </w:rPr>
            </w:pPr>
            <w:r>
              <w:rPr>
                <w:sz w:val="20"/>
                <w:szCs w:val="20"/>
                <w:lang w:val="en-US"/>
              </w:rPr>
              <w:t>1428</w:t>
            </w:r>
            <w:r w:rsidRPr="00F36C28">
              <w:rPr>
                <w:sz w:val="20"/>
                <w:szCs w:val="20"/>
                <w:lang w:val="en-US"/>
              </w:rPr>
              <w:t>.</w:t>
            </w:r>
            <w:r>
              <w:rPr>
                <w:sz w:val="20"/>
                <w:szCs w:val="20"/>
                <w:lang w:val="en-US"/>
              </w:rPr>
              <w:t>6</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12840</w:t>
            </w:r>
            <w:r w:rsidRPr="00F36C28">
              <w:rPr>
                <w:sz w:val="20"/>
                <w:szCs w:val="20"/>
                <w:lang w:val="en-US"/>
              </w:rPr>
              <w:t>.</w:t>
            </w:r>
            <w:r>
              <w:rPr>
                <w:sz w:val="20"/>
                <w:szCs w:val="20"/>
                <w:lang w:val="en-US"/>
              </w:rPr>
              <w:t>3</w:t>
            </w:r>
          </w:p>
        </w:tc>
        <w:tc>
          <w:tcPr>
            <w:tcW w:w="906" w:type="pct"/>
          </w:tcPr>
          <w:p w:rsidR="00D85AC1" w:rsidRPr="00F36C28" w:rsidRDefault="00D85AC1" w:rsidP="00972CBB">
            <w:pPr>
              <w:rPr>
                <w:sz w:val="20"/>
                <w:szCs w:val="20"/>
                <w:lang w:val="en-US"/>
              </w:rPr>
            </w:pPr>
            <w:r>
              <w:rPr>
                <w:sz w:val="20"/>
                <w:szCs w:val="20"/>
                <w:lang w:val="en-US"/>
              </w:rPr>
              <w:t>1383</w:t>
            </w:r>
            <w:r w:rsidRPr="00F36C28">
              <w:rPr>
                <w:sz w:val="20"/>
                <w:szCs w:val="20"/>
                <w:lang w:val="en-US"/>
              </w:rPr>
              <w:t>.</w:t>
            </w:r>
            <w:r>
              <w:rPr>
                <w:sz w:val="20"/>
                <w:szCs w:val="20"/>
                <w:lang w:val="en-US"/>
              </w:rPr>
              <w:t>9</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Age-Period-Cohort</w:t>
            </w:r>
          </w:p>
        </w:tc>
        <w:tc>
          <w:tcPr>
            <w:tcW w:w="1045" w:type="pct"/>
          </w:tcPr>
          <w:p w:rsidR="00D85AC1" w:rsidRPr="00F36C28" w:rsidRDefault="00D85AC1" w:rsidP="00972CBB">
            <w:pPr>
              <w:rPr>
                <w:sz w:val="20"/>
                <w:szCs w:val="20"/>
                <w:lang w:val="en-US"/>
              </w:rPr>
            </w:pPr>
            <w:r>
              <w:rPr>
                <w:sz w:val="20"/>
                <w:szCs w:val="20"/>
                <w:lang w:val="en-US"/>
              </w:rPr>
              <w:t>11456</w:t>
            </w:r>
            <w:r w:rsidRPr="00F36C28">
              <w:rPr>
                <w:sz w:val="20"/>
                <w:szCs w:val="20"/>
                <w:lang w:val="en-US"/>
              </w:rPr>
              <w:t>.</w:t>
            </w:r>
            <w:r>
              <w:rPr>
                <w:sz w:val="20"/>
                <w:szCs w:val="20"/>
                <w:lang w:val="en-US"/>
              </w:rPr>
              <w:t>3</w:t>
            </w:r>
          </w:p>
        </w:tc>
        <w:tc>
          <w:tcPr>
            <w:tcW w:w="906" w:type="pct"/>
          </w:tcPr>
          <w:p w:rsidR="00D85AC1" w:rsidRPr="00F36C28" w:rsidRDefault="00D85AC1" w:rsidP="00972CBB">
            <w:pPr>
              <w:rPr>
                <w:sz w:val="20"/>
                <w:szCs w:val="20"/>
                <w:lang w:val="en-US"/>
              </w:rPr>
            </w:pPr>
            <w:r>
              <w:rPr>
                <w:sz w:val="20"/>
                <w:szCs w:val="20"/>
                <w:lang w:val="en-US"/>
              </w:rPr>
              <w:t>200</w:t>
            </w:r>
            <w:r w:rsidRPr="00F36C28">
              <w:rPr>
                <w:sz w:val="20"/>
                <w:szCs w:val="20"/>
                <w:lang w:val="en-US"/>
              </w:rPr>
              <w:t>.</w:t>
            </w:r>
            <w:r>
              <w:rPr>
                <w:sz w:val="20"/>
                <w:szCs w:val="20"/>
                <w:lang w:val="en-US"/>
              </w:rPr>
              <w:t>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val="restart"/>
          </w:tcPr>
          <w:p w:rsidR="00D85AC1" w:rsidRPr="00F36C28" w:rsidRDefault="00D85AC1" w:rsidP="00972CBB">
            <w:pPr>
              <w:rPr>
                <w:sz w:val="20"/>
                <w:szCs w:val="20"/>
                <w:lang w:val="en-US"/>
              </w:rPr>
            </w:pPr>
            <w:r w:rsidRPr="00F36C28">
              <w:rPr>
                <w:sz w:val="20"/>
                <w:szCs w:val="20"/>
                <w:lang w:val="en-US"/>
              </w:rPr>
              <w:t>Sweden</w:t>
            </w:r>
          </w:p>
        </w:tc>
        <w:tc>
          <w:tcPr>
            <w:tcW w:w="1370" w:type="pct"/>
          </w:tcPr>
          <w:p w:rsidR="00D85AC1" w:rsidRPr="00F36C28" w:rsidRDefault="00D85AC1" w:rsidP="00972CBB">
            <w:pPr>
              <w:rPr>
                <w:sz w:val="20"/>
                <w:szCs w:val="20"/>
                <w:lang w:val="en-US"/>
              </w:rPr>
            </w:pPr>
            <w:r w:rsidRPr="00F36C28">
              <w:rPr>
                <w:sz w:val="20"/>
                <w:szCs w:val="20"/>
                <w:lang w:val="en-US"/>
              </w:rPr>
              <w:t>Age</w:t>
            </w:r>
          </w:p>
        </w:tc>
        <w:tc>
          <w:tcPr>
            <w:tcW w:w="1045" w:type="pct"/>
          </w:tcPr>
          <w:p w:rsidR="00D85AC1" w:rsidRPr="00F36C28" w:rsidRDefault="00D85AC1" w:rsidP="00972CBB">
            <w:pPr>
              <w:rPr>
                <w:sz w:val="20"/>
                <w:szCs w:val="20"/>
                <w:lang w:val="en-US"/>
              </w:rPr>
            </w:pPr>
            <w:r>
              <w:rPr>
                <w:sz w:val="20"/>
                <w:szCs w:val="20"/>
                <w:lang w:val="en-US"/>
              </w:rPr>
              <w:t>29186</w:t>
            </w:r>
            <w:r w:rsidRPr="00F36C28">
              <w:rPr>
                <w:sz w:val="20"/>
                <w:szCs w:val="20"/>
                <w:lang w:val="en-US"/>
              </w:rPr>
              <w:t>.</w:t>
            </w:r>
            <w:r>
              <w:rPr>
                <w:sz w:val="20"/>
                <w:szCs w:val="20"/>
                <w:lang w:val="en-US"/>
              </w:rPr>
              <w:t>5</w:t>
            </w:r>
          </w:p>
        </w:tc>
        <w:tc>
          <w:tcPr>
            <w:tcW w:w="906" w:type="pct"/>
          </w:tcPr>
          <w:p w:rsidR="00D85AC1" w:rsidRPr="00F36C28" w:rsidRDefault="00D85AC1" w:rsidP="00972CBB">
            <w:pPr>
              <w:rPr>
                <w:sz w:val="20"/>
                <w:szCs w:val="20"/>
                <w:lang w:val="en-US"/>
              </w:rPr>
            </w:pPr>
            <w:r w:rsidRPr="00F36C28">
              <w:rPr>
                <w:sz w:val="20"/>
                <w:szCs w:val="20"/>
                <w:lang w:val="en-US"/>
              </w:rPr>
              <w:t>NA</w:t>
            </w:r>
          </w:p>
        </w:tc>
        <w:tc>
          <w:tcPr>
            <w:tcW w:w="993" w:type="pct"/>
          </w:tcPr>
          <w:p w:rsidR="00D85AC1" w:rsidRPr="00F36C28" w:rsidRDefault="00D85AC1" w:rsidP="00972CBB">
            <w:pPr>
              <w:rPr>
                <w:sz w:val="20"/>
                <w:szCs w:val="20"/>
                <w:lang w:val="en-US"/>
              </w:rPr>
            </w:pPr>
            <w:r w:rsidRPr="00F36C28">
              <w:rPr>
                <w:sz w:val="20"/>
                <w:szCs w:val="20"/>
                <w:lang w:val="en-US"/>
              </w:rPr>
              <w:t>NA</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D85AC1">
            <w:pPr>
              <w:rPr>
                <w:sz w:val="20"/>
                <w:szCs w:val="20"/>
                <w:lang w:val="en-US"/>
              </w:rPr>
            </w:pPr>
            <w:r>
              <w:rPr>
                <w:sz w:val="20"/>
                <w:szCs w:val="20"/>
                <w:lang w:val="en-US"/>
              </w:rPr>
              <w:t>Age-Drif</w:t>
            </w:r>
            <w:r w:rsidRPr="00F36C28">
              <w:rPr>
                <w:sz w:val="20"/>
                <w:szCs w:val="20"/>
                <w:lang w:val="en-US"/>
              </w:rPr>
              <w:t>t</w:t>
            </w:r>
          </w:p>
        </w:tc>
        <w:tc>
          <w:tcPr>
            <w:tcW w:w="1045" w:type="pct"/>
          </w:tcPr>
          <w:p w:rsidR="00D85AC1" w:rsidRPr="00F36C28" w:rsidRDefault="00D85AC1" w:rsidP="00972CBB">
            <w:pPr>
              <w:rPr>
                <w:sz w:val="20"/>
                <w:szCs w:val="20"/>
                <w:lang w:val="en-US"/>
              </w:rPr>
            </w:pPr>
            <w:r>
              <w:rPr>
                <w:sz w:val="20"/>
                <w:szCs w:val="20"/>
                <w:lang w:val="en-US"/>
              </w:rPr>
              <w:t>29184.2</w:t>
            </w:r>
          </w:p>
        </w:tc>
        <w:tc>
          <w:tcPr>
            <w:tcW w:w="906" w:type="pct"/>
          </w:tcPr>
          <w:p w:rsidR="00D85AC1" w:rsidRPr="00F36C28" w:rsidRDefault="00D85AC1" w:rsidP="00972CBB">
            <w:pPr>
              <w:rPr>
                <w:sz w:val="20"/>
                <w:szCs w:val="20"/>
                <w:lang w:val="en-US"/>
              </w:rPr>
            </w:pPr>
            <w:r>
              <w:rPr>
                <w:sz w:val="20"/>
                <w:szCs w:val="20"/>
                <w:lang w:val="en-US"/>
              </w:rPr>
              <w:t>0.12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24910</w:t>
            </w:r>
            <w:r w:rsidRPr="00F36C28">
              <w:rPr>
                <w:sz w:val="20"/>
                <w:szCs w:val="20"/>
                <w:lang w:val="en-US"/>
              </w:rPr>
              <w:t>.</w:t>
            </w:r>
            <w:r>
              <w:rPr>
                <w:sz w:val="20"/>
                <w:szCs w:val="20"/>
                <w:lang w:val="en-US"/>
              </w:rPr>
              <w:t>4</w:t>
            </w:r>
          </w:p>
        </w:tc>
        <w:tc>
          <w:tcPr>
            <w:tcW w:w="906" w:type="pct"/>
          </w:tcPr>
          <w:p w:rsidR="00D85AC1" w:rsidRPr="00F36C28" w:rsidRDefault="00D85AC1" w:rsidP="00972CBB">
            <w:pPr>
              <w:rPr>
                <w:sz w:val="20"/>
                <w:szCs w:val="20"/>
                <w:lang w:val="en-US"/>
              </w:rPr>
            </w:pPr>
            <w:r>
              <w:rPr>
                <w:sz w:val="20"/>
                <w:szCs w:val="20"/>
                <w:lang w:val="en-US"/>
              </w:rPr>
              <w:t>4273</w:t>
            </w:r>
            <w:r w:rsidRPr="00F36C28">
              <w:rPr>
                <w:sz w:val="20"/>
                <w:szCs w:val="20"/>
                <w:lang w:val="en-US"/>
              </w:rPr>
              <w:t>.</w:t>
            </w:r>
            <w:r>
              <w:rPr>
                <w:sz w:val="20"/>
                <w:szCs w:val="20"/>
                <w:lang w:val="en-US"/>
              </w:rPr>
              <w:t>7</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29157</w:t>
            </w:r>
            <w:r w:rsidRPr="00F36C28">
              <w:rPr>
                <w:sz w:val="20"/>
                <w:szCs w:val="20"/>
                <w:lang w:val="en-US"/>
              </w:rPr>
              <w:t>.</w:t>
            </w:r>
            <w:r>
              <w:rPr>
                <w:sz w:val="20"/>
                <w:szCs w:val="20"/>
                <w:lang w:val="en-US"/>
              </w:rPr>
              <w:t>4</w:t>
            </w:r>
          </w:p>
        </w:tc>
        <w:tc>
          <w:tcPr>
            <w:tcW w:w="906" w:type="pct"/>
          </w:tcPr>
          <w:p w:rsidR="00D85AC1" w:rsidRPr="00F36C28" w:rsidRDefault="00D85AC1" w:rsidP="00972CBB">
            <w:pPr>
              <w:rPr>
                <w:sz w:val="20"/>
                <w:szCs w:val="20"/>
                <w:lang w:val="en-US"/>
              </w:rPr>
            </w:pPr>
            <w:r>
              <w:rPr>
                <w:sz w:val="20"/>
                <w:szCs w:val="20"/>
                <w:lang w:val="en-US"/>
              </w:rPr>
              <w:t>4334</w:t>
            </w:r>
            <w:r w:rsidRPr="00F36C28">
              <w:rPr>
                <w:sz w:val="20"/>
                <w:szCs w:val="20"/>
                <w:lang w:val="en-US"/>
              </w:rPr>
              <w:t>.</w:t>
            </w:r>
            <w:r>
              <w:rPr>
                <w:sz w:val="20"/>
                <w:szCs w:val="20"/>
                <w:lang w:val="en-US"/>
              </w:rPr>
              <w:t>4</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Age-Period-Cohort</w:t>
            </w:r>
          </w:p>
        </w:tc>
        <w:tc>
          <w:tcPr>
            <w:tcW w:w="1045" w:type="pct"/>
          </w:tcPr>
          <w:p w:rsidR="00D85AC1" w:rsidRPr="00F36C28" w:rsidRDefault="00D85AC1" w:rsidP="00972CBB">
            <w:pPr>
              <w:rPr>
                <w:sz w:val="20"/>
                <w:szCs w:val="20"/>
                <w:lang w:val="en-US"/>
              </w:rPr>
            </w:pPr>
            <w:r>
              <w:rPr>
                <w:sz w:val="20"/>
                <w:szCs w:val="20"/>
                <w:lang w:val="en-US"/>
              </w:rPr>
              <w:t>24822</w:t>
            </w:r>
            <w:r w:rsidRPr="00F36C28">
              <w:rPr>
                <w:sz w:val="20"/>
                <w:szCs w:val="20"/>
                <w:lang w:val="en-US"/>
              </w:rPr>
              <w:t>.</w:t>
            </w:r>
            <w:r>
              <w:rPr>
                <w:sz w:val="20"/>
                <w:szCs w:val="20"/>
                <w:lang w:val="en-US"/>
              </w:rPr>
              <w:t>9</w:t>
            </w:r>
          </w:p>
        </w:tc>
        <w:tc>
          <w:tcPr>
            <w:tcW w:w="906" w:type="pct"/>
          </w:tcPr>
          <w:p w:rsidR="00D85AC1" w:rsidRPr="00F36C28" w:rsidRDefault="00D85AC1" w:rsidP="00972CBB">
            <w:pPr>
              <w:rPr>
                <w:sz w:val="20"/>
                <w:szCs w:val="20"/>
                <w:lang w:val="en-US"/>
              </w:rPr>
            </w:pPr>
            <w:r>
              <w:rPr>
                <w:sz w:val="20"/>
                <w:szCs w:val="20"/>
                <w:lang w:val="en-US"/>
              </w:rPr>
              <w:t>87</w:t>
            </w:r>
            <w:r w:rsidRPr="00F36C28">
              <w:rPr>
                <w:sz w:val="20"/>
                <w:szCs w:val="20"/>
                <w:lang w:val="en-US"/>
              </w:rPr>
              <w:t>.</w:t>
            </w:r>
            <w:r>
              <w:rPr>
                <w:sz w:val="20"/>
                <w:szCs w:val="20"/>
                <w:lang w:val="en-US"/>
              </w:rPr>
              <w:t>5</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val="restart"/>
          </w:tcPr>
          <w:p w:rsidR="00D85AC1" w:rsidRPr="00F36C28" w:rsidRDefault="00D85AC1" w:rsidP="00972CBB">
            <w:pPr>
              <w:rPr>
                <w:sz w:val="20"/>
                <w:szCs w:val="20"/>
                <w:lang w:val="en-US"/>
              </w:rPr>
            </w:pPr>
            <w:r w:rsidRPr="00F36C28">
              <w:rPr>
                <w:sz w:val="20"/>
                <w:szCs w:val="20"/>
                <w:lang w:val="en-US"/>
              </w:rPr>
              <w:t>Germany</w:t>
            </w:r>
          </w:p>
        </w:tc>
        <w:tc>
          <w:tcPr>
            <w:tcW w:w="1370" w:type="pct"/>
          </w:tcPr>
          <w:p w:rsidR="00D85AC1" w:rsidRPr="00F36C28" w:rsidRDefault="00D85AC1" w:rsidP="00972CBB">
            <w:pPr>
              <w:rPr>
                <w:sz w:val="20"/>
                <w:szCs w:val="20"/>
                <w:lang w:val="en-US"/>
              </w:rPr>
            </w:pPr>
            <w:r w:rsidRPr="00F36C28">
              <w:rPr>
                <w:sz w:val="20"/>
                <w:szCs w:val="20"/>
                <w:lang w:val="en-US"/>
              </w:rPr>
              <w:t>Age</w:t>
            </w:r>
          </w:p>
        </w:tc>
        <w:tc>
          <w:tcPr>
            <w:tcW w:w="1045" w:type="pct"/>
          </w:tcPr>
          <w:p w:rsidR="00D85AC1" w:rsidRPr="00F36C28" w:rsidRDefault="00D85AC1" w:rsidP="00955AAC">
            <w:pPr>
              <w:rPr>
                <w:sz w:val="20"/>
                <w:szCs w:val="20"/>
                <w:lang w:val="en-US"/>
              </w:rPr>
            </w:pPr>
            <w:r w:rsidRPr="00F36C28">
              <w:rPr>
                <w:sz w:val="20"/>
                <w:szCs w:val="20"/>
                <w:lang w:val="en-US"/>
              </w:rPr>
              <w:t>5</w:t>
            </w:r>
            <w:r>
              <w:rPr>
                <w:sz w:val="20"/>
                <w:szCs w:val="20"/>
                <w:lang w:val="en-US"/>
              </w:rPr>
              <w:t>07227</w:t>
            </w:r>
            <w:r w:rsidRPr="00F36C28">
              <w:rPr>
                <w:sz w:val="20"/>
                <w:szCs w:val="20"/>
                <w:lang w:val="en-US"/>
              </w:rPr>
              <w:t>.</w:t>
            </w:r>
            <w:r>
              <w:rPr>
                <w:sz w:val="20"/>
                <w:szCs w:val="20"/>
                <w:lang w:val="en-US"/>
              </w:rPr>
              <w:t>8</w:t>
            </w:r>
          </w:p>
        </w:tc>
        <w:tc>
          <w:tcPr>
            <w:tcW w:w="906" w:type="pct"/>
          </w:tcPr>
          <w:p w:rsidR="00D85AC1" w:rsidRPr="00F36C28" w:rsidRDefault="00D85AC1" w:rsidP="00972CBB">
            <w:pPr>
              <w:rPr>
                <w:sz w:val="20"/>
                <w:szCs w:val="20"/>
                <w:lang w:val="en-US"/>
              </w:rPr>
            </w:pPr>
            <w:r w:rsidRPr="00F36C28">
              <w:rPr>
                <w:sz w:val="20"/>
                <w:szCs w:val="20"/>
                <w:lang w:val="en-US"/>
              </w:rPr>
              <w:t>NA</w:t>
            </w:r>
          </w:p>
        </w:tc>
        <w:tc>
          <w:tcPr>
            <w:tcW w:w="993" w:type="pct"/>
          </w:tcPr>
          <w:p w:rsidR="00D85AC1" w:rsidRPr="00F36C28" w:rsidRDefault="00D85AC1" w:rsidP="00972CBB">
            <w:pPr>
              <w:rPr>
                <w:sz w:val="20"/>
                <w:szCs w:val="20"/>
                <w:lang w:val="en-US"/>
              </w:rPr>
            </w:pPr>
            <w:r w:rsidRPr="00F36C28">
              <w:rPr>
                <w:sz w:val="20"/>
                <w:szCs w:val="20"/>
                <w:lang w:val="en-US"/>
              </w:rPr>
              <w:t>NA</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Pr>
                <w:sz w:val="20"/>
                <w:szCs w:val="20"/>
                <w:lang w:val="en-US"/>
              </w:rPr>
              <w:t>Age-Drif</w:t>
            </w:r>
            <w:r w:rsidRPr="00F36C28">
              <w:rPr>
                <w:sz w:val="20"/>
                <w:szCs w:val="20"/>
                <w:lang w:val="en-US"/>
              </w:rPr>
              <w:t>t</w:t>
            </w:r>
          </w:p>
        </w:tc>
        <w:tc>
          <w:tcPr>
            <w:tcW w:w="1045" w:type="pct"/>
          </w:tcPr>
          <w:p w:rsidR="00D85AC1" w:rsidRPr="00F36C28" w:rsidRDefault="00D85AC1" w:rsidP="00955AAC">
            <w:pPr>
              <w:rPr>
                <w:sz w:val="20"/>
                <w:szCs w:val="20"/>
                <w:lang w:val="en-US"/>
              </w:rPr>
            </w:pPr>
            <w:r>
              <w:rPr>
                <w:sz w:val="20"/>
                <w:szCs w:val="20"/>
                <w:lang w:val="en-US"/>
              </w:rPr>
              <w:t>403686.6</w:t>
            </w:r>
          </w:p>
        </w:tc>
        <w:tc>
          <w:tcPr>
            <w:tcW w:w="906" w:type="pct"/>
          </w:tcPr>
          <w:p w:rsidR="00D85AC1" w:rsidRPr="00F36C28" w:rsidRDefault="00D85AC1" w:rsidP="00972CBB">
            <w:pPr>
              <w:rPr>
                <w:sz w:val="20"/>
                <w:szCs w:val="20"/>
                <w:lang w:val="en-US"/>
              </w:rPr>
            </w:pPr>
            <w:r>
              <w:rPr>
                <w:sz w:val="20"/>
                <w:szCs w:val="20"/>
                <w:lang w:val="en-US"/>
              </w:rPr>
              <w:t>103541.2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284655</w:t>
            </w:r>
            <w:r w:rsidRPr="00F36C28">
              <w:rPr>
                <w:sz w:val="20"/>
                <w:szCs w:val="20"/>
                <w:lang w:val="en-US"/>
              </w:rPr>
              <w:t>.</w:t>
            </w:r>
            <w:r>
              <w:rPr>
                <w:sz w:val="20"/>
                <w:szCs w:val="20"/>
                <w:lang w:val="en-US"/>
              </w:rPr>
              <w:t>0</w:t>
            </w:r>
          </w:p>
        </w:tc>
        <w:tc>
          <w:tcPr>
            <w:tcW w:w="906" w:type="pct"/>
          </w:tcPr>
          <w:p w:rsidR="00D85AC1" w:rsidRPr="00F36C28" w:rsidRDefault="00D85AC1" w:rsidP="00955AAC">
            <w:pPr>
              <w:rPr>
                <w:sz w:val="20"/>
                <w:szCs w:val="20"/>
                <w:lang w:val="en-US"/>
              </w:rPr>
            </w:pPr>
            <w:r>
              <w:rPr>
                <w:sz w:val="20"/>
                <w:szCs w:val="20"/>
                <w:lang w:val="en-US"/>
              </w:rPr>
              <w:t>119031.6</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362135</w:t>
            </w:r>
            <w:r w:rsidRPr="00F36C28">
              <w:rPr>
                <w:sz w:val="20"/>
                <w:szCs w:val="20"/>
                <w:lang w:val="en-US"/>
              </w:rPr>
              <w:t>.</w:t>
            </w:r>
            <w:r>
              <w:rPr>
                <w:sz w:val="20"/>
                <w:szCs w:val="20"/>
                <w:lang w:val="en-US"/>
              </w:rPr>
              <w:t>6</w:t>
            </w:r>
          </w:p>
        </w:tc>
        <w:tc>
          <w:tcPr>
            <w:tcW w:w="906" w:type="pct"/>
          </w:tcPr>
          <w:p w:rsidR="00D85AC1" w:rsidRPr="00F36C28" w:rsidRDefault="00D85AC1" w:rsidP="00955AAC">
            <w:pPr>
              <w:rPr>
                <w:sz w:val="20"/>
                <w:szCs w:val="20"/>
                <w:lang w:val="en-US"/>
              </w:rPr>
            </w:pPr>
            <w:r>
              <w:rPr>
                <w:sz w:val="20"/>
                <w:szCs w:val="20"/>
                <w:lang w:val="en-US"/>
              </w:rPr>
              <w:t>134135.8</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Age-Period-Cohort</w:t>
            </w:r>
          </w:p>
        </w:tc>
        <w:tc>
          <w:tcPr>
            <w:tcW w:w="1045" w:type="pct"/>
          </w:tcPr>
          <w:p w:rsidR="00D85AC1" w:rsidRPr="00F36C28" w:rsidRDefault="00D85AC1" w:rsidP="00972CBB">
            <w:pPr>
              <w:rPr>
                <w:sz w:val="20"/>
                <w:szCs w:val="20"/>
                <w:lang w:val="en-US"/>
              </w:rPr>
            </w:pPr>
            <w:r>
              <w:rPr>
                <w:sz w:val="20"/>
                <w:szCs w:val="20"/>
                <w:lang w:val="en-US"/>
              </w:rPr>
              <w:t>227999</w:t>
            </w:r>
            <w:r w:rsidRPr="00F36C28">
              <w:rPr>
                <w:sz w:val="20"/>
                <w:szCs w:val="20"/>
                <w:lang w:val="en-US"/>
              </w:rPr>
              <w:t>.8</w:t>
            </w:r>
          </w:p>
        </w:tc>
        <w:tc>
          <w:tcPr>
            <w:tcW w:w="906" w:type="pct"/>
          </w:tcPr>
          <w:p w:rsidR="00D85AC1" w:rsidRPr="00F36C28" w:rsidRDefault="00D85AC1" w:rsidP="00972CBB">
            <w:pPr>
              <w:rPr>
                <w:sz w:val="20"/>
                <w:szCs w:val="20"/>
                <w:lang w:val="en-US"/>
              </w:rPr>
            </w:pPr>
            <w:r>
              <w:rPr>
                <w:sz w:val="20"/>
                <w:szCs w:val="20"/>
                <w:lang w:val="en-US"/>
              </w:rPr>
              <w:t>56655</w:t>
            </w:r>
            <w:r w:rsidRPr="00F36C28">
              <w:rPr>
                <w:sz w:val="20"/>
                <w:szCs w:val="20"/>
                <w:lang w:val="en-US"/>
              </w:rPr>
              <w:t>.</w:t>
            </w:r>
            <w:r>
              <w:rPr>
                <w:sz w:val="20"/>
                <w:szCs w:val="20"/>
                <w:lang w:val="en-US"/>
              </w:rPr>
              <w:t>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val="restart"/>
          </w:tcPr>
          <w:p w:rsidR="00D85AC1" w:rsidRPr="00F36C28" w:rsidRDefault="00D85AC1" w:rsidP="00972CBB">
            <w:pPr>
              <w:rPr>
                <w:sz w:val="20"/>
                <w:szCs w:val="20"/>
                <w:lang w:val="en-US"/>
              </w:rPr>
            </w:pPr>
            <w:r w:rsidRPr="00F36C28">
              <w:rPr>
                <w:sz w:val="20"/>
                <w:szCs w:val="20"/>
                <w:lang w:val="en-US"/>
              </w:rPr>
              <w:t>Italy</w:t>
            </w:r>
          </w:p>
        </w:tc>
        <w:tc>
          <w:tcPr>
            <w:tcW w:w="1370" w:type="pct"/>
          </w:tcPr>
          <w:p w:rsidR="00D85AC1" w:rsidRPr="00F36C28" w:rsidRDefault="00D85AC1" w:rsidP="00972CBB">
            <w:pPr>
              <w:rPr>
                <w:sz w:val="20"/>
                <w:szCs w:val="20"/>
                <w:lang w:val="en-US"/>
              </w:rPr>
            </w:pPr>
            <w:r w:rsidRPr="00F36C28">
              <w:rPr>
                <w:sz w:val="20"/>
                <w:szCs w:val="20"/>
                <w:lang w:val="en-US"/>
              </w:rPr>
              <w:t>Age</w:t>
            </w:r>
          </w:p>
        </w:tc>
        <w:tc>
          <w:tcPr>
            <w:tcW w:w="1045" w:type="pct"/>
          </w:tcPr>
          <w:p w:rsidR="00D85AC1" w:rsidRPr="00F36C28" w:rsidRDefault="00D85AC1" w:rsidP="00972CBB">
            <w:pPr>
              <w:rPr>
                <w:sz w:val="20"/>
                <w:szCs w:val="20"/>
                <w:lang w:val="en-US"/>
              </w:rPr>
            </w:pPr>
            <w:r>
              <w:rPr>
                <w:sz w:val="20"/>
                <w:szCs w:val="20"/>
                <w:lang w:val="en-US"/>
              </w:rPr>
              <w:t>98421</w:t>
            </w:r>
            <w:r w:rsidRPr="00F36C28">
              <w:rPr>
                <w:sz w:val="20"/>
                <w:szCs w:val="20"/>
                <w:lang w:val="en-US"/>
              </w:rPr>
              <w:t>.</w:t>
            </w:r>
            <w:r>
              <w:rPr>
                <w:sz w:val="20"/>
                <w:szCs w:val="20"/>
                <w:lang w:val="en-US"/>
              </w:rPr>
              <w:t>2</w:t>
            </w:r>
          </w:p>
        </w:tc>
        <w:tc>
          <w:tcPr>
            <w:tcW w:w="906" w:type="pct"/>
          </w:tcPr>
          <w:p w:rsidR="00D85AC1" w:rsidRPr="00F36C28" w:rsidRDefault="00D85AC1" w:rsidP="00972CBB">
            <w:pPr>
              <w:rPr>
                <w:sz w:val="20"/>
                <w:szCs w:val="20"/>
                <w:lang w:val="en-US"/>
              </w:rPr>
            </w:pPr>
            <w:r w:rsidRPr="00F36C28">
              <w:rPr>
                <w:sz w:val="20"/>
                <w:szCs w:val="20"/>
                <w:lang w:val="en-US"/>
              </w:rPr>
              <w:t>NA</w:t>
            </w:r>
          </w:p>
        </w:tc>
        <w:tc>
          <w:tcPr>
            <w:tcW w:w="993" w:type="pct"/>
          </w:tcPr>
          <w:p w:rsidR="00D85AC1" w:rsidRPr="00F36C28" w:rsidRDefault="00D85AC1" w:rsidP="00972CBB">
            <w:pPr>
              <w:rPr>
                <w:sz w:val="20"/>
                <w:szCs w:val="20"/>
                <w:lang w:val="en-US"/>
              </w:rPr>
            </w:pPr>
            <w:r w:rsidRPr="00F36C28">
              <w:rPr>
                <w:sz w:val="20"/>
                <w:szCs w:val="20"/>
                <w:lang w:val="en-US"/>
              </w:rPr>
              <w:t>NA</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Pr>
                <w:sz w:val="20"/>
                <w:szCs w:val="20"/>
                <w:lang w:val="en-US"/>
              </w:rPr>
              <w:t>Age-Drif</w:t>
            </w:r>
            <w:r w:rsidRPr="00F36C28">
              <w:rPr>
                <w:sz w:val="20"/>
                <w:szCs w:val="20"/>
                <w:lang w:val="en-US"/>
              </w:rPr>
              <w:t>t</w:t>
            </w:r>
          </w:p>
        </w:tc>
        <w:tc>
          <w:tcPr>
            <w:tcW w:w="1045" w:type="pct"/>
          </w:tcPr>
          <w:p w:rsidR="00D85AC1" w:rsidRDefault="00D85AC1" w:rsidP="00972CBB">
            <w:pPr>
              <w:rPr>
                <w:sz w:val="20"/>
                <w:szCs w:val="20"/>
                <w:lang w:val="en-US"/>
              </w:rPr>
            </w:pPr>
            <w:r>
              <w:rPr>
                <w:sz w:val="20"/>
                <w:szCs w:val="20"/>
                <w:lang w:val="en-US"/>
              </w:rPr>
              <w:t>82143.1</w:t>
            </w:r>
          </w:p>
        </w:tc>
        <w:tc>
          <w:tcPr>
            <w:tcW w:w="906" w:type="pct"/>
          </w:tcPr>
          <w:p w:rsidR="00D85AC1" w:rsidRPr="00F36C28" w:rsidRDefault="00D85AC1" w:rsidP="00972CBB">
            <w:pPr>
              <w:rPr>
                <w:sz w:val="20"/>
                <w:szCs w:val="20"/>
                <w:lang w:val="en-US"/>
              </w:rPr>
            </w:pPr>
            <w:r>
              <w:rPr>
                <w:sz w:val="20"/>
                <w:szCs w:val="20"/>
                <w:lang w:val="en-US"/>
              </w:rPr>
              <w:t>16278.12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79791</w:t>
            </w:r>
            <w:r w:rsidRPr="00F36C28">
              <w:rPr>
                <w:sz w:val="20"/>
                <w:szCs w:val="20"/>
                <w:lang w:val="en-US"/>
              </w:rPr>
              <w:t>.</w:t>
            </w:r>
            <w:r>
              <w:rPr>
                <w:sz w:val="20"/>
                <w:szCs w:val="20"/>
                <w:lang w:val="en-US"/>
              </w:rPr>
              <w:t>7</w:t>
            </w:r>
          </w:p>
        </w:tc>
        <w:tc>
          <w:tcPr>
            <w:tcW w:w="906" w:type="pct"/>
          </w:tcPr>
          <w:p w:rsidR="00D85AC1" w:rsidRPr="00F36C28" w:rsidRDefault="00D85AC1" w:rsidP="00972CBB">
            <w:pPr>
              <w:rPr>
                <w:sz w:val="20"/>
                <w:szCs w:val="20"/>
                <w:lang w:val="en-US"/>
              </w:rPr>
            </w:pPr>
            <w:r>
              <w:rPr>
                <w:sz w:val="20"/>
                <w:szCs w:val="20"/>
                <w:lang w:val="en-US"/>
              </w:rPr>
              <w:t>2351</w:t>
            </w:r>
            <w:r w:rsidRPr="00F36C28">
              <w:rPr>
                <w:sz w:val="20"/>
                <w:szCs w:val="20"/>
                <w:lang w:val="en-US"/>
              </w:rPr>
              <w:t>.3</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80432</w:t>
            </w:r>
            <w:r w:rsidRPr="00F36C28">
              <w:rPr>
                <w:sz w:val="20"/>
                <w:szCs w:val="20"/>
                <w:lang w:val="en-US"/>
              </w:rPr>
              <w:t>.</w:t>
            </w:r>
            <w:r>
              <w:rPr>
                <w:sz w:val="20"/>
                <w:szCs w:val="20"/>
                <w:lang w:val="en-US"/>
              </w:rPr>
              <w:t>6</w:t>
            </w:r>
          </w:p>
        </w:tc>
        <w:tc>
          <w:tcPr>
            <w:tcW w:w="906" w:type="pct"/>
          </w:tcPr>
          <w:p w:rsidR="00D85AC1" w:rsidRPr="00F36C28" w:rsidRDefault="00D85AC1" w:rsidP="00972CBB">
            <w:pPr>
              <w:rPr>
                <w:sz w:val="20"/>
                <w:szCs w:val="20"/>
                <w:lang w:val="en-US"/>
              </w:rPr>
            </w:pPr>
            <w:r>
              <w:rPr>
                <w:sz w:val="20"/>
                <w:szCs w:val="20"/>
                <w:lang w:val="en-US"/>
              </w:rPr>
              <w:t>2151</w:t>
            </w:r>
            <w:r w:rsidRPr="00F36C28">
              <w:rPr>
                <w:sz w:val="20"/>
                <w:szCs w:val="20"/>
                <w:lang w:val="en-US"/>
              </w:rPr>
              <w:t>.</w:t>
            </w:r>
            <w:r>
              <w:rPr>
                <w:sz w:val="20"/>
                <w:szCs w:val="20"/>
                <w:lang w:val="en-US"/>
              </w:rPr>
              <w:t>6</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Age-Period-Cohort</w:t>
            </w:r>
          </w:p>
        </w:tc>
        <w:tc>
          <w:tcPr>
            <w:tcW w:w="1045" w:type="pct"/>
          </w:tcPr>
          <w:p w:rsidR="00D85AC1" w:rsidRPr="00F36C28" w:rsidRDefault="00D85AC1" w:rsidP="00972CBB">
            <w:pPr>
              <w:rPr>
                <w:sz w:val="20"/>
                <w:szCs w:val="20"/>
                <w:lang w:val="en-US"/>
              </w:rPr>
            </w:pPr>
            <w:r>
              <w:rPr>
                <w:sz w:val="20"/>
                <w:szCs w:val="20"/>
                <w:lang w:val="en-US"/>
              </w:rPr>
              <w:t>78281.0</w:t>
            </w:r>
          </w:p>
        </w:tc>
        <w:tc>
          <w:tcPr>
            <w:tcW w:w="906" w:type="pct"/>
          </w:tcPr>
          <w:p w:rsidR="00D85AC1" w:rsidRPr="00F36C28" w:rsidRDefault="00D85AC1" w:rsidP="00972CBB">
            <w:pPr>
              <w:rPr>
                <w:sz w:val="20"/>
                <w:szCs w:val="20"/>
                <w:lang w:val="en-US"/>
              </w:rPr>
            </w:pPr>
            <w:r>
              <w:rPr>
                <w:sz w:val="20"/>
                <w:szCs w:val="20"/>
                <w:lang w:val="en-US"/>
              </w:rPr>
              <w:t>1510</w:t>
            </w:r>
            <w:r w:rsidRPr="00F36C28">
              <w:rPr>
                <w:sz w:val="20"/>
                <w:szCs w:val="20"/>
                <w:lang w:val="en-US"/>
              </w:rPr>
              <w:t>.</w:t>
            </w:r>
            <w:r>
              <w:rPr>
                <w:sz w:val="20"/>
                <w:szCs w:val="20"/>
                <w:lang w:val="en-US"/>
              </w:rPr>
              <w:t>7</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val="restart"/>
          </w:tcPr>
          <w:p w:rsidR="00D85AC1" w:rsidRPr="00F36C28" w:rsidRDefault="00D85AC1" w:rsidP="00972CBB">
            <w:pPr>
              <w:rPr>
                <w:sz w:val="20"/>
                <w:szCs w:val="20"/>
                <w:lang w:val="en-US"/>
              </w:rPr>
            </w:pPr>
            <w:r w:rsidRPr="00F36C28">
              <w:rPr>
                <w:sz w:val="20"/>
                <w:szCs w:val="20"/>
                <w:lang w:val="en-US"/>
              </w:rPr>
              <w:t>Spain</w:t>
            </w:r>
          </w:p>
        </w:tc>
        <w:tc>
          <w:tcPr>
            <w:tcW w:w="1370" w:type="pct"/>
          </w:tcPr>
          <w:p w:rsidR="00D85AC1" w:rsidRPr="00F36C28" w:rsidRDefault="00D85AC1" w:rsidP="00972CBB">
            <w:pPr>
              <w:rPr>
                <w:sz w:val="20"/>
                <w:szCs w:val="20"/>
                <w:lang w:val="en-US"/>
              </w:rPr>
            </w:pPr>
            <w:r w:rsidRPr="00F36C28">
              <w:rPr>
                <w:sz w:val="20"/>
                <w:szCs w:val="20"/>
                <w:lang w:val="en-US"/>
              </w:rPr>
              <w:t>Age</w:t>
            </w:r>
          </w:p>
        </w:tc>
        <w:tc>
          <w:tcPr>
            <w:tcW w:w="1045" w:type="pct"/>
          </w:tcPr>
          <w:p w:rsidR="00D85AC1" w:rsidRPr="00F36C28" w:rsidRDefault="00D85AC1" w:rsidP="00972CBB">
            <w:pPr>
              <w:rPr>
                <w:sz w:val="20"/>
                <w:szCs w:val="20"/>
                <w:lang w:val="en-US"/>
              </w:rPr>
            </w:pPr>
            <w:r>
              <w:rPr>
                <w:sz w:val="20"/>
                <w:szCs w:val="20"/>
                <w:lang w:val="en-US"/>
              </w:rPr>
              <w:t>255430</w:t>
            </w:r>
            <w:r w:rsidRPr="00F36C28">
              <w:rPr>
                <w:sz w:val="20"/>
                <w:szCs w:val="20"/>
                <w:lang w:val="en-US"/>
              </w:rPr>
              <w:t>.</w:t>
            </w:r>
            <w:r>
              <w:rPr>
                <w:sz w:val="20"/>
                <w:szCs w:val="20"/>
                <w:lang w:val="en-US"/>
              </w:rPr>
              <w:t>1</w:t>
            </w:r>
          </w:p>
        </w:tc>
        <w:tc>
          <w:tcPr>
            <w:tcW w:w="906" w:type="pct"/>
          </w:tcPr>
          <w:p w:rsidR="00D85AC1" w:rsidRPr="00F36C28" w:rsidRDefault="00D85AC1" w:rsidP="00972CBB">
            <w:pPr>
              <w:rPr>
                <w:sz w:val="20"/>
                <w:szCs w:val="20"/>
                <w:lang w:val="en-US"/>
              </w:rPr>
            </w:pPr>
            <w:r w:rsidRPr="00F36C28">
              <w:rPr>
                <w:sz w:val="20"/>
                <w:szCs w:val="20"/>
                <w:lang w:val="en-US"/>
              </w:rPr>
              <w:t>NA</w:t>
            </w:r>
          </w:p>
        </w:tc>
        <w:tc>
          <w:tcPr>
            <w:tcW w:w="993" w:type="pct"/>
          </w:tcPr>
          <w:p w:rsidR="00D85AC1" w:rsidRPr="00F36C28" w:rsidRDefault="00D85AC1" w:rsidP="00972CBB">
            <w:pPr>
              <w:rPr>
                <w:sz w:val="20"/>
                <w:szCs w:val="20"/>
                <w:lang w:val="en-US"/>
              </w:rPr>
            </w:pPr>
            <w:r w:rsidRPr="00F36C28">
              <w:rPr>
                <w:sz w:val="20"/>
                <w:szCs w:val="20"/>
                <w:lang w:val="en-US"/>
              </w:rPr>
              <w:t>NA</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Pr>
                <w:sz w:val="20"/>
                <w:szCs w:val="20"/>
                <w:lang w:val="en-US"/>
              </w:rPr>
              <w:t>Age-Drif</w:t>
            </w:r>
            <w:r w:rsidRPr="00F36C28">
              <w:rPr>
                <w:sz w:val="20"/>
                <w:szCs w:val="20"/>
                <w:lang w:val="en-US"/>
              </w:rPr>
              <w:t>t</w:t>
            </w:r>
          </w:p>
        </w:tc>
        <w:tc>
          <w:tcPr>
            <w:tcW w:w="1045" w:type="pct"/>
          </w:tcPr>
          <w:p w:rsidR="00D85AC1" w:rsidRDefault="00D85AC1" w:rsidP="00972CBB">
            <w:pPr>
              <w:rPr>
                <w:sz w:val="20"/>
                <w:szCs w:val="20"/>
                <w:lang w:val="en-US"/>
              </w:rPr>
            </w:pPr>
            <w:r>
              <w:rPr>
                <w:sz w:val="20"/>
                <w:szCs w:val="20"/>
                <w:lang w:val="en-US"/>
              </w:rPr>
              <w:t>171624.3</w:t>
            </w:r>
          </w:p>
        </w:tc>
        <w:tc>
          <w:tcPr>
            <w:tcW w:w="906" w:type="pct"/>
          </w:tcPr>
          <w:p w:rsidR="00D85AC1" w:rsidRPr="00F36C28" w:rsidRDefault="00D85AC1" w:rsidP="00972CBB">
            <w:pPr>
              <w:rPr>
                <w:sz w:val="20"/>
                <w:szCs w:val="20"/>
                <w:lang w:val="en-US"/>
              </w:rPr>
            </w:pPr>
            <w:r>
              <w:rPr>
                <w:sz w:val="20"/>
                <w:szCs w:val="20"/>
                <w:lang w:val="en-US"/>
              </w:rPr>
              <w:t>83805.8</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153612.2</w:t>
            </w:r>
          </w:p>
        </w:tc>
        <w:tc>
          <w:tcPr>
            <w:tcW w:w="906" w:type="pct"/>
          </w:tcPr>
          <w:p w:rsidR="00D85AC1" w:rsidRPr="00F36C28" w:rsidRDefault="00D85AC1" w:rsidP="00972CBB">
            <w:pPr>
              <w:rPr>
                <w:sz w:val="20"/>
                <w:szCs w:val="20"/>
                <w:lang w:val="en-US"/>
              </w:rPr>
            </w:pPr>
            <w:r>
              <w:rPr>
                <w:sz w:val="20"/>
                <w:szCs w:val="20"/>
                <w:lang w:val="en-US"/>
              </w:rPr>
              <w:t>18012</w:t>
            </w:r>
            <w:r w:rsidRPr="00F36C28">
              <w:rPr>
                <w:sz w:val="20"/>
                <w:szCs w:val="20"/>
                <w:lang w:val="en-US"/>
              </w:rPr>
              <w:t>.</w:t>
            </w:r>
            <w:r>
              <w:rPr>
                <w:sz w:val="20"/>
                <w:szCs w:val="20"/>
                <w:lang w:val="en-US"/>
              </w:rPr>
              <w:t>1</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169720</w:t>
            </w:r>
            <w:r w:rsidRPr="00F36C28">
              <w:rPr>
                <w:sz w:val="20"/>
                <w:szCs w:val="20"/>
                <w:lang w:val="en-US"/>
              </w:rPr>
              <w:t>.</w:t>
            </w:r>
            <w:r>
              <w:rPr>
                <w:sz w:val="20"/>
                <w:szCs w:val="20"/>
                <w:lang w:val="en-US"/>
              </w:rPr>
              <w:t>4</w:t>
            </w:r>
          </w:p>
        </w:tc>
        <w:tc>
          <w:tcPr>
            <w:tcW w:w="906" w:type="pct"/>
          </w:tcPr>
          <w:p w:rsidR="00D85AC1" w:rsidRPr="00F36C28" w:rsidRDefault="00D85AC1" w:rsidP="00972CBB">
            <w:pPr>
              <w:rPr>
                <w:sz w:val="20"/>
                <w:szCs w:val="20"/>
                <w:lang w:val="en-US"/>
              </w:rPr>
            </w:pPr>
            <w:r>
              <w:rPr>
                <w:sz w:val="20"/>
                <w:szCs w:val="20"/>
                <w:lang w:val="en-US"/>
              </w:rPr>
              <w:t>17453</w:t>
            </w:r>
            <w:r w:rsidRPr="00F36C28">
              <w:rPr>
                <w:sz w:val="20"/>
                <w:szCs w:val="20"/>
                <w:lang w:val="en-US"/>
              </w:rPr>
              <w:t>.</w:t>
            </w:r>
            <w:r>
              <w:rPr>
                <w:sz w:val="20"/>
                <w:szCs w:val="20"/>
                <w:lang w:val="en-US"/>
              </w:rPr>
              <w:t>2</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Age-Period-Cohort</w:t>
            </w:r>
          </w:p>
        </w:tc>
        <w:tc>
          <w:tcPr>
            <w:tcW w:w="1045" w:type="pct"/>
          </w:tcPr>
          <w:p w:rsidR="00D85AC1" w:rsidRPr="00F36C28" w:rsidRDefault="00D85AC1" w:rsidP="00972CBB">
            <w:pPr>
              <w:rPr>
                <w:sz w:val="20"/>
                <w:szCs w:val="20"/>
                <w:lang w:val="en-US"/>
              </w:rPr>
            </w:pPr>
            <w:r>
              <w:rPr>
                <w:sz w:val="20"/>
                <w:szCs w:val="20"/>
                <w:lang w:val="en-US"/>
              </w:rPr>
              <w:t>152267</w:t>
            </w:r>
            <w:r w:rsidRPr="00F36C28">
              <w:rPr>
                <w:sz w:val="20"/>
                <w:szCs w:val="20"/>
                <w:lang w:val="en-US"/>
              </w:rPr>
              <w:t>.</w:t>
            </w:r>
            <w:r>
              <w:rPr>
                <w:sz w:val="20"/>
                <w:szCs w:val="20"/>
                <w:lang w:val="en-US"/>
              </w:rPr>
              <w:t>2</w:t>
            </w:r>
          </w:p>
        </w:tc>
        <w:tc>
          <w:tcPr>
            <w:tcW w:w="906" w:type="pct"/>
          </w:tcPr>
          <w:p w:rsidR="00D85AC1" w:rsidRPr="00F36C28" w:rsidRDefault="00D85AC1" w:rsidP="00972CBB">
            <w:pPr>
              <w:rPr>
                <w:sz w:val="20"/>
                <w:szCs w:val="20"/>
                <w:lang w:val="en-US"/>
              </w:rPr>
            </w:pPr>
            <w:r>
              <w:rPr>
                <w:sz w:val="20"/>
                <w:szCs w:val="20"/>
                <w:lang w:val="en-US"/>
              </w:rPr>
              <w:t>1345</w:t>
            </w:r>
            <w:r w:rsidRPr="00F36C28">
              <w:rPr>
                <w:sz w:val="20"/>
                <w:szCs w:val="20"/>
                <w:lang w:val="en-US"/>
              </w:rPr>
              <w:t>.</w:t>
            </w:r>
            <w:r>
              <w:rPr>
                <w:sz w:val="20"/>
                <w:szCs w:val="20"/>
                <w:lang w:val="en-US"/>
              </w:rPr>
              <w:t>1</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val="restart"/>
          </w:tcPr>
          <w:p w:rsidR="00D85AC1" w:rsidRPr="00F36C28" w:rsidRDefault="00D85AC1" w:rsidP="00972CBB">
            <w:pPr>
              <w:rPr>
                <w:sz w:val="20"/>
                <w:szCs w:val="20"/>
                <w:lang w:val="en-US"/>
              </w:rPr>
            </w:pPr>
            <w:r w:rsidRPr="00F36C28">
              <w:rPr>
                <w:sz w:val="20"/>
                <w:szCs w:val="20"/>
                <w:lang w:val="en-US"/>
              </w:rPr>
              <w:t>France</w:t>
            </w:r>
          </w:p>
        </w:tc>
        <w:tc>
          <w:tcPr>
            <w:tcW w:w="1370" w:type="pct"/>
          </w:tcPr>
          <w:p w:rsidR="00D85AC1" w:rsidRPr="00F36C28" w:rsidRDefault="00D85AC1" w:rsidP="00972CBB">
            <w:pPr>
              <w:rPr>
                <w:sz w:val="20"/>
                <w:szCs w:val="20"/>
                <w:lang w:val="en-US"/>
              </w:rPr>
            </w:pPr>
            <w:r w:rsidRPr="00F36C28">
              <w:rPr>
                <w:sz w:val="20"/>
                <w:szCs w:val="20"/>
                <w:lang w:val="en-US"/>
              </w:rPr>
              <w:t>Age</w:t>
            </w:r>
          </w:p>
        </w:tc>
        <w:tc>
          <w:tcPr>
            <w:tcW w:w="1045" w:type="pct"/>
          </w:tcPr>
          <w:p w:rsidR="00D85AC1" w:rsidRPr="00F36C28" w:rsidRDefault="00D85AC1" w:rsidP="00972CBB">
            <w:pPr>
              <w:rPr>
                <w:sz w:val="20"/>
                <w:szCs w:val="20"/>
                <w:lang w:val="en-US"/>
              </w:rPr>
            </w:pPr>
            <w:r>
              <w:rPr>
                <w:sz w:val="20"/>
                <w:szCs w:val="20"/>
                <w:lang w:val="en-US"/>
              </w:rPr>
              <w:t>118548</w:t>
            </w:r>
            <w:r w:rsidRPr="00F36C28">
              <w:rPr>
                <w:sz w:val="20"/>
                <w:szCs w:val="20"/>
                <w:lang w:val="en-US"/>
              </w:rPr>
              <w:t>.</w:t>
            </w:r>
            <w:r>
              <w:rPr>
                <w:sz w:val="20"/>
                <w:szCs w:val="20"/>
                <w:lang w:val="en-US"/>
              </w:rPr>
              <w:t>9</w:t>
            </w:r>
          </w:p>
        </w:tc>
        <w:tc>
          <w:tcPr>
            <w:tcW w:w="906" w:type="pct"/>
          </w:tcPr>
          <w:p w:rsidR="00D85AC1" w:rsidRPr="00F36C28" w:rsidRDefault="00D85AC1" w:rsidP="00972CBB">
            <w:pPr>
              <w:rPr>
                <w:sz w:val="20"/>
                <w:szCs w:val="20"/>
                <w:lang w:val="en-US"/>
              </w:rPr>
            </w:pPr>
            <w:r w:rsidRPr="00F36C28">
              <w:rPr>
                <w:sz w:val="20"/>
                <w:szCs w:val="20"/>
                <w:lang w:val="en-US"/>
              </w:rPr>
              <w:t>NA</w:t>
            </w:r>
          </w:p>
        </w:tc>
        <w:tc>
          <w:tcPr>
            <w:tcW w:w="993" w:type="pct"/>
          </w:tcPr>
          <w:p w:rsidR="00D85AC1" w:rsidRPr="00F36C28" w:rsidRDefault="00D85AC1" w:rsidP="00972CBB">
            <w:pPr>
              <w:rPr>
                <w:sz w:val="20"/>
                <w:szCs w:val="20"/>
                <w:lang w:val="en-US"/>
              </w:rPr>
            </w:pPr>
            <w:r w:rsidRPr="00F36C28">
              <w:rPr>
                <w:sz w:val="20"/>
                <w:szCs w:val="20"/>
                <w:lang w:val="en-US"/>
              </w:rPr>
              <w:t>NA</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Pr>
                <w:sz w:val="20"/>
                <w:szCs w:val="20"/>
                <w:lang w:val="en-US"/>
              </w:rPr>
              <w:t>Age-Drif</w:t>
            </w:r>
            <w:r w:rsidRPr="00F36C28">
              <w:rPr>
                <w:sz w:val="20"/>
                <w:szCs w:val="20"/>
                <w:lang w:val="en-US"/>
              </w:rPr>
              <w:t>t</w:t>
            </w:r>
          </w:p>
        </w:tc>
        <w:tc>
          <w:tcPr>
            <w:tcW w:w="1045" w:type="pct"/>
          </w:tcPr>
          <w:p w:rsidR="00D85AC1" w:rsidRDefault="00D85AC1" w:rsidP="00972CBB">
            <w:pPr>
              <w:rPr>
                <w:sz w:val="20"/>
                <w:szCs w:val="20"/>
                <w:lang w:val="en-US"/>
              </w:rPr>
            </w:pPr>
            <w:r>
              <w:rPr>
                <w:sz w:val="20"/>
                <w:szCs w:val="20"/>
                <w:lang w:val="en-US"/>
              </w:rPr>
              <w:t>114460.5</w:t>
            </w:r>
          </w:p>
        </w:tc>
        <w:tc>
          <w:tcPr>
            <w:tcW w:w="906" w:type="pct"/>
          </w:tcPr>
          <w:p w:rsidR="00D85AC1" w:rsidRPr="00F36C28" w:rsidRDefault="00D85AC1" w:rsidP="00972CBB">
            <w:pPr>
              <w:rPr>
                <w:sz w:val="20"/>
                <w:szCs w:val="20"/>
                <w:lang w:val="en-US"/>
              </w:rPr>
            </w:pPr>
            <w:r>
              <w:rPr>
                <w:sz w:val="20"/>
                <w:szCs w:val="20"/>
                <w:lang w:val="en-US"/>
              </w:rPr>
              <w:t>4088.5</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Age-Cohort</w:t>
            </w:r>
          </w:p>
        </w:tc>
        <w:tc>
          <w:tcPr>
            <w:tcW w:w="1045" w:type="pct"/>
          </w:tcPr>
          <w:p w:rsidR="00D85AC1" w:rsidRPr="00F36C28" w:rsidRDefault="00D85AC1" w:rsidP="00972CBB">
            <w:pPr>
              <w:rPr>
                <w:sz w:val="20"/>
                <w:szCs w:val="20"/>
                <w:lang w:val="en-US"/>
              </w:rPr>
            </w:pPr>
            <w:r>
              <w:rPr>
                <w:sz w:val="20"/>
                <w:szCs w:val="20"/>
                <w:lang w:val="en-US"/>
              </w:rPr>
              <w:t>104994</w:t>
            </w:r>
            <w:r w:rsidRPr="00F36C28">
              <w:rPr>
                <w:sz w:val="20"/>
                <w:szCs w:val="20"/>
                <w:lang w:val="en-US"/>
              </w:rPr>
              <w:t>.</w:t>
            </w:r>
            <w:r>
              <w:rPr>
                <w:sz w:val="20"/>
                <w:szCs w:val="20"/>
                <w:lang w:val="en-US"/>
              </w:rPr>
              <w:t>4</w:t>
            </w:r>
          </w:p>
        </w:tc>
        <w:tc>
          <w:tcPr>
            <w:tcW w:w="906" w:type="pct"/>
          </w:tcPr>
          <w:p w:rsidR="00D85AC1" w:rsidRPr="00F36C28" w:rsidRDefault="00D85AC1" w:rsidP="00972CBB">
            <w:pPr>
              <w:rPr>
                <w:sz w:val="20"/>
                <w:szCs w:val="20"/>
                <w:lang w:val="en-US"/>
              </w:rPr>
            </w:pPr>
            <w:r>
              <w:rPr>
                <w:sz w:val="20"/>
                <w:szCs w:val="20"/>
                <w:lang w:val="en-US"/>
              </w:rPr>
              <w:t>9466</w:t>
            </w:r>
            <w:r w:rsidRPr="00F36C28">
              <w:rPr>
                <w:sz w:val="20"/>
                <w:szCs w:val="20"/>
                <w:lang w:val="en-US"/>
              </w:rPr>
              <w:t>.</w:t>
            </w:r>
            <w:r>
              <w:rPr>
                <w:sz w:val="20"/>
                <w:szCs w:val="20"/>
                <w:lang w:val="en-US"/>
              </w:rPr>
              <w:t>1</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Pr>
          <w:p w:rsidR="00D85AC1" w:rsidRPr="00F36C28" w:rsidRDefault="00D85AC1" w:rsidP="00972CBB">
            <w:pPr>
              <w:rPr>
                <w:sz w:val="20"/>
                <w:szCs w:val="20"/>
                <w:lang w:val="en-US"/>
              </w:rPr>
            </w:pPr>
          </w:p>
        </w:tc>
        <w:tc>
          <w:tcPr>
            <w:tcW w:w="1370" w:type="pct"/>
          </w:tcPr>
          <w:p w:rsidR="00D85AC1" w:rsidRPr="00F36C28" w:rsidRDefault="00D85AC1" w:rsidP="00972CBB">
            <w:pPr>
              <w:rPr>
                <w:sz w:val="20"/>
                <w:szCs w:val="20"/>
                <w:lang w:val="en-US"/>
              </w:rPr>
            </w:pPr>
            <w:r w:rsidRPr="00F36C28">
              <w:rPr>
                <w:sz w:val="20"/>
                <w:szCs w:val="20"/>
                <w:lang w:val="en-US"/>
              </w:rPr>
              <w:t>Age-Period</w:t>
            </w:r>
          </w:p>
        </w:tc>
        <w:tc>
          <w:tcPr>
            <w:tcW w:w="1045" w:type="pct"/>
          </w:tcPr>
          <w:p w:rsidR="00D85AC1" w:rsidRPr="00F36C28" w:rsidRDefault="00D85AC1" w:rsidP="00972CBB">
            <w:pPr>
              <w:rPr>
                <w:sz w:val="20"/>
                <w:szCs w:val="20"/>
                <w:lang w:val="en-US"/>
              </w:rPr>
            </w:pPr>
            <w:r>
              <w:rPr>
                <w:sz w:val="20"/>
                <w:szCs w:val="20"/>
                <w:lang w:val="en-US"/>
              </w:rPr>
              <w:t>113509</w:t>
            </w:r>
            <w:r w:rsidRPr="00F36C28">
              <w:rPr>
                <w:sz w:val="20"/>
                <w:szCs w:val="20"/>
                <w:lang w:val="en-US"/>
              </w:rPr>
              <w:t>.</w:t>
            </w:r>
            <w:r>
              <w:rPr>
                <w:sz w:val="20"/>
                <w:szCs w:val="20"/>
                <w:lang w:val="en-US"/>
              </w:rPr>
              <w:t>2</w:t>
            </w:r>
          </w:p>
        </w:tc>
        <w:tc>
          <w:tcPr>
            <w:tcW w:w="906" w:type="pct"/>
          </w:tcPr>
          <w:p w:rsidR="00D85AC1" w:rsidRPr="00F36C28" w:rsidRDefault="00D85AC1" w:rsidP="00972CBB">
            <w:pPr>
              <w:rPr>
                <w:sz w:val="20"/>
                <w:szCs w:val="20"/>
                <w:lang w:val="en-US"/>
              </w:rPr>
            </w:pPr>
            <w:r>
              <w:rPr>
                <w:sz w:val="20"/>
                <w:szCs w:val="20"/>
                <w:lang w:val="en-US"/>
              </w:rPr>
              <w:t>9093</w:t>
            </w:r>
            <w:r w:rsidRPr="00F36C28">
              <w:rPr>
                <w:sz w:val="20"/>
                <w:szCs w:val="20"/>
                <w:lang w:val="en-US"/>
              </w:rPr>
              <w:t>.</w:t>
            </w:r>
            <w:r>
              <w:rPr>
                <w:sz w:val="20"/>
                <w:szCs w:val="20"/>
                <w:lang w:val="en-US"/>
              </w:rPr>
              <w:t>3</w:t>
            </w:r>
          </w:p>
        </w:tc>
        <w:tc>
          <w:tcPr>
            <w:tcW w:w="993" w:type="pct"/>
          </w:tcPr>
          <w:p w:rsidR="00D85AC1" w:rsidRPr="00F36C28" w:rsidRDefault="00D85AC1" w:rsidP="00972CBB">
            <w:pPr>
              <w:rPr>
                <w:sz w:val="20"/>
                <w:szCs w:val="20"/>
                <w:lang w:val="en-US"/>
              </w:rPr>
            </w:pPr>
            <w:r w:rsidRPr="00F36C28">
              <w:rPr>
                <w:sz w:val="20"/>
                <w:szCs w:val="20"/>
                <w:lang w:val="en-US"/>
              </w:rPr>
              <w:t>&lt;0.001</w:t>
            </w:r>
          </w:p>
        </w:tc>
      </w:tr>
      <w:tr w:rsidR="00D85AC1" w:rsidTr="00972CBB">
        <w:tc>
          <w:tcPr>
            <w:tcW w:w="686" w:type="pct"/>
            <w:vMerge/>
            <w:tcBorders>
              <w:bottom w:val="single" w:sz="4" w:space="0" w:color="auto"/>
            </w:tcBorders>
          </w:tcPr>
          <w:p w:rsidR="00D85AC1" w:rsidRPr="00F36C28" w:rsidRDefault="00D85AC1" w:rsidP="00972CBB">
            <w:pPr>
              <w:rPr>
                <w:sz w:val="20"/>
                <w:szCs w:val="20"/>
                <w:lang w:val="en-US"/>
              </w:rPr>
            </w:pPr>
          </w:p>
        </w:tc>
        <w:tc>
          <w:tcPr>
            <w:tcW w:w="1370" w:type="pct"/>
            <w:tcBorders>
              <w:bottom w:val="single" w:sz="4" w:space="0" w:color="auto"/>
            </w:tcBorders>
          </w:tcPr>
          <w:p w:rsidR="00D85AC1" w:rsidRPr="00F36C28" w:rsidRDefault="00D85AC1" w:rsidP="00972CBB">
            <w:pPr>
              <w:rPr>
                <w:sz w:val="20"/>
                <w:szCs w:val="20"/>
                <w:lang w:val="en-US"/>
              </w:rPr>
            </w:pPr>
            <w:r w:rsidRPr="00F36C28">
              <w:rPr>
                <w:sz w:val="20"/>
                <w:szCs w:val="20"/>
                <w:lang w:val="en-US"/>
              </w:rPr>
              <w:t>Age-Period-Cohort</w:t>
            </w:r>
          </w:p>
        </w:tc>
        <w:tc>
          <w:tcPr>
            <w:tcW w:w="1045" w:type="pct"/>
            <w:tcBorders>
              <w:bottom w:val="single" w:sz="4" w:space="0" w:color="auto"/>
            </w:tcBorders>
          </w:tcPr>
          <w:p w:rsidR="00D85AC1" w:rsidRPr="00F36C28" w:rsidRDefault="00D85AC1" w:rsidP="00972CBB">
            <w:pPr>
              <w:rPr>
                <w:sz w:val="20"/>
                <w:szCs w:val="20"/>
                <w:lang w:val="en-US"/>
              </w:rPr>
            </w:pPr>
            <w:r>
              <w:rPr>
                <w:sz w:val="20"/>
                <w:szCs w:val="20"/>
                <w:lang w:val="en-US"/>
              </w:rPr>
              <w:t>104416.0</w:t>
            </w:r>
          </w:p>
        </w:tc>
        <w:tc>
          <w:tcPr>
            <w:tcW w:w="906" w:type="pct"/>
            <w:tcBorders>
              <w:bottom w:val="single" w:sz="4" w:space="0" w:color="auto"/>
            </w:tcBorders>
          </w:tcPr>
          <w:p w:rsidR="00D85AC1" w:rsidRPr="00F36C28" w:rsidRDefault="00D85AC1" w:rsidP="00972CBB">
            <w:pPr>
              <w:rPr>
                <w:sz w:val="20"/>
                <w:szCs w:val="20"/>
                <w:lang w:val="en-US"/>
              </w:rPr>
            </w:pPr>
            <w:r>
              <w:rPr>
                <w:sz w:val="20"/>
                <w:szCs w:val="20"/>
                <w:lang w:val="en-US"/>
              </w:rPr>
              <w:t>578</w:t>
            </w:r>
            <w:r w:rsidRPr="00F36C28">
              <w:rPr>
                <w:sz w:val="20"/>
                <w:szCs w:val="20"/>
                <w:lang w:val="en-US"/>
              </w:rPr>
              <w:t>.</w:t>
            </w:r>
            <w:r>
              <w:rPr>
                <w:sz w:val="20"/>
                <w:szCs w:val="20"/>
                <w:lang w:val="en-US"/>
              </w:rPr>
              <w:t>4</w:t>
            </w:r>
          </w:p>
        </w:tc>
        <w:tc>
          <w:tcPr>
            <w:tcW w:w="993" w:type="pct"/>
            <w:tcBorders>
              <w:bottom w:val="single" w:sz="4" w:space="0" w:color="auto"/>
            </w:tcBorders>
          </w:tcPr>
          <w:p w:rsidR="00D85AC1" w:rsidRPr="00F36C28" w:rsidRDefault="00D85AC1" w:rsidP="00972CBB">
            <w:pPr>
              <w:rPr>
                <w:sz w:val="20"/>
                <w:szCs w:val="20"/>
                <w:lang w:val="en-US"/>
              </w:rPr>
            </w:pPr>
            <w:r w:rsidRPr="00F36C28">
              <w:rPr>
                <w:sz w:val="20"/>
                <w:szCs w:val="20"/>
                <w:lang w:val="en-US"/>
              </w:rPr>
              <w:t>&lt;0.001</w:t>
            </w:r>
          </w:p>
        </w:tc>
      </w:tr>
    </w:tbl>
    <w:p w:rsidR="000153F3" w:rsidRDefault="000153F3" w:rsidP="000153F3">
      <w:pPr>
        <w:rPr>
          <w:lang w:val="en-US"/>
        </w:rPr>
      </w:pPr>
      <w:r>
        <w:rPr>
          <w:color w:val="auto"/>
          <w:lang w:val="en-US"/>
        </w:rPr>
        <w:t>Table 1. Analysis of variance for one factor, two factor and three factor models for selected countries</w:t>
      </w:r>
      <w:r>
        <w:rPr>
          <w:b/>
          <w:color w:val="auto"/>
          <w:lang w:val="en-US"/>
        </w:rPr>
        <w:t xml:space="preserve">. </w:t>
      </w:r>
      <w:r>
        <w:rPr>
          <w:lang w:val="en-US"/>
        </w:rPr>
        <w:t>(</w:t>
      </w:r>
      <w:r>
        <w:rPr>
          <w:b/>
          <w:lang w:val="en-US"/>
        </w:rPr>
        <w:t>author´s calculations based on SHARE-ERIC</w:t>
      </w:r>
      <w:r>
        <w:rPr>
          <w:lang w:val="en-US"/>
        </w:rPr>
        <w:t>).</w:t>
      </w:r>
    </w:p>
    <w:p w:rsidR="00955AAC" w:rsidRDefault="00955AAC" w:rsidP="00690B29">
      <w:pPr>
        <w:spacing w:line="360" w:lineRule="auto"/>
        <w:jc w:val="both"/>
        <w:rPr>
          <w:rStyle w:val="gnkrckgcgsb"/>
          <w:rFonts w:ascii="Lucida Console" w:hAnsi="Lucida Console" w:cs="Courier New"/>
          <w:color w:val="000000"/>
          <w:sz w:val="20"/>
          <w:szCs w:val="20"/>
          <w:bdr w:val="none" w:sz="0" w:space="0" w:color="auto" w:frame="1"/>
          <w:lang w:val="en-US" w:eastAsia="en-US"/>
        </w:rPr>
      </w:pPr>
    </w:p>
    <w:p w:rsidR="008659DB" w:rsidRPr="00955AAC" w:rsidRDefault="008659DB" w:rsidP="00690B29">
      <w:pPr>
        <w:spacing w:line="360" w:lineRule="auto"/>
        <w:jc w:val="both"/>
        <w:rPr>
          <w:rStyle w:val="gnkrckgcgsb"/>
          <w:rFonts w:ascii="Lucida Console" w:hAnsi="Lucida Console" w:cs="Courier New"/>
          <w:color w:val="000000"/>
          <w:sz w:val="20"/>
          <w:szCs w:val="20"/>
          <w:bdr w:val="none" w:sz="0" w:space="0" w:color="auto" w:frame="1"/>
          <w:lang w:val="en-US" w:eastAsia="en-US"/>
        </w:rPr>
      </w:pPr>
    </w:p>
    <w:p w:rsidR="00690B29" w:rsidRDefault="00690B29" w:rsidP="00690B29">
      <w:pPr>
        <w:spacing w:line="360" w:lineRule="auto"/>
        <w:jc w:val="both"/>
        <w:rPr>
          <w:u w:val="single"/>
          <w:lang w:val="en-US"/>
        </w:rPr>
      </w:pPr>
      <w:r>
        <w:rPr>
          <w:u w:val="single"/>
          <w:lang w:val="en-US"/>
        </w:rPr>
        <w:lastRenderedPageBreak/>
        <w:t>A</w:t>
      </w:r>
      <w:r w:rsidR="006517DB">
        <w:rPr>
          <w:u w:val="single"/>
          <w:lang w:val="en-US"/>
        </w:rPr>
        <w:t xml:space="preserve">ge, </w:t>
      </w:r>
      <w:proofErr w:type="gramStart"/>
      <w:r>
        <w:rPr>
          <w:u w:val="single"/>
          <w:lang w:val="en-US"/>
        </w:rPr>
        <w:t>P</w:t>
      </w:r>
      <w:r w:rsidR="006517DB">
        <w:rPr>
          <w:u w:val="single"/>
          <w:lang w:val="en-US"/>
        </w:rPr>
        <w:t>eriod  and</w:t>
      </w:r>
      <w:proofErr w:type="gramEnd"/>
      <w:r w:rsidR="006517DB">
        <w:rPr>
          <w:u w:val="single"/>
          <w:lang w:val="en-US"/>
        </w:rPr>
        <w:t xml:space="preserve"> </w:t>
      </w:r>
      <w:r>
        <w:rPr>
          <w:u w:val="single"/>
          <w:lang w:val="en-US"/>
        </w:rPr>
        <w:t>C</w:t>
      </w:r>
      <w:r w:rsidR="006517DB">
        <w:rPr>
          <w:u w:val="single"/>
          <w:lang w:val="en-US"/>
        </w:rPr>
        <w:t>ohort</w:t>
      </w:r>
      <w:r>
        <w:rPr>
          <w:u w:val="single"/>
          <w:lang w:val="en-US"/>
        </w:rPr>
        <w:t xml:space="preserve"> effects:</w:t>
      </w:r>
    </w:p>
    <w:p w:rsidR="00690B29" w:rsidRDefault="00690B29" w:rsidP="00690B29">
      <w:pPr>
        <w:spacing w:line="360" w:lineRule="auto"/>
        <w:jc w:val="both"/>
        <w:rPr>
          <w:lang w:val="en-US"/>
        </w:rPr>
      </w:pPr>
    </w:p>
    <w:p w:rsidR="00690B29" w:rsidRDefault="00A37854" w:rsidP="00690B29">
      <w:pPr>
        <w:spacing w:line="360" w:lineRule="auto"/>
        <w:ind w:firstLine="708"/>
        <w:jc w:val="both"/>
        <w:rPr>
          <w:u w:val="single"/>
          <w:lang w:val="en-US"/>
        </w:rPr>
      </w:pPr>
      <w:r>
        <w:rPr>
          <w:lang w:val="en-US"/>
        </w:rPr>
        <w:t>Figure 6</w:t>
      </w:r>
      <w:r w:rsidR="00690B29">
        <w:rPr>
          <w:lang w:val="en-US"/>
        </w:rPr>
        <w:t xml:space="preserve"> describes is the overall APC effects </w:t>
      </w:r>
      <w:r w:rsidR="003E12BA">
        <w:rPr>
          <w:lang w:val="en-US"/>
        </w:rPr>
        <w:t>in</w:t>
      </w:r>
      <w:r w:rsidR="00690B29">
        <w:rPr>
          <w:lang w:val="en-US"/>
        </w:rPr>
        <w:t xml:space="preserve"> the selected countries. The general </w:t>
      </w:r>
      <w:r w:rsidR="0062795F">
        <w:rPr>
          <w:lang w:val="en-US"/>
        </w:rPr>
        <w:t xml:space="preserve">non-linear </w:t>
      </w:r>
      <w:r w:rsidR="00172E6E">
        <w:rPr>
          <w:lang w:val="en-US"/>
        </w:rPr>
        <w:t>age pattern</w:t>
      </w:r>
      <w:r w:rsidR="00BC7951">
        <w:rPr>
          <w:lang w:val="en-US"/>
        </w:rPr>
        <w:t xml:space="preserve"> (all age effects are</w:t>
      </w:r>
      <w:r w:rsidR="00325A80">
        <w:rPr>
          <w:lang w:val="en-US"/>
        </w:rPr>
        <w:t xml:space="preserve"> interpretable as</w:t>
      </w:r>
      <w:r w:rsidR="00E1735B">
        <w:rPr>
          <w:lang w:val="en-US"/>
        </w:rPr>
        <w:t xml:space="preserve"> longitudinal trajectories of the reference cohort</w:t>
      </w:r>
      <w:r w:rsidR="00BC7951">
        <w:rPr>
          <w:lang w:val="en-US"/>
        </w:rPr>
        <w:t>)</w:t>
      </w:r>
      <w:r w:rsidR="00172E6E">
        <w:rPr>
          <w:lang w:val="en-US"/>
        </w:rPr>
        <w:t xml:space="preserve"> reveals a similar J-</w:t>
      </w:r>
      <w:r w:rsidR="00690B29">
        <w:rPr>
          <w:lang w:val="en-US"/>
        </w:rPr>
        <w:t xml:space="preserve">shaped fashion, with </w:t>
      </w:r>
      <w:r w:rsidR="00E1735B">
        <w:rPr>
          <w:lang w:val="en-US"/>
        </w:rPr>
        <w:t xml:space="preserve">moderate valleys </w:t>
      </w:r>
      <w:r w:rsidR="00690B29">
        <w:rPr>
          <w:lang w:val="en-US"/>
        </w:rPr>
        <w:t xml:space="preserve">improvements in the prevalence rates between the ages 60 and </w:t>
      </w:r>
      <w:proofErr w:type="gramStart"/>
      <w:r w:rsidR="00690B29">
        <w:rPr>
          <w:lang w:val="en-US"/>
        </w:rPr>
        <w:t>70  before</w:t>
      </w:r>
      <w:proofErr w:type="gramEnd"/>
      <w:r w:rsidR="00690B29">
        <w:rPr>
          <w:lang w:val="en-US"/>
        </w:rPr>
        <w:t xml:space="preserve"> increasing sharply</w:t>
      </w:r>
      <w:r w:rsidR="00E1735B">
        <w:rPr>
          <w:lang w:val="en-US"/>
        </w:rPr>
        <w:t>, except for Germany, where the increase is almost unimpeded, and Italy, where concavity is not apparent</w:t>
      </w:r>
      <w:r w:rsidR="00690B29">
        <w:rPr>
          <w:lang w:val="en-US"/>
        </w:rPr>
        <w:t xml:space="preserve">. Cohort trends are consistent with the previous three figures and indicate a firm improvement in the relative risk for Spain, a much more modest improvement for Italy, </w:t>
      </w:r>
      <w:r w:rsidR="00E1735B">
        <w:rPr>
          <w:lang w:val="en-US"/>
        </w:rPr>
        <w:t xml:space="preserve">a steep increase for Germany </w:t>
      </w:r>
      <w:r w:rsidR="00690B29">
        <w:rPr>
          <w:lang w:val="en-US"/>
        </w:rPr>
        <w:t xml:space="preserve">and a slight increase in the relative risk for the and youngest </w:t>
      </w:r>
      <w:r w:rsidR="003E12BA">
        <w:rPr>
          <w:lang w:val="en-US"/>
        </w:rPr>
        <w:t xml:space="preserve">French, </w:t>
      </w:r>
      <w:r w:rsidR="00690B29">
        <w:rPr>
          <w:lang w:val="en-US"/>
        </w:rPr>
        <w:t xml:space="preserve">Danish and Swedish cohorts when compared to </w:t>
      </w:r>
      <w:r w:rsidR="003E12BA">
        <w:rPr>
          <w:lang w:val="en-US"/>
        </w:rPr>
        <w:t>the reference</w:t>
      </w:r>
      <w:r w:rsidR="00690B29">
        <w:rPr>
          <w:lang w:val="en-US"/>
        </w:rPr>
        <w:t xml:space="preserve"> but no clear indication that those trends will continue. In terms of Period effects, we can identify a spike in relative risk for </w:t>
      </w:r>
      <w:r w:rsidR="003232C5">
        <w:rPr>
          <w:lang w:val="en-US"/>
        </w:rPr>
        <w:t>Germany</w:t>
      </w:r>
      <w:r w:rsidR="00690B29">
        <w:rPr>
          <w:lang w:val="en-US"/>
        </w:rPr>
        <w:t xml:space="preserve"> during the </w:t>
      </w:r>
      <w:r w:rsidR="003527F8">
        <w:rPr>
          <w:lang w:val="en-US"/>
        </w:rPr>
        <w:t>2012</w:t>
      </w:r>
      <w:r w:rsidR="00690B29">
        <w:rPr>
          <w:lang w:val="en-US"/>
        </w:rPr>
        <w:t xml:space="preserve"> period </w:t>
      </w:r>
      <w:r w:rsidR="003E12BA">
        <w:rPr>
          <w:lang w:val="en-US"/>
        </w:rPr>
        <w:t>respectively;</w:t>
      </w:r>
      <w:r w:rsidR="003232C5">
        <w:rPr>
          <w:lang w:val="en-US"/>
        </w:rPr>
        <w:t xml:space="preserve"> while the remaining countries show almost no variation</w:t>
      </w:r>
      <w:r w:rsidR="00341595">
        <w:rPr>
          <w:lang w:val="en-US"/>
        </w:rPr>
        <w:t>, as expected</w:t>
      </w:r>
      <w:r w:rsidR="00690B29">
        <w:rPr>
          <w:lang w:val="en-US"/>
        </w:rPr>
        <w:t xml:space="preserve"> </w:t>
      </w:r>
      <w:r w:rsidR="003E12BA">
        <w:rPr>
          <w:lang w:val="en-US"/>
        </w:rPr>
        <w:t>(</w:t>
      </w:r>
      <w:r w:rsidR="006D6562">
        <w:rPr>
          <w:lang w:val="en-US"/>
        </w:rPr>
        <w:t>a</w:t>
      </w:r>
      <w:r w:rsidR="003E12BA">
        <w:rPr>
          <w:lang w:val="en-US"/>
        </w:rPr>
        <w:t xml:space="preserve"> theoretical alternative for those effects is presented in the appendix, with a period-major </w:t>
      </w:r>
      <w:r w:rsidR="001872CC">
        <w:rPr>
          <w:lang w:val="en-US"/>
        </w:rPr>
        <w:t>parameterization</w:t>
      </w:r>
      <w:r w:rsidR="003527F8">
        <w:rPr>
          <w:lang w:val="en-US"/>
        </w:rPr>
        <w:t xml:space="preserve"> centered in 2012</w:t>
      </w:r>
      <w:r w:rsidR="003E12BA">
        <w:rPr>
          <w:lang w:val="en-US"/>
        </w:rPr>
        <w:t xml:space="preserve">. Figure 1A </w:t>
      </w:r>
      <w:r w:rsidR="00D0002F">
        <w:rPr>
          <w:lang w:val="en-US"/>
        </w:rPr>
        <w:t xml:space="preserve">is </w:t>
      </w:r>
      <w:r w:rsidR="001872CC">
        <w:rPr>
          <w:lang w:val="en-US"/>
        </w:rPr>
        <w:t>mostly</w:t>
      </w:r>
      <w:r w:rsidR="00D0002F">
        <w:rPr>
          <w:lang w:val="en-US"/>
        </w:rPr>
        <w:t xml:space="preserve"> opposite </w:t>
      </w:r>
      <w:r w:rsidR="0062795F">
        <w:rPr>
          <w:lang w:val="en-US"/>
        </w:rPr>
        <w:t>of</w:t>
      </w:r>
      <w:r w:rsidR="00D0002F">
        <w:rPr>
          <w:lang w:val="en-US"/>
        </w:rPr>
        <w:t xml:space="preserve"> Figure 6 in terms of cohort and period </w:t>
      </w:r>
      <w:r w:rsidR="001872CC">
        <w:rPr>
          <w:lang w:val="en-US"/>
        </w:rPr>
        <w:t>effects</w:t>
      </w:r>
      <w:r w:rsidR="003E12BA">
        <w:rPr>
          <w:lang w:val="en-US"/>
        </w:rPr>
        <w:t>).</w:t>
      </w:r>
    </w:p>
    <w:p w:rsidR="00690B29" w:rsidRDefault="00690B29" w:rsidP="00690B29">
      <w:pPr>
        <w:spacing w:line="360" w:lineRule="auto"/>
        <w:jc w:val="both"/>
        <w:rPr>
          <w:noProof/>
          <w:lang w:val="en-US" w:eastAsia="en-US"/>
        </w:rPr>
      </w:pPr>
      <w:bookmarkStart w:id="0" w:name="_GoBack"/>
      <w:bookmarkEnd w:id="0"/>
    </w:p>
    <w:p w:rsidR="003F5C6F" w:rsidRPr="00B16CF8" w:rsidRDefault="00DB2241" w:rsidP="00690B29">
      <w:pPr>
        <w:spacing w:line="360" w:lineRule="auto"/>
        <w:jc w:val="both"/>
        <w:rPr>
          <w:noProof/>
          <w:lang w:val="en-US" w:eastAsia="en-US"/>
        </w:rPr>
      </w:pPr>
      <w:r>
        <w:rPr>
          <w:noProof/>
          <w:lang w:val="en-US" w:eastAsia="en-US"/>
        </w:rPr>
        <w:drawing>
          <wp:inline distT="0" distB="0" distL="0" distR="0">
            <wp:extent cx="5612130" cy="3440953"/>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3440953"/>
                    </a:xfrm>
                    <a:prstGeom prst="rect">
                      <a:avLst/>
                    </a:prstGeom>
                    <a:noFill/>
                    <a:ln w="9525">
                      <a:noFill/>
                      <a:miter lim="800000"/>
                      <a:headEnd/>
                      <a:tailEnd/>
                    </a:ln>
                  </pic:spPr>
                </pic:pic>
              </a:graphicData>
            </a:graphic>
          </wp:inline>
        </w:drawing>
      </w:r>
    </w:p>
    <w:p w:rsidR="00952196" w:rsidRDefault="003232C5" w:rsidP="00690B29">
      <w:pPr>
        <w:spacing w:line="360" w:lineRule="auto"/>
        <w:jc w:val="both"/>
        <w:rPr>
          <w:noProof/>
          <w:lang w:val="en-US" w:eastAsia="en-US"/>
        </w:rPr>
      </w:pPr>
      <w:r>
        <w:rPr>
          <w:noProof/>
          <w:lang w:val="en-US" w:eastAsia="en-US"/>
        </w:rPr>
        <w:t>Figure 6</w:t>
      </w:r>
      <w:r w:rsidR="00325A80">
        <w:rPr>
          <w:noProof/>
          <w:lang w:val="en-US" w:eastAsia="en-US"/>
        </w:rPr>
        <w:t>.</w:t>
      </w:r>
      <w:r w:rsidR="00690B29">
        <w:rPr>
          <w:noProof/>
          <w:lang w:val="en-US" w:eastAsia="en-US"/>
        </w:rPr>
        <w:t xml:space="preserve"> APC effects of Depression Prevalence in selected European countries </w:t>
      </w:r>
    </w:p>
    <w:p w:rsidR="00690B29" w:rsidRPr="00D154A2" w:rsidRDefault="00690B29" w:rsidP="00690B29">
      <w:pPr>
        <w:spacing w:line="360" w:lineRule="auto"/>
        <w:jc w:val="both"/>
        <w:rPr>
          <w:noProof/>
          <w:lang w:val="en-US" w:eastAsia="en-US"/>
        </w:rPr>
      </w:pPr>
      <w:r>
        <w:rPr>
          <w:lang w:val="en-US"/>
        </w:rPr>
        <w:lastRenderedPageBreak/>
        <w:t>(</w:t>
      </w:r>
      <w:r w:rsidRPr="003A0001">
        <w:rPr>
          <w:b/>
          <w:lang w:val="en-US"/>
        </w:rPr>
        <w:t>author´s calculations based on SHARE-ERIC</w:t>
      </w:r>
      <w:r>
        <w:rPr>
          <w:lang w:val="en-US"/>
        </w:rPr>
        <w:t>)</w:t>
      </w:r>
      <w:r>
        <w:rPr>
          <w:noProof/>
          <w:lang w:val="en-US" w:eastAsia="en-US"/>
        </w:rPr>
        <w:t xml:space="preserve">. </w:t>
      </w:r>
    </w:p>
    <w:p w:rsidR="00690B29" w:rsidRDefault="00690B29" w:rsidP="00690B29">
      <w:pPr>
        <w:spacing w:line="360" w:lineRule="auto"/>
        <w:jc w:val="both"/>
        <w:rPr>
          <w:u w:val="single"/>
          <w:lang w:val="en-US"/>
        </w:rPr>
      </w:pPr>
    </w:p>
    <w:p w:rsidR="00690B29" w:rsidRPr="0003196C" w:rsidRDefault="00690B29" w:rsidP="00690B29">
      <w:pPr>
        <w:spacing w:line="360" w:lineRule="auto"/>
        <w:jc w:val="both"/>
        <w:rPr>
          <w:u w:val="single"/>
          <w:lang w:val="en-US"/>
        </w:rPr>
      </w:pPr>
      <w:r>
        <w:rPr>
          <w:u w:val="single"/>
          <w:lang w:val="en-US"/>
        </w:rPr>
        <w:t>APC effects by Sex</w:t>
      </w:r>
      <w:r w:rsidRPr="0003196C">
        <w:rPr>
          <w:u w:val="single"/>
          <w:lang w:val="en-US"/>
        </w:rPr>
        <w:t>:</w:t>
      </w:r>
    </w:p>
    <w:p w:rsidR="00690B29" w:rsidRDefault="00A37854" w:rsidP="00690B29">
      <w:pPr>
        <w:spacing w:line="360" w:lineRule="auto"/>
        <w:ind w:firstLine="708"/>
        <w:jc w:val="both"/>
        <w:rPr>
          <w:lang w:val="en-US"/>
        </w:rPr>
      </w:pPr>
      <w:r>
        <w:rPr>
          <w:lang w:val="en-US"/>
        </w:rPr>
        <w:t>Figure 7</w:t>
      </w:r>
      <w:r w:rsidR="00690B29">
        <w:rPr>
          <w:lang w:val="en-US"/>
        </w:rPr>
        <w:t xml:space="preserve"> illustrates the estimated effects of the three dimensions for males in the selected countries. As with the previous figure, we can identify the </w:t>
      </w:r>
      <w:r w:rsidR="004A0752">
        <w:rPr>
          <w:lang w:val="en-US"/>
        </w:rPr>
        <w:t>curved</w:t>
      </w:r>
      <w:r w:rsidR="001F7E3A">
        <w:rPr>
          <w:lang w:val="en-US"/>
        </w:rPr>
        <w:t xml:space="preserve"> </w:t>
      </w:r>
      <w:r w:rsidR="00690B29">
        <w:rPr>
          <w:lang w:val="en-US"/>
        </w:rPr>
        <w:t>pattern for Sweden, Denmark and Spain (albeit with highest rates at every single age group) in the age trajectory</w:t>
      </w:r>
      <w:r w:rsidR="00325A80">
        <w:rPr>
          <w:lang w:val="en-US"/>
        </w:rPr>
        <w:t xml:space="preserve"> for the reference cohort</w:t>
      </w:r>
      <w:r w:rsidR="00690B29">
        <w:rPr>
          <w:lang w:val="en-US"/>
        </w:rPr>
        <w:t xml:space="preserve">, with the lowest rates registered nearing </w:t>
      </w:r>
      <w:r w:rsidR="004A0752">
        <w:rPr>
          <w:lang w:val="en-US"/>
        </w:rPr>
        <w:t>ages 60 and 70 depending on the country.</w:t>
      </w:r>
      <w:r w:rsidR="001F7E3A">
        <w:rPr>
          <w:lang w:val="en-US"/>
        </w:rPr>
        <w:t xml:space="preserve"> Italy and France, again, do</w:t>
      </w:r>
      <w:r w:rsidR="004A0752">
        <w:rPr>
          <w:lang w:val="en-US"/>
        </w:rPr>
        <w:t xml:space="preserve"> not present any visible convexities</w:t>
      </w:r>
      <w:r w:rsidR="001F7E3A">
        <w:rPr>
          <w:lang w:val="en-US"/>
        </w:rPr>
        <w:t>, and Germany shows a strong increase by age but also by cohort trend. In Spain</w:t>
      </w:r>
      <w:r w:rsidR="007E503D">
        <w:rPr>
          <w:lang w:val="en-US"/>
        </w:rPr>
        <w:t>, Denmark and Italy</w:t>
      </w:r>
      <w:r w:rsidR="001F7E3A">
        <w:rPr>
          <w:lang w:val="en-US"/>
        </w:rPr>
        <w:t>, we have opposite trends, particularly in the former, with a very sharp decrease in the relative risk</w:t>
      </w:r>
      <w:r w:rsidR="007E503D">
        <w:rPr>
          <w:lang w:val="en-US"/>
        </w:rPr>
        <w:t xml:space="preserve"> for the cohorts born after 1942</w:t>
      </w:r>
      <w:r w:rsidR="001F7E3A">
        <w:rPr>
          <w:lang w:val="en-US"/>
        </w:rPr>
        <w:t xml:space="preserve"> and afterwards</w:t>
      </w:r>
      <w:r w:rsidR="007E503D">
        <w:rPr>
          <w:lang w:val="en-US"/>
        </w:rPr>
        <w:t>, and moderate improvement for the other two countries</w:t>
      </w:r>
      <w:r w:rsidR="001F7E3A">
        <w:rPr>
          <w:lang w:val="en-US"/>
        </w:rPr>
        <w:t>. Cohort trends for France and Sweden</w:t>
      </w:r>
      <w:r w:rsidR="00690B29">
        <w:rPr>
          <w:lang w:val="en-US"/>
        </w:rPr>
        <w:t xml:space="preserve"> </w:t>
      </w:r>
      <w:r w:rsidR="001F7E3A">
        <w:rPr>
          <w:lang w:val="en-US"/>
        </w:rPr>
        <w:t>suggest an increase</w:t>
      </w:r>
      <w:r w:rsidR="00690B29">
        <w:rPr>
          <w:lang w:val="en-US"/>
        </w:rPr>
        <w:t xml:space="preserve"> on the relative risk of depression for cohorts born </w:t>
      </w:r>
      <w:r w:rsidR="007E503D">
        <w:rPr>
          <w:lang w:val="en-US"/>
        </w:rPr>
        <w:t>after 1942.</w:t>
      </w:r>
      <w:r w:rsidR="00690B29">
        <w:rPr>
          <w:lang w:val="en-US"/>
        </w:rPr>
        <w:t xml:space="preserve">  In regard to period effects, we may identify again an inc</w:t>
      </w:r>
      <w:r w:rsidR="001F7E3A">
        <w:rPr>
          <w:lang w:val="en-US"/>
        </w:rPr>
        <w:t xml:space="preserve">rease in the relative risk for Germany </w:t>
      </w:r>
      <w:r w:rsidR="004A0752">
        <w:rPr>
          <w:lang w:val="en-US"/>
        </w:rPr>
        <w:t>in the 2012 period</w:t>
      </w:r>
      <w:r w:rsidR="001F7E3A">
        <w:rPr>
          <w:lang w:val="en-US"/>
        </w:rPr>
        <w:t>, and a</w:t>
      </w:r>
      <w:r w:rsidR="004A0752">
        <w:rPr>
          <w:lang w:val="en-US"/>
        </w:rPr>
        <w:t xml:space="preserve"> very slight</w:t>
      </w:r>
      <w:r w:rsidR="001F7E3A">
        <w:rPr>
          <w:lang w:val="en-US"/>
        </w:rPr>
        <w:t xml:space="preserve"> decline </w:t>
      </w:r>
      <w:r w:rsidR="004A0752">
        <w:rPr>
          <w:lang w:val="en-US"/>
        </w:rPr>
        <w:t>for Italy during the same time</w:t>
      </w:r>
      <w:r w:rsidR="00690B29">
        <w:rPr>
          <w:lang w:val="en-US"/>
        </w:rPr>
        <w:t>.</w:t>
      </w:r>
    </w:p>
    <w:p w:rsidR="00690B29" w:rsidRDefault="001820C4" w:rsidP="00690B29">
      <w:pPr>
        <w:spacing w:line="360" w:lineRule="auto"/>
        <w:jc w:val="both"/>
        <w:rPr>
          <w:lang w:val="en-US"/>
        </w:rPr>
      </w:pPr>
      <w:r>
        <w:rPr>
          <w:noProof/>
          <w:lang w:val="en-US" w:eastAsia="en-US"/>
        </w:rPr>
        <w:drawing>
          <wp:inline distT="0" distB="0" distL="0" distR="0">
            <wp:extent cx="5612130" cy="3440953"/>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612130" cy="3440953"/>
                    </a:xfrm>
                    <a:prstGeom prst="rect">
                      <a:avLst/>
                    </a:prstGeom>
                    <a:noFill/>
                    <a:ln w="9525">
                      <a:noFill/>
                      <a:miter lim="800000"/>
                      <a:headEnd/>
                      <a:tailEnd/>
                    </a:ln>
                  </pic:spPr>
                </pic:pic>
              </a:graphicData>
            </a:graphic>
          </wp:inline>
        </w:drawing>
      </w:r>
    </w:p>
    <w:p w:rsidR="00952196" w:rsidRDefault="00A37854" w:rsidP="00690B29">
      <w:pPr>
        <w:spacing w:line="360" w:lineRule="auto"/>
        <w:jc w:val="both"/>
        <w:rPr>
          <w:lang w:val="en-US"/>
        </w:rPr>
      </w:pPr>
      <w:r>
        <w:rPr>
          <w:lang w:val="en-US"/>
        </w:rPr>
        <w:t>Figure 7</w:t>
      </w:r>
      <w:r w:rsidR="00325A80">
        <w:rPr>
          <w:lang w:val="en-US"/>
        </w:rPr>
        <w:t>.</w:t>
      </w:r>
      <w:r w:rsidR="00690B29">
        <w:rPr>
          <w:lang w:val="en-US"/>
        </w:rPr>
        <w:t xml:space="preserve"> APC effects in Depression Prevalence in Selected Countries, Males </w:t>
      </w:r>
    </w:p>
    <w:p w:rsidR="00690B29" w:rsidRPr="00F44295" w:rsidRDefault="00690B29" w:rsidP="00690B29">
      <w:pPr>
        <w:spacing w:line="360" w:lineRule="auto"/>
        <w:jc w:val="both"/>
        <w:rPr>
          <w:lang w:val="en-US"/>
        </w:rPr>
      </w:pPr>
      <w:r>
        <w:rPr>
          <w:lang w:val="en-US"/>
        </w:rPr>
        <w:t>(</w:t>
      </w:r>
      <w:r w:rsidRPr="003A0001">
        <w:rPr>
          <w:b/>
          <w:lang w:val="en-US"/>
        </w:rPr>
        <w:t>author´s calculations based on SHARE-ERIC</w:t>
      </w:r>
      <w:r>
        <w:rPr>
          <w:lang w:val="en-US"/>
        </w:rPr>
        <w:t>)</w:t>
      </w:r>
    </w:p>
    <w:p w:rsidR="008659DB" w:rsidRDefault="008659DB" w:rsidP="00690B29">
      <w:pPr>
        <w:spacing w:line="360" w:lineRule="auto"/>
        <w:ind w:firstLine="708"/>
        <w:jc w:val="both"/>
        <w:rPr>
          <w:lang w:val="en-US"/>
        </w:rPr>
      </w:pPr>
    </w:p>
    <w:p w:rsidR="00690B29" w:rsidRDefault="00A37854" w:rsidP="00690B29">
      <w:pPr>
        <w:spacing w:line="360" w:lineRule="auto"/>
        <w:ind w:firstLine="708"/>
        <w:jc w:val="both"/>
        <w:rPr>
          <w:lang w:val="en-US"/>
        </w:rPr>
      </w:pPr>
      <w:r>
        <w:rPr>
          <w:lang w:val="en-US"/>
        </w:rPr>
        <w:lastRenderedPageBreak/>
        <w:t>Figure 8</w:t>
      </w:r>
      <w:r w:rsidR="00690B29">
        <w:rPr>
          <w:lang w:val="en-US"/>
        </w:rPr>
        <w:t xml:space="preserve"> presents the APC effects decomposition for females in the selected countries.  Age effects behave in a somewhat similar fashion when compared to their male counterparts, but with higher prevalence rates</w:t>
      </w:r>
      <w:r w:rsidR="003746B0">
        <w:rPr>
          <w:lang w:val="en-US"/>
        </w:rPr>
        <w:t xml:space="preserve"> (and apparently a larger gap between the countries with lower and higher prevalence rates)</w:t>
      </w:r>
      <w:r w:rsidR="00690B29">
        <w:rPr>
          <w:lang w:val="en-US"/>
        </w:rPr>
        <w:t>. The shape of the age effects seems a bit more U-shaped than J-shaped, which indicates that</w:t>
      </w:r>
      <w:r w:rsidR="007E503D">
        <w:rPr>
          <w:lang w:val="en-US"/>
        </w:rPr>
        <w:t>, unlike males,</w:t>
      </w:r>
      <w:r w:rsidR="00690B29">
        <w:rPr>
          <w:lang w:val="en-US"/>
        </w:rPr>
        <w:t xml:space="preserve"> rates at the youngest and oldest age groups are not very different. It has to be noted that</w:t>
      </w:r>
      <w:r w:rsidR="007E503D">
        <w:rPr>
          <w:lang w:val="en-US"/>
        </w:rPr>
        <w:t>, also</w:t>
      </w:r>
      <w:r w:rsidR="00690B29">
        <w:rPr>
          <w:lang w:val="en-US"/>
        </w:rPr>
        <w:t xml:space="preserve"> unlike males, where Italy leads rates at all age groups, here Spain</w:t>
      </w:r>
      <w:r w:rsidR="003746B0">
        <w:rPr>
          <w:lang w:val="en-US"/>
        </w:rPr>
        <w:t>, France</w:t>
      </w:r>
      <w:r w:rsidR="00690B29">
        <w:rPr>
          <w:lang w:val="en-US"/>
        </w:rPr>
        <w:t xml:space="preserve"> and Italy curves seem to cro</w:t>
      </w:r>
      <w:r w:rsidR="003746B0">
        <w:rPr>
          <w:lang w:val="en-US"/>
        </w:rPr>
        <w:t xml:space="preserve">ss, with Italy overtaking those two countries </w:t>
      </w:r>
      <w:r w:rsidR="00690B29">
        <w:rPr>
          <w:lang w:val="en-US"/>
        </w:rPr>
        <w:t xml:space="preserve">near age 65.  </w:t>
      </w:r>
    </w:p>
    <w:p w:rsidR="00690B29" w:rsidRDefault="00690B29" w:rsidP="00690B29">
      <w:pPr>
        <w:spacing w:line="360" w:lineRule="auto"/>
        <w:jc w:val="both"/>
        <w:rPr>
          <w:u w:val="single"/>
          <w:lang w:val="en-US"/>
        </w:rPr>
      </w:pPr>
      <w:r>
        <w:rPr>
          <w:lang w:val="en-US"/>
        </w:rPr>
        <w:t>For Spanish female cohorts, just like their male counterparts, we can find a sustained i</w:t>
      </w:r>
      <w:r w:rsidR="003746B0">
        <w:rPr>
          <w:lang w:val="en-US"/>
        </w:rPr>
        <w:t>mprovement in trends sustained over time</w:t>
      </w:r>
      <w:r>
        <w:rPr>
          <w:lang w:val="en-US"/>
        </w:rPr>
        <w:t>. The opposite can be said for the youngest Danish</w:t>
      </w:r>
      <w:r w:rsidR="003746B0">
        <w:rPr>
          <w:lang w:val="en-US"/>
        </w:rPr>
        <w:t xml:space="preserve"> and German</w:t>
      </w:r>
      <w:r>
        <w:rPr>
          <w:lang w:val="en-US"/>
        </w:rPr>
        <w:t xml:space="preserve"> cohorts: they present a higher relative risk when compared to the reference cohort</w:t>
      </w:r>
      <w:r w:rsidR="00325A80">
        <w:rPr>
          <w:lang w:val="en-US"/>
        </w:rPr>
        <w:t>.</w:t>
      </w:r>
      <w:r>
        <w:rPr>
          <w:lang w:val="en-US"/>
        </w:rPr>
        <w:t xml:space="preserve"> For Italian </w:t>
      </w:r>
      <w:r w:rsidR="000818B1">
        <w:rPr>
          <w:lang w:val="en-US"/>
        </w:rPr>
        <w:t xml:space="preserve">and French </w:t>
      </w:r>
      <w:r>
        <w:rPr>
          <w:lang w:val="en-US"/>
        </w:rPr>
        <w:t>female cohorts,</w:t>
      </w:r>
      <w:r w:rsidR="000818B1">
        <w:rPr>
          <w:lang w:val="en-US"/>
        </w:rPr>
        <w:t xml:space="preserve"> we are not able to identify the presence of a</w:t>
      </w:r>
      <w:r>
        <w:rPr>
          <w:lang w:val="en-US"/>
        </w:rPr>
        <w:t xml:space="preserve"> trend over time. A similar</w:t>
      </w:r>
      <w:r w:rsidR="003746B0">
        <w:rPr>
          <w:lang w:val="en-US"/>
        </w:rPr>
        <w:t xml:space="preserve"> conclusion can be obtained for </w:t>
      </w:r>
      <w:r>
        <w:rPr>
          <w:lang w:val="en-US"/>
        </w:rPr>
        <w:t>Swedish females</w:t>
      </w:r>
      <w:r w:rsidR="003746B0">
        <w:rPr>
          <w:lang w:val="en-US"/>
        </w:rPr>
        <w:t xml:space="preserve"> after the reference cohort</w:t>
      </w:r>
      <w:r>
        <w:rPr>
          <w:lang w:val="en-US"/>
        </w:rPr>
        <w:t>, although it has to be mentioned that</w:t>
      </w:r>
      <w:r w:rsidR="003746B0">
        <w:rPr>
          <w:lang w:val="en-US"/>
        </w:rPr>
        <w:t xml:space="preserve"> birth</w:t>
      </w:r>
      <w:r>
        <w:rPr>
          <w:lang w:val="en-US"/>
        </w:rPr>
        <w:t xml:space="preserve"> </w:t>
      </w:r>
      <w:r w:rsidR="007E503D">
        <w:rPr>
          <w:lang w:val="en-US"/>
        </w:rPr>
        <w:t>cohorts</w:t>
      </w:r>
      <w:r w:rsidR="000818B1">
        <w:rPr>
          <w:lang w:val="en-US"/>
        </w:rPr>
        <w:t xml:space="preserve"> born</w:t>
      </w:r>
      <w:r w:rsidR="007E503D">
        <w:rPr>
          <w:lang w:val="en-US"/>
        </w:rPr>
        <w:t xml:space="preserve"> before 1942</w:t>
      </w:r>
      <w:r>
        <w:rPr>
          <w:lang w:val="en-US"/>
        </w:rPr>
        <w:t xml:space="preserve"> </w:t>
      </w:r>
      <w:r w:rsidR="003746B0">
        <w:rPr>
          <w:lang w:val="en-US"/>
        </w:rPr>
        <w:t xml:space="preserve">had a higher relative risk. </w:t>
      </w:r>
      <w:r>
        <w:rPr>
          <w:lang w:val="en-US"/>
        </w:rPr>
        <w:t>In a consistent fashion with the previous graphics, period effects indicate a</w:t>
      </w:r>
      <w:r w:rsidR="000818B1">
        <w:rPr>
          <w:lang w:val="en-US"/>
        </w:rPr>
        <w:t xml:space="preserve"> slight</w:t>
      </w:r>
      <w:r>
        <w:rPr>
          <w:lang w:val="en-US"/>
        </w:rPr>
        <w:t xml:space="preserve"> spike in relative risks for </w:t>
      </w:r>
      <w:r w:rsidR="000818B1">
        <w:rPr>
          <w:lang w:val="en-US"/>
        </w:rPr>
        <w:t>German females in 2012</w:t>
      </w:r>
      <w:r w:rsidR="003746B0">
        <w:rPr>
          <w:lang w:val="en-US"/>
        </w:rPr>
        <w:t>, and the opposite for Denmark.</w:t>
      </w:r>
    </w:p>
    <w:p w:rsidR="00690B29" w:rsidRPr="00DD3C3B" w:rsidRDefault="00DB2241" w:rsidP="00690B29">
      <w:pPr>
        <w:spacing w:line="360" w:lineRule="auto"/>
        <w:jc w:val="both"/>
        <w:rPr>
          <w:lang w:val="en-US"/>
        </w:rPr>
      </w:pPr>
      <w:r>
        <w:rPr>
          <w:noProof/>
          <w:lang w:val="en-US" w:eastAsia="en-US"/>
        </w:rPr>
        <w:drawing>
          <wp:inline distT="0" distB="0" distL="0" distR="0">
            <wp:extent cx="5612130" cy="3440953"/>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12130" cy="3440953"/>
                    </a:xfrm>
                    <a:prstGeom prst="rect">
                      <a:avLst/>
                    </a:prstGeom>
                    <a:noFill/>
                    <a:ln w="9525">
                      <a:noFill/>
                      <a:miter lim="800000"/>
                      <a:headEnd/>
                      <a:tailEnd/>
                    </a:ln>
                  </pic:spPr>
                </pic:pic>
              </a:graphicData>
            </a:graphic>
          </wp:inline>
        </w:drawing>
      </w:r>
    </w:p>
    <w:p w:rsidR="00952196" w:rsidRDefault="00A37854" w:rsidP="00690B29">
      <w:pPr>
        <w:spacing w:line="360" w:lineRule="auto"/>
        <w:jc w:val="both"/>
        <w:rPr>
          <w:lang w:val="en-US"/>
        </w:rPr>
      </w:pPr>
      <w:r>
        <w:rPr>
          <w:lang w:val="en-US"/>
        </w:rPr>
        <w:t>Figure 8</w:t>
      </w:r>
      <w:r w:rsidR="00325A80">
        <w:rPr>
          <w:lang w:val="en-US"/>
        </w:rPr>
        <w:t>.</w:t>
      </w:r>
      <w:r w:rsidR="00690B29">
        <w:rPr>
          <w:lang w:val="en-US"/>
        </w:rPr>
        <w:t xml:space="preserve"> APC effects in Depression Prevalence in Selected Countries, Females </w:t>
      </w:r>
    </w:p>
    <w:p w:rsidR="00690B29" w:rsidRDefault="00690B29" w:rsidP="00690B29">
      <w:pPr>
        <w:spacing w:line="360" w:lineRule="auto"/>
        <w:jc w:val="both"/>
        <w:rPr>
          <w:lang w:val="en-US"/>
        </w:rPr>
      </w:pPr>
      <w:r>
        <w:rPr>
          <w:lang w:val="en-US"/>
        </w:rPr>
        <w:t>(</w:t>
      </w:r>
      <w:r w:rsidRPr="003A0001">
        <w:rPr>
          <w:b/>
          <w:lang w:val="en-US"/>
        </w:rPr>
        <w:t>author´s calculations based on SHARE-ERIC</w:t>
      </w:r>
      <w:r>
        <w:rPr>
          <w:lang w:val="en-US"/>
        </w:rPr>
        <w:t>)</w:t>
      </w:r>
    </w:p>
    <w:p w:rsidR="008A0A22" w:rsidRPr="00F44295" w:rsidRDefault="008A0A22" w:rsidP="00690B29">
      <w:pPr>
        <w:spacing w:line="360" w:lineRule="auto"/>
        <w:jc w:val="both"/>
        <w:rPr>
          <w:lang w:val="en-US"/>
        </w:rPr>
      </w:pPr>
    </w:p>
    <w:p w:rsidR="00690B29" w:rsidRDefault="00A37854" w:rsidP="00690B29">
      <w:pPr>
        <w:spacing w:line="360" w:lineRule="auto"/>
        <w:ind w:firstLine="708"/>
        <w:jc w:val="both"/>
        <w:rPr>
          <w:lang w:val="en-US"/>
        </w:rPr>
      </w:pPr>
      <w:r>
        <w:rPr>
          <w:lang w:val="en-US"/>
        </w:rPr>
        <w:t>Figure 9</w:t>
      </w:r>
      <w:r w:rsidR="00690B29">
        <w:rPr>
          <w:lang w:val="en-US"/>
        </w:rPr>
        <w:t xml:space="preserve"> provides the Female/Male ratio of the three effects for the different countries. A value above 1 would indicate that the effect for females is higher than the effect for males, and vice versa. The ratio is not indicative of any improvements or decreases in overall prevalence over time, but only refers to the different </w:t>
      </w:r>
      <w:r w:rsidR="005519C1">
        <w:rPr>
          <w:lang w:val="en-US"/>
        </w:rPr>
        <w:t xml:space="preserve">ratio of </w:t>
      </w:r>
      <w:r w:rsidR="00690B29">
        <w:rPr>
          <w:lang w:val="en-US"/>
        </w:rPr>
        <w:t>effects by sex pres</w:t>
      </w:r>
      <w:r w:rsidR="005519C1">
        <w:rPr>
          <w:lang w:val="en-US"/>
        </w:rPr>
        <w:t>ent in a particular dimension</w:t>
      </w:r>
      <w:r w:rsidR="00690B29">
        <w:rPr>
          <w:lang w:val="en-US"/>
        </w:rPr>
        <w:t>. Moreover, some large ratio differentials may refer to rather small magnitudes</w:t>
      </w:r>
      <w:r w:rsidR="005519C1">
        <w:rPr>
          <w:lang w:val="en-US"/>
        </w:rPr>
        <w:t>, so we have to be careful about interpretations</w:t>
      </w:r>
      <w:r w:rsidR="00690B29">
        <w:rPr>
          <w:lang w:val="en-US"/>
        </w:rPr>
        <w:t xml:space="preserve">. </w:t>
      </w:r>
      <w:r w:rsidR="005519C1">
        <w:rPr>
          <w:lang w:val="en-US"/>
        </w:rPr>
        <w:t xml:space="preserve">That being said, visualizing </w:t>
      </w:r>
      <w:r w:rsidR="00690B29">
        <w:rPr>
          <w:lang w:val="en-US"/>
        </w:rPr>
        <w:t xml:space="preserve">the sex ratio on the different effects is a </w:t>
      </w:r>
      <w:r w:rsidR="005519C1">
        <w:rPr>
          <w:lang w:val="en-US"/>
        </w:rPr>
        <w:t>simple and rather useful way to analyze</w:t>
      </w:r>
      <w:r w:rsidR="00690B29">
        <w:rPr>
          <w:lang w:val="en-US"/>
        </w:rPr>
        <w:t xml:space="preserve"> how the dynamics of the dimensions vary by sex over time. </w:t>
      </w:r>
    </w:p>
    <w:p w:rsidR="00690B29" w:rsidRDefault="00690B29" w:rsidP="00690B29">
      <w:pPr>
        <w:spacing w:line="360" w:lineRule="auto"/>
        <w:jc w:val="both"/>
        <w:rPr>
          <w:lang w:val="en-US"/>
        </w:rPr>
      </w:pPr>
      <w:r>
        <w:rPr>
          <w:lang w:val="en-US"/>
        </w:rPr>
        <w:t xml:space="preserve"> </w:t>
      </w:r>
      <w:r>
        <w:rPr>
          <w:lang w:val="en-US"/>
        </w:rPr>
        <w:tab/>
        <w:t>The majority of age trends</w:t>
      </w:r>
      <w:r w:rsidR="00325A80">
        <w:rPr>
          <w:lang w:val="en-US"/>
        </w:rPr>
        <w:t xml:space="preserve"> for the reference cohort</w:t>
      </w:r>
      <w:r>
        <w:rPr>
          <w:lang w:val="en-US"/>
        </w:rPr>
        <w:t xml:space="preserve"> indicate a similar pattern: sex differences in prevalence seem to be larger in the age groups nearing age 50 (with female values doubling </w:t>
      </w:r>
      <w:r w:rsidR="005519C1">
        <w:rPr>
          <w:lang w:val="en-US"/>
        </w:rPr>
        <w:t xml:space="preserve">or almost doubling </w:t>
      </w:r>
      <w:r>
        <w:rPr>
          <w:lang w:val="en-US"/>
        </w:rPr>
        <w:t>their male counterparts), and lower at the oldest ages, with Denmark being the only clear exception</w:t>
      </w:r>
      <w:r w:rsidR="005519C1">
        <w:rPr>
          <w:lang w:val="en-US"/>
        </w:rPr>
        <w:t>, pattern-wise</w:t>
      </w:r>
      <w:r>
        <w:rPr>
          <w:lang w:val="en-US"/>
        </w:rPr>
        <w:t xml:space="preserve">. It has to be noticed that for Spain there seems to be a concavity </w:t>
      </w:r>
      <w:r w:rsidR="005519C1">
        <w:rPr>
          <w:lang w:val="en-US"/>
        </w:rPr>
        <w:t xml:space="preserve">between ages 60 and 70, </w:t>
      </w:r>
      <w:r>
        <w:rPr>
          <w:lang w:val="en-US"/>
        </w:rPr>
        <w:t xml:space="preserve">where the sex gap tends to enlarge. </w:t>
      </w:r>
    </w:p>
    <w:p w:rsidR="000818B1" w:rsidRDefault="00690B29" w:rsidP="00690B29">
      <w:pPr>
        <w:spacing w:line="360" w:lineRule="auto"/>
        <w:ind w:firstLine="708"/>
        <w:jc w:val="both"/>
        <w:rPr>
          <w:lang w:val="en-US"/>
        </w:rPr>
      </w:pPr>
      <w:r>
        <w:rPr>
          <w:lang w:val="en-US"/>
        </w:rPr>
        <w:t>In regard to cohort trends, the female/male ratio is indicative of very different situations across countries. It also has to be mentioned that changes in sex ratio of cohort effects do not indicate that depression prevalence by sex is actually reversed, but is indicative of how different cohort effects affect more one chosen category when compared to another. However, if such trend is sustained in the long</w:t>
      </w:r>
      <w:r w:rsidR="005519C1">
        <w:rPr>
          <w:lang w:val="en-US"/>
        </w:rPr>
        <w:t xml:space="preserve"> run</w:t>
      </w:r>
      <w:r>
        <w:rPr>
          <w:lang w:val="en-US"/>
        </w:rPr>
        <w:t xml:space="preserve">, it is possible that it may lead to convergence of rates by sex at some point in the future. </w:t>
      </w:r>
      <w:r w:rsidR="005519C1">
        <w:rPr>
          <w:lang w:val="en-US"/>
        </w:rPr>
        <w:t>Sweden</w:t>
      </w:r>
      <w:r w:rsidR="000818B1">
        <w:rPr>
          <w:lang w:val="en-US"/>
        </w:rPr>
        <w:t>, France</w:t>
      </w:r>
      <w:r w:rsidR="005519C1">
        <w:rPr>
          <w:lang w:val="en-US"/>
        </w:rPr>
        <w:t xml:space="preserve"> and Germany present a continuous decreasing pattern, </w:t>
      </w:r>
      <w:r w:rsidR="000818B1">
        <w:rPr>
          <w:lang w:val="en-US"/>
        </w:rPr>
        <w:t>reducing inequalities by sex as individuals age</w:t>
      </w:r>
      <w:r w:rsidR="005519C1">
        <w:rPr>
          <w:lang w:val="en-US"/>
        </w:rPr>
        <w:t>. Trends in Denmark</w:t>
      </w:r>
      <w:r w:rsidR="000818B1">
        <w:rPr>
          <w:lang w:val="en-US"/>
        </w:rPr>
        <w:t>, the country with the lowest prevalence</w:t>
      </w:r>
      <w:r w:rsidR="005519C1">
        <w:rPr>
          <w:lang w:val="en-US"/>
        </w:rPr>
        <w:t xml:space="preserve"> suggest</w:t>
      </w:r>
      <w:r w:rsidR="000818B1">
        <w:rPr>
          <w:lang w:val="en-US"/>
        </w:rPr>
        <w:t>s</w:t>
      </w:r>
      <w:r w:rsidR="005519C1">
        <w:rPr>
          <w:lang w:val="en-US"/>
        </w:rPr>
        <w:t xml:space="preserve"> a</w:t>
      </w:r>
      <w:r w:rsidR="000818B1">
        <w:rPr>
          <w:lang w:val="en-US"/>
        </w:rPr>
        <w:t xml:space="preserve"> slight </w:t>
      </w:r>
      <w:r w:rsidR="005519C1">
        <w:rPr>
          <w:lang w:val="en-US"/>
        </w:rPr>
        <w:t>increase in the ratio between females and males</w:t>
      </w:r>
      <w:r w:rsidR="000818B1">
        <w:rPr>
          <w:lang w:val="en-US"/>
        </w:rPr>
        <w:t>. And sex ratio variations in Italy, the country with the highest prevalence rates, tend to be very stable across age groups, only showing a slight decrease.</w:t>
      </w:r>
    </w:p>
    <w:p w:rsidR="00690B29" w:rsidRDefault="005519C1" w:rsidP="00690B29">
      <w:pPr>
        <w:spacing w:line="360" w:lineRule="auto"/>
        <w:ind w:firstLine="708"/>
        <w:jc w:val="both"/>
        <w:rPr>
          <w:lang w:val="en-US"/>
        </w:rPr>
      </w:pPr>
      <w:r>
        <w:rPr>
          <w:lang w:val="en-US"/>
        </w:rPr>
        <w:t xml:space="preserve">But </w:t>
      </w:r>
      <w:r w:rsidR="000818B1">
        <w:rPr>
          <w:lang w:val="en-US"/>
        </w:rPr>
        <w:t xml:space="preserve">it also has to be said </w:t>
      </w:r>
      <w:r w:rsidR="008A0A22">
        <w:rPr>
          <w:lang w:val="en-US"/>
        </w:rPr>
        <w:t xml:space="preserve">that </w:t>
      </w:r>
      <w:r>
        <w:rPr>
          <w:lang w:val="en-US"/>
        </w:rPr>
        <w:t xml:space="preserve">while the ratio is similar in those countries, the prevalence trend by sex is different: while in Italy there were male improvements, in Denmark an increase in female depression prevalence is responsible for the pattern. </w:t>
      </w:r>
      <w:r w:rsidR="00690B29">
        <w:rPr>
          <w:lang w:val="en-US"/>
        </w:rPr>
        <w:t>Spain</w:t>
      </w:r>
      <w:r>
        <w:rPr>
          <w:lang w:val="en-US"/>
        </w:rPr>
        <w:t xml:space="preserve"> and France seem to have complementary patterns, with a strong cohort trend</w:t>
      </w:r>
      <w:r w:rsidR="00690B29">
        <w:rPr>
          <w:lang w:val="en-US"/>
        </w:rPr>
        <w:t xml:space="preserve"> in sex ratios </w:t>
      </w:r>
      <w:r>
        <w:rPr>
          <w:lang w:val="en-US"/>
        </w:rPr>
        <w:t>after the reference cohort</w:t>
      </w:r>
      <w:r w:rsidR="00690B29">
        <w:rPr>
          <w:lang w:val="en-US"/>
        </w:rPr>
        <w:t>, when there is a steep incre</w:t>
      </w:r>
      <w:r w:rsidR="00D201F7">
        <w:rPr>
          <w:lang w:val="en-US"/>
        </w:rPr>
        <w:t>ase in the former and a decline in the latter</w:t>
      </w:r>
      <w:r w:rsidR="00690B29">
        <w:rPr>
          <w:lang w:val="en-US"/>
        </w:rPr>
        <w:t xml:space="preserve">. As we mentioned, this does not necessarily mean an increase in the relative risk of depression prevalence for females per se. If we </w:t>
      </w:r>
      <w:r w:rsidR="00D201F7">
        <w:rPr>
          <w:lang w:val="en-US"/>
        </w:rPr>
        <w:t>check the</w:t>
      </w:r>
      <w:r w:rsidR="00690B29">
        <w:rPr>
          <w:lang w:val="en-US"/>
        </w:rPr>
        <w:t xml:space="preserve"> previous </w:t>
      </w:r>
      <w:r w:rsidR="00D201F7">
        <w:rPr>
          <w:lang w:val="en-US"/>
        </w:rPr>
        <w:t>figures</w:t>
      </w:r>
      <w:r w:rsidR="00690B29">
        <w:rPr>
          <w:lang w:val="en-US"/>
        </w:rPr>
        <w:t xml:space="preserve">, they indicate that </w:t>
      </w:r>
      <w:r w:rsidR="00690B29">
        <w:rPr>
          <w:lang w:val="en-US"/>
        </w:rPr>
        <w:lastRenderedPageBreak/>
        <w:t xml:space="preserve">improvements in Spain were more pronounced for males than for females, giving the sex-ratio plot the curvature that is present in the figure. </w:t>
      </w:r>
      <w:r w:rsidR="00D201F7">
        <w:rPr>
          <w:lang w:val="en-US"/>
        </w:rPr>
        <w:t>In France, however, while improvements in cohort trends for female were non-existent</w:t>
      </w:r>
      <w:r w:rsidR="00DE6D3F">
        <w:rPr>
          <w:lang w:val="en-US"/>
        </w:rPr>
        <w:t>, depression</w:t>
      </w:r>
      <w:r w:rsidR="00D201F7">
        <w:rPr>
          <w:lang w:val="en-US"/>
        </w:rPr>
        <w:t xml:space="preserve"> prevalence </w:t>
      </w:r>
      <w:r w:rsidR="00DE6D3F">
        <w:rPr>
          <w:lang w:val="en-US"/>
        </w:rPr>
        <w:t xml:space="preserve">for males </w:t>
      </w:r>
      <w:r w:rsidR="00D201F7">
        <w:rPr>
          <w:lang w:val="en-US"/>
        </w:rPr>
        <w:t xml:space="preserve">increased, hence the pattern. </w:t>
      </w:r>
    </w:p>
    <w:p w:rsidR="00690B29" w:rsidRDefault="00690B29" w:rsidP="00690B29">
      <w:pPr>
        <w:spacing w:line="360" w:lineRule="auto"/>
        <w:ind w:firstLine="708"/>
        <w:jc w:val="both"/>
        <w:rPr>
          <w:lang w:val="en-US"/>
        </w:rPr>
      </w:pPr>
      <w:r>
        <w:rPr>
          <w:lang w:val="en-US"/>
        </w:rPr>
        <w:t>It is not easy to establish any remarkable conclusion regarding the sex ratio of the detrended period effects from the figure</w:t>
      </w:r>
      <w:r w:rsidR="00341595">
        <w:rPr>
          <w:lang w:val="en-US"/>
        </w:rPr>
        <w:t xml:space="preserve"> (particularly considering that they are constrained to be zero on average)</w:t>
      </w:r>
      <w:r>
        <w:rPr>
          <w:lang w:val="en-US"/>
        </w:rPr>
        <w:t>, but a detailed inspection indicates that in the peak of the crisis years (2011) Italian females were contextually more affected than males, while the opposite happened in Spain</w:t>
      </w:r>
      <w:r w:rsidR="00D201F7">
        <w:rPr>
          <w:lang w:val="en-US"/>
        </w:rPr>
        <w:t>, Germany, Denmark and Sweden</w:t>
      </w:r>
      <w:r>
        <w:rPr>
          <w:lang w:val="en-US"/>
        </w:rPr>
        <w:t xml:space="preserve"> for the same period</w:t>
      </w:r>
      <w:r w:rsidR="00D201F7">
        <w:rPr>
          <w:lang w:val="en-US"/>
        </w:rPr>
        <w:t xml:space="preserve">, while France remained unchanged. </w:t>
      </w:r>
    </w:p>
    <w:p w:rsidR="00690B29" w:rsidRDefault="00690B29" w:rsidP="00690B29">
      <w:pPr>
        <w:spacing w:line="360" w:lineRule="auto"/>
        <w:jc w:val="both"/>
        <w:rPr>
          <w:lang w:val="en-US"/>
        </w:rPr>
      </w:pPr>
    </w:p>
    <w:p w:rsidR="00690B29" w:rsidRPr="002105AA" w:rsidRDefault="00DD3C3B" w:rsidP="00690B29">
      <w:pPr>
        <w:spacing w:line="360" w:lineRule="auto"/>
        <w:jc w:val="both"/>
        <w:rPr>
          <w:lang w:val="en-US"/>
        </w:rPr>
      </w:pPr>
      <w:r>
        <w:rPr>
          <w:noProof/>
          <w:lang w:val="en-US" w:eastAsia="en-US"/>
        </w:rPr>
        <w:drawing>
          <wp:inline distT="0" distB="0" distL="0" distR="0">
            <wp:extent cx="5612130" cy="3443548"/>
            <wp:effectExtent l="19050" t="0" r="762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612130" cy="3443548"/>
                    </a:xfrm>
                    <a:prstGeom prst="rect">
                      <a:avLst/>
                    </a:prstGeom>
                    <a:noFill/>
                    <a:ln w="9525">
                      <a:noFill/>
                      <a:miter lim="800000"/>
                      <a:headEnd/>
                      <a:tailEnd/>
                    </a:ln>
                  </pic:spPr>
                </pic:pic>
              </a:graphicData>
            </a:graphic>
          </wp:inline>
        </w:drawing>
      </w:r>
    </w:p>
    <w:p w:rsidR="00690B29" w:rsidRPr="00F44295" w:rsidRDefault="00690B29" w:rsidP="00690B29">
      <w:pPr>
        <w:spacing w:line="360" w:lineRule="auto"/>
        <w:jc w:val="both"/>
        <w:rPr>
          <w:lang w:val="en-US"/>
        </w:rPr>
      </w:pPr>
      <w:r w:rsidRPr="00325A80">
        <w:rPr>
          <w:lang w:val="en-US"/>
        </w:rPr>
        <w:t xml:space="preserve">Figure </w:t>
      </w:r>
      <w:r w:rsidR="0000485E">
        <w:rPr>
          <w:lang w:val="en-US"/>
        </w:rPr>
        <w:t>9</w:t>
      </w:r>
      <w:r w:rsidR="00325A80">
        <w:rPr>
          <w:lang w:val="en-US"/>
        </w:rPr>
        <w:t>.</w:t>
      </w:r>
      <w:r>
        <w:rPr>
          <w:lang w:val="en-US"/>
        </w:rPr>
        <w:t xml:space="preserve"> Sex Ratio of APC effects in Depression Prevalence in Selected Countries (</w:t>
      </w:r>
      <w:r w:rsidRPr="003A0001">
        <w:rPr>
          <w:b/>
          <w:lang w:val="en-US"/>
        </w:rPr>
        <w:t>author´s calculations based on SHARE-ERIC</w:t>
      </w:r>
      <w:r>
        <w:rPr>
          <w:lang w:val="en-US"/>
        </w:rPr>
        <w:t>).</w:t>
      </w:r>
    </w:p>
    <w:p w:rsidR="00E36220" w:rsidRDefault="00E36220" w:rsidP="00690B29">
      <w:pPr>
        <w:spacing w:line="360" w:lineRule="auto"/>
        <w:jc w:val="both"/>
        <w:rPr>
          <w:b/>
          <w:u w:val="single"/>
          <w:lang w:val="en-US"/>
        </w:rPr>
      </w:pPr>
    </w:p>
    <w:p w:rsidR="00690B29" w:rsidRDefault="00690B29" w:rsidP="00690B29">
      <w:pPr>
        <w:spacing w:line="360" w:lineRule="auto"/>
        <w:jc w:val="both"/>
        <w:rPr>
          <w:b/>
          <w:u w:val="single"/>
          <w:lang w:val="en-US"/>
        </w:rPr>
      </w:pPr>
      <w:r w:rsidRPr="00F11CF6">
        <w:rPr>
          <w:b/>
          <w:u w:val="single"/>
          <w:lang w:val="en-US"/>
        </w:rPr>
        <w:t>Discussion</w:t>
      </w:r>
    </w:p>
    <w:p w:rsidR="00AB4EEB" w:rsidRPr="00F11CF6" w:rsidRDefault="00AB4EEB" w:rsidP="00690B29">
      <w:pPr>
        <w:spacing w:line="360" w:lineRule="auto"/>
        <w:jc w:val="both"/>
        <w:rPr>
          <w:b/>
          <w:u w:val="single"/>
          <w:lang w:val="en-US"/>
        </w:rPr>
      </w:pPr>
    </w:p>
    <w:p w:rsidR="00690B29" w:rsidRDefault="00AB4EEB" w:rsidP="00690B29">
      <w:pPr>
        <w:spacing w:line="360" w:lineRule="auto"/>
        <w:jc w:val="both"/>
        <w:rPr>
          <w:u w:val="single"/>
          <w:lang w:val="en-US"/>
        </w:rPr>
      </w:pPr>
      <w:r w:rsidRPr="00AB4EEB">
        <w:rPr>
          <w:u w:val="single"/>
          <w:lang w:val="en-US"/>
        </w:rPr>
        <w:t xml:space="preserve">Conclusions: </w:t>
      </w:r>
    </w:p>
    <w:p w:rsidR="00AB4EEB" w:rsidRPr="00AB4EEB" w:rsidRDefault="00AB4EEB" w:rsidP="00690B29">
      <w:pPr>
        <w:spacing w:line="360" w:lineRule="auto"/>
        <w:jc w:val="both"/>
        <w:rPr>
          <w:u w:val="single"/>
          <w:lang w:val="en-US"/>
        </w:rPr>
      </w:pPr>
    </w:p>
    <w:p w:rsidR="00690B29" w:rsidRDefault="00690B29" w:rsidP="00690B29">
      <w:pPr>
        <w:spacing w:line="360" w:lineRule="auto"/>
        <w:ind w:firstLine="708"/>
        <w:jc w:val="both"/>
        <w:rPr>
          <w:lang w:val="en-US"/>
        </w:rPr>
      </w:pPr>
      <w:r>
        <w:rPr>
          <w:lang w:val="en-US"/>
        </w:rPr>
        <w:lastRenderedPageBreak/>
        <w:t>This study has shown the trajectories of prevalence of late-life depression by age, period and cohort effects for the 2004-201</w:t>
      </w:r>
      <w:r w:rsidR="00265020">
        <w:rPr>
          <w:lang w:val="en-US"/>
        </w:rPr>
        <w:t>6</w:t>
      </w:r>
      <w:r>
        <w:rPr>
          <w:lang w:val="en-US"/>
        </w:rPr>
        <w:t xml:space="preserve"> period for </w:t>
      </w:r>
      <w:r w:rsidR="00D201F7">
        <w:rPr>
          <w:lang w:val="en-US"/>
        </w:rPr>
        <w:t>six</w:t>
      </w:r>
      <w:r>
        <w:rPr>
          <w:lang w:val="en-US"/>
        </w:rPr>
        <w:t xml:space="preserve"> European countries</w:t>
      </w:r>
      <w:r w:rsidR="00D201F7">
        <w:rPr>
          <w:lang w:val="en-US"/>
        </w:rPr>
        <w:t xml:space="preserve"> divided by sex</w:t>
      </w:r>
      <w:r w:rsidR="004F77AE">
        <w:rPr>
          <w:lang w:val="en-US"/>
        </w:rPr>
        <w:t>.</w:t>
      </w:r>
      <w:r>
        <w:rPr>
          <w:lang w:val="en-US"/>
        </w:rPr>
        <w:t xml:space="preserve"> By visualizing Standardized Rates of depression prevalence, we can identify that depression prevalence affects between 30 and 70 per cent of the population aged 50 and above across different moments.</w:t>
      </w:r>
      <w:r w:rsidR="00503B2C">
        <w:rPr>
          <w:lang w:val="en-US"/>
        </w:rPr>
        <w:t xml:space="preserve"> The majority of rates in the selected countries tend to decline</w:t>
      </w:r>
      <w:r>
        <w:rPr>
          <w:lang w:val="en-US"/>
        </w:rPr>
        <w:t xml:space="preserve"> over time, and particularly in Spain, where the declining trend is stronger</w:t>
      </w:r>
      <w:r w:rsidR="00503B2C">
        <w:rPr>
          <w:lang w:val="en-US"/>
        </w:rPr>
        <w:t>, and in Germany, where it shows a steep increa</w:t>
      </w:r>
      <w:r w:rsidR="00B34662">
        <w:rPr>
          <w:lang w:val="en-US"/>
        </w:rPr>
        <w:t>se</w:t>
      </w:r>
      <w:r>
        <w:rPr>
          <w:lang w:val="en-US"/>
        </w:rPr>
        <w:t>. The declining trends are obviously good news, es</w:t>
      </w:r>
      <w:r w:rsidR="00B34662">
        <w:rPr>
          <w:lang w:val="en-US"/>
        </w:rPr>
        <w:t>pecially when we consider that d</w:t>
      </w:r>
      <w:r>
        <w:rPr>
          <w:lang w:val="en-US"/>
        </w:rPr>
        <w:t>epression is expected to be a leading disability-cause worldwide. However, the lack of a strong improving trend may be problematic in the future due to population aging: even if rates remain steady or there is a slight improvement across time, population aged 50 and above will represent larger and larger proportions of the overall populations across countries</w:t>
      </w:r>
      <w:r w:rsidR="00E5717A">
        <w:rPr>
          <w:lang w:val="en-US"/>
        </w:rPr>
        <w:t>, and more people could be affected by the condition</w:t>
      </w:r>
      <w:r>
        <w:rPr>
          <w:lang w:val="en-US"/>
        </w:rPr>
        <w:t xml:space="preserve">. </w:t>
      </w:r>
    </w:p>
    <w:p w:rsidR="00690B29" w:rsidRDefault="00690B29" w:rsidP="00690B29">
      <w:pPr>
        <w:spacing w:line="360" w:lineRule="auto"/>
        <w:ind w:firstLine="708"/>
        <w:jc w:val="both"/>
        <w:rPr>
          <w:lang w:val="en-US"/>
        </w:rPr>
      </w:pPr>
      <w:r>
        <w:rPr>
          <w:lang w:val="en-US"/>
        </w:rPr>
        <w:t>The different age trajectories of late-life depression are relatively similar across countries</w:t>
      </w:r>
      <w:r w:rsidR="00E5717A">
        <w:rPr>
          <w:lang w:val="en-US"/>
        </w:rPr>
        <w:t xml:space="preserve"> for the reference cohort</w:t>
      </w:r>
      <w:r>
        <w:rPr>
          <w:lang w:val="en-US"/>
        </w:rPr>
        <w:t xml:space="preserve">, with the intensity in rates across groups being the main differential. Furthermore, </w:t>
      </w:r>
      <w:r w:rsidR="0062795F">
        <w:rPr>
          <w:lang w:val="en-US"/>
        </w:rPr>
        <w:t>non-linear a</w:t>
      </w:r>
      <w:r>
        <w:rPr>
          <w:lang w:val="en-US"/>
        </w:rPr>
        <w:t>ge trajectories of depression prevalence in general indicate a J-shaped pattern across countries, with a</w:t>
      </w:r>
      <w:r w:rsidR="00837D01">
        <w:rPr>
          <w:lang w:val="en-US"/>
        </w:rPr>
        <w:t xml:space="preserve"> slight</w:t>
      </w:r>
      <w:r>
        <w:rPr>
          <w:lang w:val="en-US"/>
        </w:rPr>
        <w:t xml:space="preserve"> convexity (where depress</w:t>
      </w:r>
      <w:r w:rsidR="00837D01">
        <w:rPr>
          <w:lang w:val="en-US"/>
        </w:rPr>
        <w:t xml:space="preserve">ion prevalence decline) between ages 60 and 70 </w:t>
      </w:r>
      <w:r w:rsidR="0062795F">
        <w:rPr>
          <w:lang w:val="en-US"/>
        </w:rPr>
        <w:t>for the individuals.</w:t>
      </w:r>
      <w:r>
        <w:rPr>
          <w:lang w:val="en-US"/>
        </w:rPr>
        <w:t xml:space="preserve"> In some cases, like Italy</w:t>
      </w:r>
      <w:r w:rsidR="000C76EB">
        <w:rPr>
          <w:lang w:val="en-US"/>
        </w:rPr>
        <w:t xml:space="preserve"> or Germany</w:t>
      </w:r>
      <w:r>
        <w:rPr>
          <w:lang w:val="en-US"/>
        </w:rPr>
        <w:t>, there does not seem to be an improvement for such ages, but an exponential curve pattern instead.</w:t>
      </w:r>
      <w:r w:rsidR="0062795F">
        <w:rPr>
          <w:lang w:val="en-US"/>
        </w:rPr>
        <w:t xml:space="preserve"> All of those non-linear effects are second order effects, and thus, are identifiable; in opposition to linear effects. D</w:t>
      </w:r>
      <w:r>
        <w:rPr>
          <w:lang w:val="en-US"/>
        </w:rPr>
        <w:t>ecrease i</w:t>
      </w:r>
      <w:r w:rsidR="00B34662">
        <w:rPr>
          <w:lang w:val="en-US"/>
        </w:rPr>
        <w:t xml:space="preserve">n depression prevalence between </w:t>
      </w:r>
      <w:r w:rsidR="00837D01">
        <w:rPr>
          <w:lang w:val="en-US"/>
        </w:rPr>
        <w:t>such ages</w:t>
      </w:r>
      <w:r w:rsidR="0062795F">
        <w:rPr>
          <w:lang w:val="en-US"/>
        </w:rPr>
        <w:t xml:space="preserve"> is</w:t>
      </w:r>
      <w:r>
        <w:rPr>
          <w:lang w:val="en-US"/>
        </w:rPr>
        <w:t xml:space="preserve"> consistent with previous literature that indicates that retirement is beneficial for mental health (Fernández-Niño et al., 2018, Oksanen et al., 2011). </w:t>
      </w:r>
      <w:proofErr w:type="gramStart"/>
      <w:r>
        <w:rPr>
          <w:lang w:val="en-US"/>
        </w:rPr>
        <w:t>However</w:t>
      </w:r>
      <w:proofErr w:type="gramEnd"/>
      <w:r w:rsidR="00DA3D95">
        <w:rPr>
          <w:lang w:val="en-US"/>
        </w:rPr>
        <w:t xml:space="preserve"> the figures do not tell us anything about the </w:t>
      </w:r>
      <w:r w:rsidR="000C76EB">
        <w:rPr>
          <w:lang w:val="en-US"/>
        </w:rPr>
        <w:t>transition</w:t>
      </w:r>
      <w:r w:rsidR="00DA3D95">
        <w:rPr>
          <w:lang w:val="en-US"/>
        </w:rPr>
        <w:t xml:space="preserve"> to retirement</w:t>
      </w:r>
      <w:r w:rsidR="000C76EB">
        <w:rPr>
          <w:lang w:val="en-US"/>
        </w:rPr>
        <w:t xml:space="preserve"> of the analyzed population, so any indications that retirement is causing the</w:t>
      </w:r>
      <w:r w:rsidR="00837D01">
        <w:rPr>
          <w:lang w:val="en-US"/>
        </w:rPr>
        <w:t xml:space="preserve"> valleys</w:t>
      </w:r>
      <w:r w:rsidR="000C76EB">
        <w:rPr>
          <w:lang w:val="en-US"/>
        </w:rPr>
        <w:t xml:space="preserve"> may be speculative</w:t>
      </w:r>
      <w:r w:rsidR="00B34662">
        <w:rPr>
          <w:lang w:val="en-US"/>
        </w:rPr>
        <w:t>.</w:t>
      </w:r>
      <w:r>
        <w:rPr>
          <w:lang w:val="en-US"/>
        </w:rPr>
        <w:t xml:space="preserve"> </w:t>
      </w:r>
    </w:p>
    <w:p w:rsidR="00612F8C" w:rsidRDefault="00690B29" w:rsidP="00690B29">
      <w:pPr>
        <w:spacing w:line="360" w:lineRule="auto"/>
        <w:ind w:firstLine="708"/>
        <w:jc w:val="both"/>
        <w:rPr>
          <w:lang w:val="en-US"/>
        </w:rPr>
      </w:pPr>
      <w:r>
        <w:rPr>
          <w:lang w:val="en-US"/>
        </w:rPr>
        <w:t xml:space="preserve">The Cohort effects introduce new perspective on the dynamics </w:t>
      </w:r>
      <w:r w:rsidR="00B34662">
        <w:rPr>
          <w:lang w:val="en-US"/>
        </w:rPr>
        <w:t>of depression prevalence</w:t>
      </w:r>
      <w:r>
        <w:rPr>
          <w:lang w:val="en-US"/>
        </w:rPr>
        <w:t>. In Spain, improvement was present in younger cohorts for all scenarios</w:t>
      </w:r>
      <w:r w:rsidR="00B34662">
        <w:rPr>
          <w:lang w:val="en-US"/>
        </w:rPr>
        <w:t>, but with uneven intensity by sex</w:t>
      </w:r>
      <w:r>
        <w:rPr>
          <w:lang w:val="en-US"/>
        </w:rPr>
        <w:t>.</w:t>
      </w:r>
      <w:r w:rsidR="00B34662">
        <w:rPr>
          <w:lang w:val="en-US"/>
        </w:rPr>
        <w:t xml:space="preserve"> In Germany, the opposite situation was seen: a continuous declining mental health trend, more pronounced for males than for females.</w:t>
      </w:r>
      <w:r w:rsidR="00B86D54">
        <w:rPr>
          <w:lang w:val="en-US"/>
        </w:rPr>
        <w:t xml:space="preserve"> However, parts of such results are a direct consequence of assuming that the linear trend belongs to the cohort dimension.</w:t>
      </w:r>
      <w:r>
        <w:rPr>
          <w:lang w:val="en-US"/>
        </w:rPr>
        <w:t xml:space="preserve"> In Italy</w:t>
      </w:r>
      <w:r w:rsidR="00612F8C">
        <w:rPr>
          <w:lang w:val="en-US"/>
        </w:rPr>
        <w:t xml:space="preserve"> and </w:t>
      </w:r>
      <w:proofErr w:type="gramStart"/>
      <w:r w:rsidR="00612F8C">
        <w:rPr>
          <w:lang w:val="en-US"/>
        </w:rPr>
        <w:t>Denmark</w:t>
      </w:r>
      <w:proofErr w:type="gramEnd"/>
      <w:r>
        <w:rPr>
          <w:lang w:val="en-US"/>
        </w:rPr>
        <w:t xml:space="preserve"> the overall cohort trend shows</w:t>
      </w:r>
      <w:r w:rsidR="00612F8C">
        <w:rPr>
          <w:lang w:val="en-US"/>
        </w:rPr>
        <w:t xml:space="preserve"> modest</w:t>
      </w:r>
      <w:r>
        <w:rPr>
          <w:lang w:val="en-US"/>
        </w:rPr>
        <w:t xml:space="preserve"> improvement </w:t>
      </w:r>
      <w:r w:rsidR="00612F8C">
        <w:rPr>
          <w:lang w:val="en-US"/>
        </w:rPr>
        <w:t xml:space="preserve">over </w:t>
      </w:r>
      <w:r w:rsidR="00612F8C">
        <w:rPr>
          <w:lang w:val="en-US"/>
        </w:rPr>
        <w:lastRenderedPageBreak/>
        <w:t>time, and in France and Sweden there is a very subtle V-shape</w:t>
      </w:r>
      <w:r>
        <w:rPr>
          <w:lang w:val="en-US"/>
        </w:rPr>
        <w:t>,</w:t>
      </w:r>
      <w:r w:rsidR="00612F8C">
        <w:rPr>
          <w:lang w:val="en-US"/>
        </w:rPr>
        <w:t xml:space="preserve"> centered in the reference cohort of 1943 who presents the lowest depression rate-ratios</w:t>
      </w:r>
      <w:r>
        <w:rPr>
          <w:lang w:val="en-US"/>
        </w:rPr>
        <w:t xml:space="preserve">. </w:t>
      </w:r>
    </w:p>
    <w:p w:rsidR="00690B29" w:rsidRDefault="00690B29" w:rsidP="00690B29">
      <w:pPr>
        <w:spacing w:line="360" w:lineRule="auto"/>
        <w:ind w:firstLine="708"/>
        <w:jc w:val="both"/>
        <w:rPr>
          <w:lang w:val="en-US"/>
        </w:rPr>
      </w:pPr>
      <w:r>
        <w:rPr>
          <w:lang w:val="en-US"/>
        </w:rPr>
        <w:t>Introducing cohort co</w:t>
      </w:r>
      <w:r w:rsidR="006D6562">
        <w:rPr>
          <w:lang w:val="en-US"/>
        </w:rPr>
        <w:t>mponents to analyze trends of</w:t>
      </w:r>
      <w:r>
        <w:rPr>
          <w:lang w:val="en-US"/>
        </w:rPr>
        <w:t xml:space="preserve"> late-life depression may</w:t>
      </w:r>
      <w:r w:rsidR="006D6562">
        <w:rPr>
          <w:lang w:val="en-US"/>
        </w:rPr>
        <w:t xml:space="preserve"> not seem</w:t>
      </w:r>
      <w:r>
        <w:rPr>
          <w:lang w:val="en-US"/>
        </w:rPr>
        <w:t xml:space="preserve"> particularly useful to describe a phenomenon that seems to be relatively stable over time. However, it allowed us to visualize a set of heterogeneities that may not be as evident in the overall cohort trend. For instance: where i</w:t>
      </w:r>
      <w:r w:rsidR="006D6562">
        <w:rPr>
          <w:lang w:val="en-US"/>
        </w:rPr>
        <w:t xml:space="preserve">s the change of rates over time and which group is driving it. </w:t>
      </w:r>
      <w:r>
        <w:rPr>
          <w:lang w:val="en-US"/>
        </w:rPr>
        <w:t>In terms of Period effects</w:t>
      </w:r>
      <w:r w:rsidR="006D6562">
        <w:rPr>
          <w:lang w:val="en-US"/>
        </w:rPr>
        <w:t>,</w:t>
      </w:r>
      <w:r>
        <w:rPr>
          <w:lang w:val="en-US"/>
        </w:rPr>
        <w:t xml:space="preserve"> the increase of relative risks on depression was rather sm</w:t>
      </w:r>
      <w:r w:rsidR="00265020">
        <w:rPr>
          <w:lang w:val="en-US"/>
        </w:rPr>
        <w:t>all but persistent in 2012</w:t>
      </w:r>
      <w:r w:rsidR="00341595">
        <w:rPr>
          <w:lang w:val="en-US"/>
        </w:rPr>
        <w:t>, considered a European crisis year</w:t>
      </w:r>
      <w:r>
        <w:rPr>
          <w:lang w:val="en-US"/>
        </w:rPr>
        <w:t xml:space="preserve">, and affected mostly </w:t>
      </w:r>
      <w:r w:rsidR="00612F8C">
        <w:rPr>
          <w:lang w:val="en-US"/>
        </w:rPr>
        <w:t>Germany</w:t>
      </w:r>
      <w:r>
        <w:rPr>
          <w:lang w:val="en-US"/>
        </w:rPr>
        <w:t>. Th</w:t>
      </w:r>
      <w:r w:rsidR="00B86D54">
        <w:rPr>
          <w:lang w:val="en-US"/>
        </w:rPr>
        <w:t>at being said, we have to keep in mind again</w:t>
      </w:r>
      <w:r>
        <w:rPr>
          <w:lang w:val="en-US"/>
        </w:rPr>
        <w:t xml:space="preserve"> that the effects shown were a result of the chosen, </w:t>
      </w:r>
      <w:proofErr w:type="gramStart"/>
      <w:r>
        <w:rPr>
          <w:lang w:val="en-US"/>
        </w:rPr>
        <w:t>theory based</w:t>
      </w:r>
      <w:proofErr w:type="gramEnd"/>
      <w:r>
        <w:rPr>
          <w:lang w:val="en-US"/>
        </w:rPr>
        <w:t xml:space="preserve"> </w:t>
      </w:r>
      <w:r w:rsidR="00612F8C">
        <w:rPr>
          <w:lang w:val="en-US"/>
        </w:rPr>
        <w:t>parameterization</w:t>
      </w:r>
      <w:r>
        <w:rPr>
          <w:lang w:val="en-US"/>
        </w:rPr>
        <w:t xml:space="preserve"> that </w:t>
      </w:r>
      <w:r w:rsidR="00612F8C">
        <w:rPr>
          <w:lang w:val="en-US"/>
        </w:rPr>
        <w:t>arbitrarily</w:t>
      </w:r>
      <w:r w:rsidR="00B86D54">
        <w:rPr>
          <w:lang w:val="en-US"/>
        </w:rPr>
        <w:t xml:space="preserve"> assumed no linear trends on the period dimension.</w:t>
      </w:r>
    </w:p>
    <w:p w:rsidR="00690B29" w:rsidRDefault="00690B29" w:rsidP="00690B29">
      <w:pPr>
        <w:spacing w:line="360" w:lineRule="auto"/>
        <w:jc w:val="both"/>
        <w:rPr>
          <w:lang w:val="en-US"/>
        </w:rPr>
      </w:pPr>
    </w:p>
    <w:p w:rsidR="00690B29" w:rsidRPr="00AB4EEB" w:rsidRDefault="00690B29" w:rsidP="00690B29">
      <w:pPr>
        <w:spacing w:line="360" w:lineRule="auto"/>
        <w:jc w:val="both"/>
        <w:rPr>
          <w:u w:val="single"/>
          <w:lang w:val="en-US"/>
        </w:rPr>
      </w:pPr>
      <w:r w:rsidRPr="00AB4EEB">
        <w:rPr>
          <w:u w:val="single"/>
          <w:lang w:val="en-US"/>
        </w:rPr>
        <w:t xml:space="preserve">Possible Limitations: </w:t>
      </w:r>
    </w:p>
    <w:p w:rsidR="00690B29" w:rsidRPr="008A76FA" w:rsidRDefault="00690B29" w:rsidP="00690B29">
      <w:pPr>
        <w:spacing w:line="360" w:lineRule="auto"/>
        <w:jc w:val="both"/>
        <w:rPr>
          <w:u w:val="single"/>
          <w:lang w:val="en-US"/>
        </w:rPr>
      </w:pPr>
    </w:p>
    <w:p w:rsidR="00690B29" w:rsidRDefault="00690B29" w:rsidP="00690B29">
      <w:pPr>
        <w:spacing w:line="360" w:lineRule="auto"/>
        <w:ind w:firstLine="708"/>
        <w:jc w:val="both"/>
        <w:rPr>
          <w:lang w:val="en-US"/>
        </w:rPr>
      </w:pPr>
      <w:r w:rsidRPr="00101380">
        <w:rPr>
          <w:lang w:val="en-US"/>
        </w:rPr>
        <w:t xml:space="preserve">This study is not exempt of limitations, though. </w:t>
      </w:r>
      <w:r w:rsidR="00C331D5">
        <w:rPr>
          <w:lang w:val="en-US"/>
        </w:rPr>
        <w:t>M</w:t>
      </w:r>
      <w:r>
        <w:rPr>
          <w:lang w:val="en-US"/>
        </w:rPr>
        <w:t>ental health is a dynamic concept (Bell, 2014). While Depression</w:t>
      </w:r>
      <w:r w:rsidRPr="00101380">
        <w:rPr>
          <w:lang w:val="en-US"/>
        </w:rPr>
        <w:t xml:space="preserve"> could be chronic and a permanent feature in the life of an individual,</w:t>
      </w:r>
      <w:r>
        <w:rPr>
          <w:lang w:val="en-US"/>
        </w:rPr>
        <w:t xml:space="preserve"> sometimes it may be only temporary as well.  </w:t>
      </w:r>
      <w:r w:rsidRPr="00101380">
        <w:rPr>
          <w:lang w:val="en-US"/>
        </w:rPr>
        <w:t xml:space="preserve">Moreover, the EURO-D scale, in spite of being validated and its performance was deemed as satisfactory, has the same limitations that most scales have: they have to rely on the honesty and the accuracy of the respondent, and they cannot foresee sudden abrupt mood changes </w:t>
      </w:r>
      <w:r>
        <w:rPr>
          <w:lang w:val="en-US"/>
        </w:rPr>
        <w:t xml:space="preserve">from wave to wave </w:t>
      </w:r>
      <w:r w:rsidRPr="00101380">
        <w:rPr>
          <w:lang w:val="en-US"/>
        </w:rPr>
        <w:t>that could alter an expected result of a questionnaire.</w:t>
      </w:r>
      <w:r>
        <w:rPr>
          <w:lang w:val="en-US"/>
        </w:rPr>
        <w:t xml:space="preserve"> Also, there is the question of coverage: w</w:t>
      </w:r>
      <w:r w:rsidRPr="00101380">
        <w:rPr>
          <w:lang w:val="en-US"/>
        </w:rPr>
        <w:t xml:space="preserve">hile some authors pointed out that there is an East-West gap in late life depression prevalence (Hansen, </w:t>
      </w:r>
      <w:proofErr w:type="spellStart"/>
      <w:r w:rsidRPr="00101380">
        <w:rPr>
          <w:lang w:val="en-US"/>
        </w:rPr>
        <w:t>Slagsvold</w:t>
      </w:r>
      <w:proofErr w:type="spellEnd"/>
      <w:r w:rsidRPr="00101380">
        <w:rPr>
          <w:lang w:val="en-US"/>
        </w:rPr>
        <w:t xml:space="preserve"> </w:t>
      </w:r>
      <w:r>
        <w:rPr>
          <w:lang w:val="en-US"/>
        </w:rPr>
        <w:t>and</w:t>
      </w:r>
      <w:r w:rsidRPr="00101380">
        <w:rPr>
          <w:lang w:val="en-US"/>
        </w:rPr>
        <w:t xml:space="preserve"> </w:t>
      </w:r>
      <w:proofErr w:type="spellStart"/>
      <w:r w:rsidRPr="00101380">
        <w:rPr>
          <w:lang w:val="en-US"/>
        </w:rPr>
        <w:t>Veenstra</w:t>
      </w:r>
      <w:proofErr w:type="spellEnd"/>
      <w:r w:rsidRPr="00101380">
        <w:rPr>
          <w:lang w:val="en-US"/>
        </w:rPr>
        <w:t>, 2017), since no eastern countries took part in all of the waves</w:t>
      </w:r>
      <w:r>
        <w:rPr>
          <w:lang w:val="en-US"/>
        </w:rPr>
        <w:t xml:space="preserve"> of SHARE </w:t>
      </w:r>
      <w:r w:rsidRPr="00101380">
        <w:rPr>
          <w:lang w:val="en-US"/>
        </w:rPr>
        <w:t>we only focu</w:t>
      </w:r>
      <w:r w:rsidR="005A004F">
        <w:rPr>
          <w:lang w:val="en-US"/>
        </w:rPr>
        <w:t>s in the countries chosen for the analysi</w:t>
      </w:r>
      <w:r w:rsidR="006D1E06">
        <w:rPr>
          <w:lang w:val="en-US"/>
        </w:rPr>
        <w:t>s</w:t>
      </w:r>
      <w:r w:rsidR="005A004F">
        <w:rPr>
          <w:lang w:val="en-US"/>
        </w:rPr>
        <w:t xml:space="preserve">. Furthermore, </w:t>
      </w:r>
      <w:r w:rsidR="007F66EC">
        <w:rPr>
          <w:lang w:val="en-US"/>
        </w:rPr>
        <w:t>as we mentioned,</w:t>
      </w:r>
      <w:r w:rsidR="004F77AE">
        <w:rPr>
          <w:lang w:val="en-US"/>
        </w:rPr>
        <w:t xml:space="preserve"> other </w:t>
      </w:r>
      <w:r w:rsidR="005A004F">
        <w:rPr>
          <w:lang w:val="en-US"/>
        </w:rPr>
        <w:t xml:space="preserve">potentially </w:t>
      </w:r>
      <w:r w:rsidR="004F77AE">
        <w:rPr>
          <w:lang w:val="en-US"/>
        </w:rPr>
        <w:t>interesting variables, such as partnership status</w:t>
      </w:r>
      <w:r w:rsidR="005A004F">
        <w:rPr>
          <w:lang w:val="en-US"/>
        </w:rPr>
        <w:t xml:space="preserve"> and educational attainment</w:t>
      </w:r>
      <w:r w:rsidR="004F77AE">
        <w:rPr>
          <w:lang w:val="en-US"/>
        </w:rPr>
        <w:t>, were removed due to</w:t>
      </w:r>
      <w:r w:rsidR="006D1E06">
        <w:rPr>
          <w:lang w:val="en-US"/>
        </w:rPr>
        <w:t xml:space="preserve"> issues </w:t>
      </w:r>
      <w:r w:rsidR="004F77AE">
        <w:rPr>
          <w:lang w:val="en-US"/>
        </w:rPr>
        <w:t>with the sample</w:t>
      </w:r>
      <w:r w:rsidR="006D1E06">
        <w:rPr>
          <w:lang w:val="en-US"/>
        </w:rPr>
        <w:t xml:space="preserve"> size</w:t>
      </w:r>
      <w:r w:rsidR="005A004F">
        <w:rPr>
          <w:lang w:val="en-US"/>
        </w:rPr>
        <w:t xml:space="preserve"> and composition</w:t>
      </w:r>
      <w:r>
        <w:rPr>
          <w:lang w:val="en-US"/>
        </w:rPr>
        <w:t xml:space="preserve">. </w:t>
      </w:r>
    </w:p>
    <w:p w:rsidR="00690B29" w:rsidRDefault="00690B29" w:rsidP="00690B29">
      <w:pPr>
        <w:spacing w:line="360" w:lineRule="auto"/>
        <w:ind w:firstLine="708"/>
        <w:jc w:val="both"/>
        <w:rPr>
          <w:lang w:val="en-US"/>
        </w:rPr>
      </w:pPr>
      <w:r>
        <w:rPr>
          <w:lang w:val="en-US"/>
        </w:rPr>
        <w:t>There are also limitations involving APC modeling that were mentioned previously. Since there is no unique theoretical mathematical solution for the linear identification problem yet, the suggested approach mathematically is incapable of discerning a solution for the linear identification problem. And while the chosen a</w:t>
      </w:r>
      <w:r w:rsidR="005A004F">
        <w:rPr>
          <w:lang w:val="en-US"/>
        </w:rPr>
        <w:t xml:space="preserve">pproach, based on theory, </w:t>
      </w:r>
      <w:r>
        <w:rPr>
          <w:lang w:val="en-US"/>
        </w:rPr>
        <w:t>offer</w:t>
      </w:r>
      <w:r w:rsidR="005A004F">
        <w:rPr>
          <w:lang w:val="en-US"/>
        </w:rPr>
        <w:t>s</w:t>
      </w:r>
      <w:r>
        <w:rPr>
          <w:lang w:val="en-US"/>
        </w:rPr>
        <w:t xml:space="preserve"> a </w:t>
      </w:r>
      <w:r>
        <w:rPr>
          <w:lang w:val="en-US"/>
        </w:rPr>
        <w:lastRenderedPageBreak/>
        <w:t>possible solution, such solution is the result of the particular constraint</w:t>
      </w:r>
      <w:r w:rsidR="005A004F">
        <w:rPr>
          <w:lang w:val="en-US"/>
        </w:rPr>
        <w:t xml:space="preserve">s chosen for </w:t>
      </w:r>
      <w:r>
        <w:rPr>
          <w:lang w:val="en-US"/>
        </w:rPr>
        <w:t>this case (Yang and Land, 2013)</w:t>
      </w:r>
      <w:r w:rsidRPr="00101380">
        <w:rPr>
          <w:lang w:val="en-US"/>
        </w:rPr>
        <w:t xml:space="preserve">. </w:t>
      </w:r>
      <w:r>
        <w:rPr>
          <w:lang w:val="en-US"/>
        </w:rPr>
        <w:t xml:space="preserve">Finally, we have to mention that due to sample size limitations, a small group of age-period squares were </w:t>
      </w:r>
      <w:proofErr w:type="spellStart"/>
      <w:r>
        <w:rPr>
          <w:lang w:val="en-US"/>
        </w:rPr>
        <w:t>imputated</w:t>
      </w:r>
      <w:proofErr w:type="spellEnd"/>
      <w:r>
        <w:rPr>
          <w:lang w:val="en-US"/>
        </w:rPr>
        <w:t>; hence</w:t>
      </w:r>
      <w:r w:rsidR="005A004F">
        <w:rPr>
          <w:lang w:val="en-US"/>
        </w:rPr>
        <w:t>, while unlikely,</w:t>
      </w:r>
      <w:r>
        <w:rPr>
          <w:lang w:val="en-US"/>
        </w:rPr>
        <w:t xml:space="preserve"> estimates may be slightly biased in such sense.</w:t>
      </w:r>
    </w:p>
    <w:p w:rsidR="00690B29" w:rsidRDefault="00690B29" w:rsidP="00690B29">
      <w:pPr>
        <w:spacing w:line="360" w:lineRule="auto"/>
        <w:ind w:firstLine="708"/>
        <w:jc w:val="both"/>
        <w:rPr>
          <w:lang w:val="en-US"/>
        </w:rPr>
      </w:pPr>
    </w:p>
    <w:p w:rsidR="00690B29" w:rsidRPr="00AB4EEB" w:rsidRDefault="00690B29" w:rsidP="00690B29">
      <w:pPr>
        <w:spacing w:line="360" w:lineRule="auto"/>
        <w:jc w:val="both"/>
        <w:rPr>
          <w:lang w:val="en-US"/>
        </w:rPr>
      </w:pPr>
      <w:r w:rsidRPr="00AB4EEB">
        <w:rPr>
          <w:u w:val="single"/>
          <w:lang w:val="en-US"/>
        </w:rPr>
        <w:t>Final Comments</w:t>
      </w:r>
      <w:r w:rsidRPr="00AB4EEB">
        <w:rPr>
          <w:lang w:val="en-US"/>
        </w:rPr>
        <w:t>:</w:t>
      </w:r>
    </w:p>
    <w:p w:rsidR="00690B29" w:rsidRDefault="00690B29" w:rsidP="00690B29">
      <w:pPr>
        <w:spacing w:line="360" w:lineRule="auto"/>
        <w:ind w:firstLine="708"/>
        <w:jc w:val="both"/>
        <w:rPr>
          <w:lang w:val="en-US"/>
        </w:rPr>
      </w:pPr>
    </w:p>
    <w:p w:rsidR="00690B29" w:rsidRDefault="00690B29" w:rsidP="00690B29">
      <w:pPr>
        <w:spacing w:line="360" w:lineRule="auto"/>
        <w:ind w:firstLine="708"/>
        <w:jc w:val="both"/>
        <w:rPr>
          <w:lang w:val="en-US"/>
        </w:rPr>
      </w:pPr>
      <w:r>
        <w:rPr>
          <w:lang w:val="en-US"/>
        </w:rPr>
        <w:t>This is a very simple study that just by describing trends of a particular health issue can delve into many existing lines of research, ranging from causal effects between retirement and health benefits to cohort trends across different countries of other diseases of the mind (or joint diseases, since depression is usually associated with joint morbidities), among many others. In the light of the Covid-19 pandemic, it can also introduce the question if there could be such thing as a continuous period trend</w:t>
      </w:r>
      <w:r w:rsidR="004E7F92">
        <w:rPr>
          <w:lang w:val="en-US"/>
        </w:rPr>
        <w:t xml:space="preserve"> in the future</w:t>
      </w:r>
      <w:r>
        <w:rPr>
          <w:lang w:val="en-US"/>
        </w:rPr>
        <w:t xml:space="preserve"> in regards to mental health and depression. Furthermore, by showing repeated measurements</w:t>
      </w:r>
      <w:r w:rsidR="004E7F92">
        <w:rPr>
          <w:lang w:val="en-US"/>
        </w:rPr>
        <w:t xml:space="preserve"> with the same data source</w:t>
      </w:r>
      <w:r>
        <w:rPr>
          <w:lang w:val="en-US"/>
        </w:rPr>
        <w:t xml:space="preserve"> and offering a decomposition of the age trajectories of late-life depression, along with cohort and period effects, it provided a benchmark for further studies across countries.  </w:t>
      </w:r>
    </w:p>
    <w:p w:rsidR="00690B29" w:rsidRDefault="00690B29" w:rsidP="00690B29">
      <w:pPr>
        <w:spacing w:line="360" w:lineRule="auto"/>
        <w:ind w:firstLine="708"/>
        <w:jc w:val="both"/>
        <w:rPr>
          <w:u w:val="single"/>
          <w:lang w:val="en-US"/>
        </w:rPr>
      </w:pPr>
      <w:r>
        <w:rPr>
          <w:lang w:val="en-US"/>
        </w:rPr>
        <w:t>While in this study we do not find evidence that suggests that depression prevalence rates are increasing over time for the overall population, it is still a major health problem in the world that we live in, particularly considering that populations across Europe are in a continuous aging process. Hence, this discussion about mental health inequalities and current social structures should not be avoided in the future.</w:t>
      </w:r>
    </w:p>
    <w:p w:rsidR="00690B29" w:rsidRPr="008E2258" w:rsidRDefault="00690B29" w:rsidP="00690B29">
      <w:pPr>
        <w:spacing w:line="360" w:lineRule="auto"/>
        <w:rPr>
          <w:b/>
          <w:u w:val="single"/>
          <w:lang w:val="en-US"/>
        </w:rPr>
      </w:pPr>
    </w:p>
    <w:p w:rsidR="00690B29" w:rsidRPr="008E2258" w:rsidRDefault="00690B29" w:rsidP="00690B29">
      <w:pPr>
        <w:spacing w:line="360" w:lineRule="auto"/>
        <w:rPr>
          <w:b/>
          <w:u w:val="single"/>
          <w:lang w:val="en-US"/>
        </w:rPr>
      </w:pPr>
      <w:r>
        <w:rPr>
          <w:b/>
          <w:u w:val="single"/>
          <w:lang w:val="en-US"/>
        </w:rPr>
        <w:t>Bibliographic References</w:t>
      </w:r>
      <w:r w:rsidRPr="008E2258">
        <w:rPr>
          <w:b/>
          <w:u w:val="single"/>
          <w:lang w:val="en-US"/>
        </w:rPr>
        <w:t xml:space="preserve">: </w:t>
      </w:r>
    </w:p>
    <w:p w:rsidR="00690B29" w:rsidRPr="00690B29" w:rsidRDefault="00690B29" w:rsidP="00690B29">
      <w:pPr>
        <w:spacing w:line="360"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Acosta. E, van </w:t>
      </w:r>
      <w:proofErr w:type="spellStart"/>
      <w:r w:rsidRPr="00690B29">
        <w:rPr>
          <w:color w:val="auto"/>
          <w:lang w:val="en-US"/>
        </w:rPr>
        <w:t>Raalte</w:t>
      </w:r>
      <w:proofErr w:type="spellEnd"/>
      <w:r w:rsidRPr="00690B29">
        <w:rPr>
          <w:color w:val="auto"/>
          <w:lang w:val="en-US"/>
        </w:rPr>
        <w:t xml:space="preserve">, A. (2019) “APC curvature plots: Displaying nonlinear age-period-cohort patterns on Lexis plots” </w:t>
      </w:r>
      <w:r w:rsidRPr="00690B29">
        <w:rPr>
          <w:i/>
          <w:color w:val="auto"/>
          <w:lang w:val="en-US"/>
        </w:rPr>
        <w:t xml:space="preserve">Demographic Research. </w:t>
      </w:r>
      <w:r w:rsidRPr="00690B29">
        <w:rPr>
          <w:color w:val="auto"/>
          <w:lang w:val="en-US"/>
        </w:rPr>
        <w:t xml:space="preserve">41(42) p 1205-1234 </w:t>
      </w:r>
      <w:r>
        <w:rPr>
          <w:color w:val="auto"/>
          <w:u w:val="single"/>
          <w:lang w:val="en-US"/>
        </w:rPr>
        <w:t>https://doi.org/</w:t>
      </w:r>
      <w:r w:rsidRPr="00690B29">
        <w:rPr>
          <w:color w:val="auto"/>
          <w:u w:val="single"/>
          <w:lang w:val="en-US"/>
        </w:rPr>
        <w:t xml:space="preserve"> </w:t>
      </w:r>
      <w:hyperlink r:id="rId17" w:tgtFrame="_blank" w:history="1">
        <w:r w:rsidRPr="00690B29">
          <w:rPr>
            <w:rStyle w:val="Hipervnculo"/>
            <w:bCs/>
            <w:color w:val="auto"/>
            <w:bdr w:val="none" w:sz="0" w:space="0" w:color="auto" w:frame="1"/>
            <w:shd w:val="clear" w:color="auto" w:fill="FEFCF8"/>
            <w:lang w:val="en-US"/>
          </w:rPr>
          <w:t>10.4054/DemRes.2019.41.42</w:t>
        </w:r>
      </w:hyperlink>
      <w:r w:rsidRPr="00690B29">
        <w:rPr>
          <w:color w:val="auto"/>
          <w:lang w:val="en-US"/>
        </w:rPr>
        <w:t xml:space="preserve"> </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proofErr w:type="spellStart"/>
      <w:r w:rsidRPr="00690B29">
        <w:rPr>
          <w:color w:val="auto"/>
          <w:shd w:val="clear" w:color="auto" w:fill="FFFFFF"/>
          <w:lang w:val="en-US"/>
        </w:rPr>
        <w:t>Aichberger</w:t>
      </w:r>
      <w:proofErr w:type="spellEnd"/>
      <w:r w:rsidRPr="00690B29">
        <w:rPr>
          <w:color w:val="auto"/>
          <w:shd w:val="clear" w:color="auto" w:fill="FFFFFF"/>
          <w:lang w:val="en-US"/>
        </w:rPr>
        <w:t xml:space="preserve">, M. C., </w:t>
      </w:r>
      <w:proofErr w:type="spellStart"/>
      <w:r w:rsidRPr="00690B29">
        <w:rPr>
          <w:color w:val="auto"/>
          <w:shd w:val="clear" w:color="auto" w:fill="FFFFFF"/>
          <w:lang w:val="en-US"/>
        </w:rPr>
        <w:t>Schouler-Ocak</w:t>
      </w:r>
      <w:proofErr w:type="spellEnd"/>
      <w:r w:rsidRPr="00690B29">
        <w:rPr>
          <w:color w:val="auto"/>
          <w:shd w:val="clear" w:color="auto" w:fill="FFFFFF"/>
          <w:lang w:val="en-US"/>
        </w:rPr>
        <w:t xml:space="preserve">, M., </w:t>
      </w:r>
      <w:proofErr w:type="spellStart"/>
      <w:r w:rsidRPr="00690B29">
        <w:rPr>
          <w:color w:val="auto"/>
          <w:shd w:val="clear" w:color="auto" w:fill="FFFFFF"/>
          <w:lang w:val="en-US"/>
        </w:rPr>
        <w:t>Mundt</w:t>
      </w:r>
      <w:proofErr w:type="spellEnd"/>
      <w:r w:rsidRPr="00690B29">
        <w:rPr>
          <w:color w:val="auto"/>
          <w:shd w:val="clear" w:color="auto" w:fill="FFFFFF"/>
          <w:lang w:val="en-US"/>
        </w:rPr>
        <w:t xml:space="preserve">, A., Busch, M. A., Nickels, E., </w:t>
      </w:r>
      <w:proofErr w:type="spellStart"/>
      <w:r w:rsidRPr="00690B29">
        <w:rPr>
          <w:color w:val="auto"/>
          <w:shd w:val="clear" w:color="auto" w:fill="FFFFFF"/>
          <w:lang w:val="en-US"/>
        </w:rPr>
        <w:t>Heimann</w:t>
      </w:r>
      <w:proofErr w:type="spellEnd"/>
      <w:r w:rsidRPr="00690B29">
        <w:rPr>
          <w:color w:val="auto"/>
          <w:shd w:val="clear" w:color="auto" w:fill="FFFFFF"/>
          <w:lang w:val="en-US"/>
        </w:rPr>
        <w:t xml:space="preserve">, H. M., </w:t>
      </w:r>
      <w:proofErr w:type="spellStart"/>
      <w:r w:rsidRPr="00690B29">
        <w:rPr>
          <w:color w:val="auto"/>
          <w:shd w:val="clear" w:color="auto" w:fill="FFFFFF"/>
          <w:lang w:val="en-US"/>
        </w:rPr>
        <w:t>Ströhle</w:t>
      </w:r>
      <w:proofErr w:type="spellEnd"/>
      <w:r w:rsidRPr="00690B29">
        <w:rPr>
          <w:color w:val="auto"/>
          <w:shd w:val="clear" w:color="auto" w:fill="FFFFFF"/>
          <w:lang w:val="en-US"/>
        </w:rPr>
        <w:t xml:space="preserve">, A., </w:t>
      </w:r>
      <w:proofErr w:type="spellStart"/>
      <w:r w:rsidRPr="00690B29">
        <w:rPr>
          <w:color w:val="auto"/>
          <w:shd w:val="clear" w:color="auto" w:fill="FFFFFF"/>
          <w:lang w:val="en-US"/>
        </w:rPr>
        <w:t>Reischies</w:t>
      </w:r>
      <w:proofErr w:type="spellEnd"/>
      <w:r w:rsidRPr="00690B29">
        <w:rPr>
          <w:color w:val="auto"/>
          <w:shd w:val="clear" w:color="auto" w:fill="FFFFFF"/>
          <w:lang w:val="en-US"/>
        </w:rPr>
        <w:t xml:space="preserve">, F. M., Heinz, A., &amp; Rapp, M. A. (2010). Depression in middle-aged and older </w:t>
      </w:r>
      <w:proofErr w:type="gramStart"/>
      <w:r w:rsidRPr="00690B29">
        <w:rPr>
          <w:color w:val="auto"/>
          <w:shd w:val="clear" w:color="auto" w:fill="FFFFFF"/>
          <w:lang w:val="en-US"/>
        </w:rPr>
        <w:t>first generation</w:t>
      </w:r>
      <w:proofErr w:type="gramEnd"/>
      <w:r w:rsidRPr="00690B29">
        <w:rPr>
          <w:color w:val="auto"/>
          <w:shd w:val="clear" w:color="auto" w:fill="FFFFFF"/>
          <w:lang w:val="en-US"/>
        </w:rPr>
        <w:t xml:space="preserve"> migrants in Europe: results from the Survey of Health, Ageing and Retirement in Europe (SHARE). </w:t>
      </w:r>
      <w:r w:rsidRPr="00690B29">
        <w:rPr>
          <w:i/>
          <w:iCs/>
          <w:color w:val="auto"/>
          <w:shd w:val="clear" w:color="auto" w:fill="FFFFFF"/>
          <w:lang w:val="en-US"/>
        </w:rPr>
        <w:t xml:space="preserve">European </w:t>
      </w:r>
      <w:proofErr w:type="gramStart"/>
      <w:r w:rsidRPr="00690B29">
        <w:rPr>
          <w:i/>
          <w:iCs/>
          <w:color w:val="auto"/>
          <w:shd w:val="clear" w:color="auto" w:fill="FFFFFF"/>
          <w:lang w:val="en-US"/>
        </w:rPr>
        <w:t>psychiatry :</w:t>
      </w:r>
      <w:proofErr w:type="gramEnd"/>
      <w:r w:rsidRPr="00690B29">
        <w:rPr>
          <w:i/>
          <w:iCs/>
          <w:color w:val="auto"/>
          <w:shd w:val="clear" w:color="auto" w:fill="FFFFFF"/>
          <w:lang w:val="en-US"/>
        </w:rPr>
        <w:t xml:space="preserve"> the journal of the </w:t>
      </w:r>
      <w:r w:rsidRPr="00690B29">
        <w:rPr>
          <w:i/>
          <w:iCs/>
          <w:color w:val="auto"/>
          <w:shd w:val="clear" w:color="auto" w:fill="FFFFFF"/>
          <w:lang w:val="en-US"/>
        </w:rPr>
        <w:lastRenderedPageBreak/>
        <w:t>Association of European Psychiatrists</w:t>
      </w:r>
      <w:r w:rsidRPr="00690B29">
        <w:rPr>
          <w:color w:val="auto"/>
          <w:shd w:val="clear" w:color="auto" w:fill="FFFFFF"/>
          <w:lang w:val="en-US"/>
        </w:rPr>
        <w:t>, </w:t>
      </w:r>
      <w:r w:rsidRPr="00690B29">
        <w:rPr>
          <w:i/>
          <w:iCs/>
          <w:color w:val="auto"/>
          <w:shd w:val="clear" w:color="auto" w:fill="FFFFFF"/>
          <w:lang w:val="en-US"/>
        </w:rPr>
        <w:t>25</w:t>
      </w:r>
      <w:r w:rsidRPr="00690B29">
        <w:rPr>
          <w:color w:val="auto"/>
          <w:shd w:val="clear" w:color="auto" w:fill="FFFFFF"/>
          <w:lang w:val="en-US"/>
        </w:rPr>
        <w:t xml:space="preserve">(8), 468–475. </w:t>
      </w:r>
      <w:r>
        <w:rPr>
          <w:color w:val="auto"/>
          <w:u w:val="single"/>
          <w:shd w:val="clear" w:color="auto" w:fill="FFFFFF"/>
          <w:lang w:val="en-US"/>
        </w:rPr>
        <w:t>https://doi.org/</w:t>
      </w:r>
      <w:r w:rsidRPr="00690B29">
        <w:rPr>
          <w:color w:val="auto"/>
          <w:u w:val="single"/>
          <w:shd w:val="clear" w:color="auto" w:fill="FFFFFF"/>
          <w:lang w:val="en-US"/>
        </w:rPr>
        <w:t>10.1016/j.eurpsy.2009.11.009</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Aziz, R., Steffens, D. C. (2013). What are the causes of late-life depression? </w:t>
      </w:r>
      <w:r w:rsidRPr="00690B29">
        <w:rPr>
          <w:i/>
          <w:color w:val="auto"/>
          <w:lang w:val="en-US"/>
        </w:rPr>
        <w:t>The Psychiatric clinics of North America</w:t>
      </w:r>
      <w:r w:rsidRPr="00690B29">
        <w:rPr>
          <w:color w:val="auto"/>
          <w:lang w:val="en-US"/>
        </w:rPr>
        <w:t xml:space="preserve">, </w:t>
      </w:r>
      <w:r w:rsidRPr="00690B29">
        <w:rPr>
          <w:i/>
          <w:color w:val="auto"/>
          <w:lang w:val="en-US"/>
        </w:rPr>
        <w:t>36</w:t>
      </w:r>
      <w:r w:rsidRPr="00690B29">
        <w:rPr>
          <w:color w:val="auto"/>
          <w:lang w:val="en-US"/>
        </w:rPr>
        <w:t xml:space="preserve">(4), 497–516. </w:t>
      </w:r>
      <w:r>
        <w:rPr>
          <w:color w:val="auto"/>
          <w:u w:val="single"/>
          <w:lang w:val="en-US"/>
        </w:rPr>
        <w:t>https://doi.org/</w:t>
      </w:r>
      <w:r w:rsidRPr="00690B29">
        <w:rPr>
          <w:color w:val="auto"/>
          <w:u w:val="single"/>
          <w:lang w:val="en-US"/>
        </w:rPr>
        <w:t>10.1016/j.psc.2013.08.001</w:t>
      </w:r>
      <w:r w:rsidRPr="00690B29">
        <w:rPr>
          <w:color w:val="auto"/>
          <w:lang w:val="en-US"/>
        </w:rPr>
        <w:t xml:space="preserve"> </w:t>
      </w:r>
    </w:p>
    <w:p w:rsidR="00690B29" w:rsidRPr="00690B29" w:rsidRDefault="00690B29" w:rsidP="00690B29">
      <w:pPr>
        <w:spacing w:line="276" w:lineRule="auto"/>
        <w:rPr>
          <w:bCs/>
          <w:color w:val="auto"/>
          <w:kern w:val="36"/>
          <w:lang w:val="en-US" w:eastAsia="es-AR"/>
        </w:rPr>
      </w:pPr>
    </w:p>
    <w:p w:rsidR="00690B29" w:rsidRPr="00690B29" w:rsidRDefault="00690B29" w:rsidP="00690B29">
      <w:pPr>
        <w:spacing w:line="276" w:lineRule="auto"/>
        <w:rPr>
          <w:color w:val="auto"/>
          <w:lang w:val="en-US"/>
        </w:rPr>
      </w:pPr>
      <w:r w:rsidRPr="00690B29">
        <w:rPr>
          <w:color w:val="auto"/>
          <w:lang w:val="en-US"/>
        </w:rPr>
        <w:t xml:space="preserve">Bell, A. (2014) A </w:t>
      </w:r>
      <w:proofErr w:type="spellStart"/>
      <w:r w:rsidRPr="00690B29">
        <w:rPr>
          <w:color w:val="auto"/>
          <w:lang w:val="en-US"/>
        </w:rPr>
        <w:t>multiLife</w:t>
      </w:r>
      <w:proofErr w:type="spellEnd"/>
      <w:r w:rsidRPr="00690B29">
        <w:rPr>
          <w:color w:val="auto"/>
          <w:lang w:val="en-US"/>
        </w:rPr>
        <w:t xml:space="preserve">-course and cohort trajectories of mental health in the UK, 1991–2008 – A multilevel age–period–cohort analysis. Social Science and Medicine vol 120, pp 21-30.  </w:t>
      </w:r>
      <w:hyperlink r:id="rId18" w:tgtFrame="_blank" w:tooltip="Persistent link using digital object identifier" w:history="1">
        <w:r>
          <w:rPr>
            <w:rStyle w:val="Hipervnculo"/>
            <w:color w:val="auto"/>
            <w:lang w:val="en-US"/>
          </w:rPr>
          <w:t>https://doi.org/</w:t>
        </w:r>
        <w:r w:rsidRPr="00690B29">
          <w:rPr>
            <w:rStyle w:val="Hipervnculo"/>
            <w:color w:val="auto"/>
            <w:lang w:val="en-US"/>
          </w:rPr>
          <w:t>10.1016/j.socscimed.2014.09.008</w:t>
        </w:r>
      </w:hyperlink>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Bergmann, M. </w:t>
      </w:r>
      <w:proofErr w:type="spellStart"/>
      <w:r w:rsidRPr="00690B29">
        <w:rPr>
          <w:color w:val="auto"/>
          <w:lang w:val="en-US"/>
        </w:rPr>
        <w:t>Kneip</w:t>
      </w:r>
      <w:proofErr w:type="spellEnd"/>
      <w:r w:rsidRPr="00690B29">
        <w:rPr>
          <w:color w:val="auto"/>
          <w:lang w:val="en-US"/>
        </w:rPr>
        <w:t xml:space="preserve">, T., De Luca, G., </w:t>
      </w:r>
      <w:proofErr w:type="spellStart"/>
      <w:r w:rsidRPr="00690B29">
        <w:rPr>
          <w:color w:val="auto"/>
          <w:lang w:val="en-US"/>
        </w:rPr>
        <w:t>Scherpenzeel</w:t>
      </w:r>
      <w:proofErr w:type="spellEnd"/>
      <w:r w:rsidRPr="00690B29">
        <w:rPr>
          <w:color w:val="auto"/>
          <w:lang w:val="en-US"/>
        </w:rPr>
        <w:t>, A. (2019). Survey participation in the Survey of Health, Ageing and Retirement in Europe (SHARE), Wave 1-7. Based on Release 7.0.0. SHARE Working Paper Series 41-2019. Munich: SHARE-ERIC.</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rStyle w:val="EnlacedeInternet"/>
          <w:color w:val="auto"/>
          <w:lang w:val="en-US"/>
        </w:rPr>
      </w:pPr>
      <w:r w:rsidRPr="00690B29">
        <w:rPr>
          <w:color w:val="auto"/>
          <w:lang w:val="en-US"/>
        </w:rPr>
        <w:t xml:space="preserve">Blazer, D.G. (2005) </w:t>
      </w:r>
      <w:hyperlink r:id="rId19">
        <w:r w:rsidRPr="00690B29">
          <w:rPr>
            <w:rStyle w:val="EnlacedeInternet"/>
            <w:color w:val="auto"/>
            <w:lang w:val="en-US"/>
          </w:rPr>
          <w:t>Depression and social support in late life: A clear but not obvious relationship</w:t>
        </w:r>
      </w:hyperlink>
      <w:r w:rsidRPr="00690B29">
        <w:rPr>
          <w:color w:val="auto"/>
          <w:lang w:val="en-US"/>
        </w:rPr>
        <w:t xml:space="preserve">. </w:t>
      </w:r>
      <w:r w:rsidRPr="00690B29">
        <w:rPr>
          <w:i/>
          <w:color w:val="auto"/>
          <w:lang w:val="en-US"/>
        </w:rPr>
        <w:t>Aging and Mental Health</w:t>
      </w:r>
      <w:r w:rsidRPr="00690B29">
        <w:rPr>
          <w:color w:val="auto"/>
          <w:lang w:val="en-US"/>
        </w:rPr>
        <w:t xml:space="preserve"> 9:6, pages 497-499. </w:t>
      </w:r>
      <w:r w:rsidRPr="00690B29">
        <w:rPr>
          <w:color w:val="auto"/>
          <w:u w:val="single"/>
          <w:lang w:val="en-US"/>
        </w:rPr>
        <w:t>https://</w:t>
      </w:r>
      <w:r w:rsidRPr="00690B29">
        <w:rPr>
          <w:rStyle w:val="EnlacedeInternet"/>
          <w:color w:val="auto"/>
          <w:lang w:val="en-US"/>
        </w:rPr>
        <w:t>doi.org/full/10.1080/13607860500294266</w:t>
      </w:r>
    </w:p>
    <w:p w:rsidR="00690B29" w:rsidRPr="00690B29" w:rsidRDefault="00690B29" w:rsidP="00690B29">
      <w:pPr>
        <w:spacing w:line="276" w:lineRule="auto"/>
        <w:rPr>
          <w:rStyle w:val="EnlacedeInternet"/>
          <w:color w:val="auto"/>
          <w:lang w:val="en-US"/>
        </w:rPr>
      </w:pPr>
    </w:p>
    <w:p w:rsidR="00690B29" w:rsidRPr="00690B29" w:rsidRDefault="00690B29" w:rsidP="00690B29">
      <w:pPr>
        <w:spacing w:line="276" w:lineRule="auto"/>
        <w:rPr>
          <w:color w:val="auto"/>
          <w:lang w:val="en-US"/>
        </w:rPr>
      </w:pPr>
      <w:proofErr w:type="spellStart"/>
      <w:r w:rsidRPr="00690B29">
        <w:rPr>
          <w:color w:val="auto"/>
          <w:shd w:val="clear" w:color="auto" w:fill="FFFFFF"/>
          <w:lang w:val="en-US"/>
        </w:rPr>
        <w:t>Börsch-Supan</w:t>
      </w:r>
      <w:proofErr w:type="spellEnd"/>
      <w:r w:rsidRPr="00690B29">
        <w:rPr>
          <w:color w:val="auto"/>
          <w:shd w:val="clear" w:color="auto" w:fill="FFFFFF"/>
          <w:lang w:val="en-US"/>
        </w:rPr>
        <w:t xml:space="preserve">, A. (2019). Survey of Health, Ageing and Retirement in Europe (SHARE) Waves 1 to 7. Release version: 7.0.0. SHARE-ERIC. Data set. </w:t>
      </w:r>
      <w:r>
        <w:rPr>
          <w:color w:val="auto"/>
          <w:u w:val="single"/>
          <w:shd w:val="clear" w:color="auto" w:fill="FFFFFF"/>
          <w:lang w:val="en-US"/>
        </w:rPr>
        <w:t>https://doi.org/</w:t>
      </w:r>
      <w:r w:rsidRPr="00690B29">
        <w:rPr>
          <w:color w:val="auto"/>
          <w:u w:val="single"/>
          <w:shd w:val="clear" w:color="auto" w:fill="FFFFFF"/>
          <w:lang w:val="en-US"/>
        </w:rPr>
        <w:t xml:space="preserve"> 10.6103/SHARE.w7.700</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Carstensen, B. (2007). Age-period-cohort models for the Lexis diagram. Statistics in Medicine, 26(15), 3018–3045. </w:t>
      </w:r>
      <w:hyperlink r:id="rId20" w:history="1">
        <w:r>
          <w:rPr>
            <w:rStyle w:val="Hipervnculo"/>
            <w:color w:val="auto"/>
            <w:lang w:val="en-US"/>
          </w:rPr>
          <w:t>https://doi.org/</w:t>
        </w:r>
        <w:r w:rsidRPr="00690B29">
          <w:rPr>
            <w:rStyle w:val="Hipervnculo"/>
            <w:color w:val="auto"/>
            <w:lang w:val="en-US"/>
          </w:rPr>
          <w:t>10.1002/sim.2764</w:t>
        </w:r>
      </w:hyperlink>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shd w:val="clear" w:color="auto" w:fill="FFFFFF"/>
          <w:lang w:val="en-US"/>
        </w:rPr>
        <w:t xml:space="preserve">Carstensen B., Plummer, M., </w:t>
      </w:r>
      <w:proofErr w:type="spellStart"/>
      <w:r w:rsidRPr="00690B29">
        <w:rPr>
          <w:color w:val="auto"/>
          <w:shd w:val="clear" w:color="auto" w:fill="FFFFFF"/>
          <w:lang w:val="en-US"/>
        </w:rPr>
        <w:t>Laara</w:t>
      </w:r>
      <w:proofErr w:type="spellEnd"/>
      <w:r w:rsidRPr="00690B29">
        <w:rPr>
          <w:color w:val="auto"/>
          <w:shd w:val="clear" w:color="auto" w:fill="FFFFFF"/>
          <w:lang w:val="en-US"/>
        </w:rPr>
        <w:t>, E., Hills, M. (2019). </w:t>
      </w:r>
      <w:r w:rsidRPr="00690B29">
        <w:rPr>
          <w:rStyle w:val="nfasis"/>
          <w:color w:val="auto"/>
          <w:shd w:val="clear" w:color="auto" w:fill="FFFFFF"/>
          <w:lang w:val="en-US"/>
        </w:rPr>
        <w:t>Epi: A Package for Statistical Analysis in Epidemiology</w:t>
      </w:r>
      <w:r w:rsidRPr="00690B29">
        <w:rPr>
          <w:color w:val="auto"/>
          <w:shd w:val="clear" w:color="auto" w:fill="FFFFFF"/>
          <w:lang w:val="en-US"/>
        </w:rPr>
        <w:t>. R package version 2.40, </w:t>
      </w:r>
      <w:hyperlink r:id="rId21" w:history="1">
        <w:r w:rsidRPr="00690B29">
          <w:rPr>
            <w:rStyle w:val="Hipervnculo"/>
            <w:color w:val="auto"/>
            <w:shd w:val="clear" w:color="auto" w:fill="FFFFFF"/>
            <w:lang w:val="en-US"/>
          </w:rPr>
          <w:t>https://CRAN.R-project.org/package=Epi</w:t>
        </w:r>
      </w:hyperlink>
      <w:r w:rsidRPr="00690B29">
        <w:rPr>
          <w:color w:val="auto"/>
          <w:shd w:val="clear" w:color="auto" w:fill="FFFFFF"/>
          <w:lang w:val="en-US"/>
        </w:rPr>
        <w:t>.</w:t>
      </w:r>
    </w:p>
    <w:p w:rsidR="00690B29" w:rsidRPr="00690B29" w:rsidRDefault="00690B29" w:rsidP="00690B29">
      <w:pPr>
        <w:spacing w:line="276" w:lineRule="auto"/>
        <w:rPr>
          <w:color w:val="auto"/>
          <w:lang w:val="en-US"/>
        </w:rPr>
      </w:pPr>
    </w:p>
    <w:p w:rsidR="00690B29" w:rsidRPr="00690B29" w:rsidRDefault="00690B29" w:rsidP="00690B29">
      <w:pPr>
        <w:shd w:val="clear" w:color="auto" w:fill="FFFFFF"/>
        <w:rPr>
          <w:color w:val="auto"/>
          <w:shd w:val="clear" w:color="auto" w:fill="FFFFFF"/>
          <w:lang w:val="en-US"/>
        </w:rPr>
      </w:pPr>
      <w:r w:rsidRPr="00690B29">
        <w:rPr>
          <w:color w:val="auto"/>
          <w:lang w:val="en-US"/>
        </w:rPr>
        <w:t xml:space="preserve">Colman, I., </w:t>
      </w:r>
      <w:proofErr w:type="spellStart"/>
      <w:r w:rsidRPr="00690B29">
        <w:rPr>
          <w:color w:val="auto"/>
          <w:lang w:val="en-US"/>
        </w:rPr>
        <w:t>Ataullahjan</w:t>
      </w:r>
      <w:proofErr w:type="spellEnd"/>
      <w:r w:rsidRPr="00690B29">
        <w:rPr>
          <w:color w:val="auto"/>
          <w:lang w:val="en-US"/>
        </w:rPr>
        <w:t xml:space="preserve">, A. (2010) Life course perspectives on the epidemiology of depression. </w:t>
      </w:r>
      <w:hyperlink r:id="rId22" w:tooltip="Canadian journal of psychiatry. Revue canadienne de psychiatrie." w:history="1">
        <w:r w:rsidRPr="00690B29">
          <w:rPr>
            <w:rStyle w:val="Hipervnculo"/>
            <w:color w:val="auto"/>
            <w:shd w:val="clear" w:color="auto" w:fill="FFFFFF"/>
            <w:lang w:val="en-US"/>
          </w:rPr>
          <w:t>Canadian Journal of Psychiatry.</w:t>
        </w:r>
      </w:hyperlink>
      <w:r w:rsidRPr="00690B29">
        <w:rPr>
          <w:color w:val="auto"/>
          <w:shd w:val="clear" w:color="auto" w:fill="FFFFFF"/>
          <w:lang w:val="en-US"/>
        </w:rPr>
        <w:t xml:space="preserve"> 2010 Oct;55(10):622-32. </w:t>
      </w:r>
    </w:p>
    <w:p w:rsidR="00690B29" w:rsidRPr="00DB2241" w:rsidRDefault="00690B29" w:rsidP="00690B29">
      <w:pPr>
        <w:shd w:val="clear" w:color="auto" w:fill="FFFFFF"/>
        <w:rPr>
          <w:lang w:val="en-US"/>
        </w:rPr>
      </w:pPr>
      <w:r>
        <w:rPr>
          <w:color w:val="auto"/>
          <w:u w:val="single"/>
          <w:lang w:val="en-US"/>
        </w:rPr>
        <w:t>https://doi.org/</w:t>
      </w:r>
      <w:r w:rsidRPr="00690B29">
        <w:rPr>
          <w:color w:val="auto"/>
          <w:u w:val="single"/>
          <w:lang w:val="en-US"/>
        </w:rPr>
        <w:t xml:space="preserve"> </w:t>
      </w:r>
      <w:hyperlink r:id="rId23" w:tgtFrame="_blank" w:history="1">
        <w:r w:rsidRPr="00690B29">
          <w:rPr>
            <w:rStyle w:val="Hipervnculo"/>
            <w:color w:val="auto"/>
            <w:lang w:val="en-US"/>
          </w:rPr>
          <w:t>10.1177/070674371005501002</w:t>
        </w:r>
      </w:hyperlink>
    </w:p>
    <w:p w:rsidR="001059CC" w:rsidRPr="00DB2241" w:rsidRDefault="001059CC" w:rsidP="00690B29">
      <w:pPr>
        <w:shd w:val="clear" w:color="auto" w:fill="FFFFFF"/>
        <w:rPr>
          <w:lang w:val="en-US"/>
        </w:rPr>
      </w:pPr>
    </w:p>
    <w:p w:rsidR="001059CC" w:rsidRPr="001059CC" w:rsidRDefault="001059CC" w:rsidP="001059CC">
      <w:pPr>
        <w:shd w:val="clear" w:color="auto" w:fill="FFFFFF"/>
        <w:rPr>
          <w:lang w:val="en-US"/>
        </w:rPr>
      </w:pPr>
      <w:proofErr w:type="spellStart"/>
      <w:r w:rsidRPr="00DB2241">
        <w:rPr>
          <w:color w:val="auto"/>
          <w:lang w:val="en-US"/>
        </w:rPr>
        <w:t>Cuadros</w:t>
      </w:r>
      <w:proofErr w:type="spellEnd"/>
      <w:r w:rsidRPr="00DB2241">
        <w:rPr>
          <w:color w:val="auto"/>
          <w:lang w:val="en-US"/>
        </w:rPr>
        <w:t xml:space="preserve">, D.F., Tomita, A., </w:t>
      </w:r>
      <w:proofErr w:type="spellStart"/>
      <w:r w:rsidRPr="00DB2241">
        <w:rPr>
          <w:color w:val="auto"/>
          <w:lang w:val="en-US"/>
        </w:rPr>
        <w:t>Vandormael</w:t>
      </w:r>
      <w:proofErr w:type="spellEnd"/>
      <w:r w:rsidRPr="00DB2241">
        <w:rPr>
          <w:color w:val="auto"/>
          <w:lang w:val="en-US"/>
        </w:rPr>
        <w:t xml:space="preserve">, A. et al. </w:t>
      </w:r>
      <w:r>
        <w:rPr>
          <w:color w:val="auto"/>
          <w:lang w:val="en-US"/>
        </w:rPr>
        <w:t>(2019</w:t>
      </w:r>
      <w:r w:rsidRPr="00690B29">
        <w:rPr>
          <w:color w:val="auto"/>
          <w:lang w:val="en-US"/>
        </w:rPr>
        <w:t xml:space="preserve">) </w:t>
      </w:r>
      <w:r>
        <w:rPr>
          <w:color w:val="auto"/>
          <w:lang w:val="en-US"/>
        </w:rPr>
        <w:t xml:space="preserve">Spatial structure of depression </w:t>
      </w:r>
      <w:r w:rsidR="003527F8">
        <w:rPr>
          <w:color w:val="auto"/>
          <w:lang w:val="en-US"/>
        </w:rPr>
        <w:t xml:space="preserve">in South Africa: A longitudinal panel survey of a nationally representative sample of households. Scientific Reports 9, 979 </w:t>
      </w:r>
      <w:r w:rsidRPr="00690B29">
        <w:rPr>
          <w:color w:val="auto"/>
          <w:lang w:val="en-US"/>
        </w:rPr>
        <w:t xml:space="preserve">on the epidemiology of depression. </w:t>
      </w:r>
      <w:r>
        <w:rPr>
          <w:color w:val="auto"/>
          <w:u w:val="single"/>
          <w:lang w:val="en-US"/>
        </w:rPr>
        <w:t>https://doi.org/</w:t>
      </w:r>
      <w:r w:rsidRPr="00690B29">
        <w:rPr>
          <w:color w:val="auto"/>
          <w:u w:val="single"/>
          <w:lang w:val="en-US"/>
        </w:rPr>
        <w:t xml:space="preserve"> </w:t>
      </w:r>
      <w:hyperlink r:id="rId24" w:tgtFrame="_blank" w:history="1">
        <w:r w:rsidR="003527F8">
          <w:rPr>
            <w:rStyle w:val="Hipervnculo"/>
            <w:color w:val="auto"/>
            <w:lang w:val="en-US"/>
          </w:rPr>
          <w:t>10.1038</w:t>
        </w:r>
        <w:r w:rsidRPr="00690B29">
          <w:rPr>
            <w:rStyle w:val="Hipervnculo"/>
            <w:color w:val="auto"/>
            <w:lang w:val="en-US"/>
          </w:rPr>
          <w:t>/</w:t>
        </w:r>
        <w:r w:rsidR="003527F8">
          <w:rPr>
            <w:rStyle w:val="Hipervnculo"/>
            <w:color w:val="auto"/>
            <w:lang w:val="en-US"/>
          </w:rPr>
          <w:t>s41598-018-37791-1</w:t>
        </w:r>
      </w:hyperlink>
    </w:p>
    <w:p w:rsidR="00690B29" w:rsidRPr="00690B29" w:rsidRDefault="00690B29" w:rsidP="00690B29">
      <w:pPr>
        <w:spacing w:line="276" w:lineRule="auto"/>
        <w:rPr>
          <w:color w:val="auto"/>
          <w:lang w:val="en-US"/>
        </w:rPr>
      </w:pPr>
    </w:p>
    <w:p w:rsidR="00690B29" w:rsidRDefault="00690B29" w:rsidP="00690B29">
      <w:pPr>
        <w:spacing w:line="276" w:lineRule="auto"/>
        <w:rPr>
          <w:color w:val="auto"/>
          <w:lang w:val="en-US"/>
        </w:rPr>
      </w:pPr>
      <w:bookmarkStart w:id="1" w:name="ref19"/>
      <w:bookmarkEnd w:id="1"/>
      <w:r w:rsidRPr="00690B29">
        <w:rPr>
          <w:color w:val="auto"/>
          <w:lang w:val="en-US"/>
        </w:rPr>
        <w:t xml:space="preserve">Dewey, M., Prince, M. (2005) Mental health. In </w:t>
      </w:r>
      <w:proofErr w:type="spellStart"/>
      <w:r w:rsidRPr="00690B29">
        <w:rPr>
          <w:color w:val="auto"/>
          <w:lang w:val="en-US"/>
        </w:rPr>
        <w:t>Börsch-Supan</w:t>
      </w:r>
      <w:proofErr w:type="spellEnd"/>
      <w:r w:rsidRPr="00690B29">
        <w:rPr>
          <w:color w:val="auto"/>
          <w:lang w:val="en-US"/>
        </w:rPr>
        <w:t xml:space="preserve">, A, </w:t>
      </w:r>
      <w:proofErr w:type="spellStart"/>
      <w:r w:rsidRPr="00690B29">
        <w:rPr>
          <w:color w:val="auto"/>
          <w:lang w:val="en-US"/>
        </w:rPr>
        <w:t>Brugiavini</w:t>
      </w:r>
      <w:proofErr w:type="spellEnd"/>
      <w:r w:rsidRPr="00690B29">
        <w:rPr>
          <w:color w:val="auto"/>
          <w:lang w:val="en-US"/>
        </w:rPr>
        <w:t xml:space="preserve">, A, </w:t>
      </w:r>
      <w:proofErr w:type="spellStart"/>
      <w:r w:rsidRPr="00690B29">
        <w:rPr>
          <w:color w:val="auto"/>
          <w:lang w:val="en-US"/>
        </w:rPr>
        <w:t>Jürges</w:t>
      </w:r>
      <w:proofErr w:type="spellEnd"/>
      <w:r w:rsidRPr="00690B29">
        <w:rPr>
          <w:color w:val="auto"/>
          <w:lang w:val="en-US"/>
        </w:rPr>
        <w:t xml:space="preserve">, H, </w:t>
      </w:r>
      <w:proofErr w:type="spellStart"/>
      <w:r w:rsidRPr="00690B29">
        <w:rPr>
          <w:color w:val="auto"/>
          <w:lang w:val="en-US"/>
        </w:rPr>
        <w:t>Mackenbach</w:t>
      </w:r>
      <w:proofErr w:type="spellEnd"/>
      <w:r w:rsidRPr="00690B29">
        <w:rPr>
          <w:color w:val="auto"/>
          <w:lang w:val="en-US"/>
        </w:rPr>
        <w:t xml:space="preserve">, J, Siegrist, J and Weber, G (eds), Health, Ageing and Retirement in Europe – First Results from the Survey of Health, Ageing and Retirement in Europe. </w:t>
      </w:r>
      <w:r w:rsidRPr="00690B29">
        <w:rPr>
          <w:color w:val="auto"/>
          <w:lang w:val="en-US"/>
        </w:rPr>
        <w:lastRenderedPageBreak/>
        <w:t>Mannheim, Germany: Mannheim Research Institute for the Economics of Aging (MEA), pp. 108–117</w:t>
      </w:r>
    </w:p>
    <w:p w:rsidR="0043024B" w:rsidRDefault="0043024B" w:rsidP="00690B29">
      <w:pPr>
        <w:spacing w:line="276" w:lineRule="auto"/>
        <w:rPr>
          <w:color w:val="auto"/>
          <w:lang w:val="en-US"/>
        </w:rPr>
      </w:pPr>
    </w:p>
    <w:p w:rsidR="0043024B" w:rsidRPr="00341595" w:rsidRDefault="0043024B" w:rsidP="00690B29">
      <w:pPr>
        <w:spacing w:line="276" w:lineRule="auto"/>
        <w:rPr>
          <w:color w:val="auto"/>
          <w:lang w:val="es-AR"/>
        </w:rPr>
      </w:pPr>
      <w:r w:rsidRPr="0043024B">
        <w:rPr>
          <w:color w:val="auto"/>
          <w:shd w:val="clear" w:color="auto" w:fill="FFFFFF"/>
          <w:lang w:val="en-US"/>
        </w:rPr>
        <w:t>Dobson, A., Hockey, R., Chan, H., Mishra, G. (2020)</w:t>
      </w:r>
      <w:r w:rsidRPr="0043024B">
        <w:rPr>
          <w:i/>
          <w:iCs/>
          <w:color w:val="auto"/>
          <w:shd w:val="clear" w:color="auto" w:fill="FFFFFF"/>
          <w:lang w:val="en-US"/>
        </w:rPr>
        <w:t>.</w:t>
      </w:r>
      <w:r w:rsidRPr="0043024B">
        <w:rPr>
          <w:color w:val="auto"/>
          <w:shd w:val="clear" w:color="auto" w:fill="FFFFFF"/>
          <w:lang w:val="en-US"/>
        </w:rPr>
        <w:t> Flexible age-period-cohort modelling illustrated using obesity prevalence data. </w:t>
      </w:r>
      <w:r w:rsidRPr="0043024B">
        <w:rPr>
          <w:i/>
          <w:iCs/>
          <w:color w:val="auto"/>
          <w:shd w:val="clear" w:color="auto" w:fill="FFFFFF"/>
        </w:rPr>
        <w:t xml:space="preserve">BMC Medical </w:t>
      </w:r>
      <w:proofErr w:type="spellStart"/>
      <w:r w:rsidRPr="0043024B">
        <w:rPr>
          <w:i/>
          <w:iCs/>
          <w:color w:val="auto"/>
          <w:shd w:val="clear" w:color="auto" w:fill="FFFFFF"/>
        </w:rPr>
        <w:t>Research</w:t>
      </w:r>
      <w:proofErr w:type="spellEnd"/>
      <w:r w:rsidRPr="0043024B">
        <w:rPr>
          <w:i/>
          <w:iCs/>
          <w:color w:val="auto"/>
          <w:shd w:val="clear" w:color="auto" w:fill="FFFFFF"/>
        </w:rPr>
        <w:t xml:space="preserve"> </w:t>
      </w:r>
      <w:proofErr w:type="spellStart"/>
      <w:r w:rsidRPr="0043024B">
        <w:rPr>
          <w:i/>
          <w:iCs/>
          <w:color w:val="auto"/>
          <w:shd w:val="clear" w:color="auto" w:fill="FFFFFF"/>
        </w:rPr>
        <w:t>Methodology</w:t>
      </w:r>
      <w:proofErr w:type="spellEnd"/>
      <w:r w:rsidRPr="0043024B">
        <w:rPr>
          <w:color w:val="auto"/>
          <w:shd w:val="clear" w:color="auto" w:fill="FFFFFF"/>
        </w:rPr>
        <w:t> </w:t>
      </w:r>
      <w:r w:rsidRPr="0043024B">
        <w:rPr>
          <w:bCs/>
          <w:color w:val="auto"/>
          <w:shd w:val="clear" w:color="auto" w:fill="FFFFFF"/>
        </w:rPr>
        <w:t>20,</w:t>
      </w:r>
      <w:r w:rsidRPr="0043024B">
        <w:rPr>
          <w:b/>
          <w:bCs/>
          <w:color w:val="auto"/>
          <w:shd w:val="clear" w:color="auto" w:fill="FFFFFF"/>
        </w:rPr>
        <w:t> </w:t>
      </w:r>
      <w:r w:rsidRPr="0043024B">
        <w:rPr>
          <w:color w:val="auto"/>
          <w:shd w:val="clear" w:color="auto" w:fill="FFFFFF"/>
        </w:rPr>
        <w:t>16</w:t>
      </w:r>
      <w:r>
        <w:rPr>
          <w:color w:val="auto"/>
          <w:shd w:val="clear" w:color="auto" w:fill="FFFFFF"/>
        </w:rPr>
        <w:t>.</w:t>
      </w:r>
      <w:r w:rsidRPr="0043024B">
        <w:rPr>
          <w:color w:val="auto"/>
          <w:shd w:val="clear" w:color="auto" w:fill="FFFFFF"/>
        </w:rPr>
        <w:t xml:space="preserve"> </w:t>
      </w:r>
      <w:hyperlink r:id="rId25" w:history="1">
        <w:r w:rsidRPr="0043024B">
          <w:rPr>
            <w:rStyle w:val="Hipervnculo"/>
            <w:color w:val="auto"/>
            <w:shd w:val="clear" w:color="auto" w:fill="FFFFFF"/>
          </w:rPr>
          <w:t>https://doi.org/10.1186/s12874-020-0904-8</w:t>
        </w:r>
      </w:hyperlink>
      <w:r w:rsidRPr="0043024B">
        <w:rPr>
          <w:color w:val="auto"/>
          <w:shd w:val="clear" w:color="auto" w:fill="FFFFFF"/>
        </w:rPr>
        <w:t xml:space="preserve"> </w:t>
      </w:r>
    </w:p>
    <w:p w:rsidR="00690B29" w:rsidRPr="00341595" w:rsidRDefault="00690B29" w:rsidP="00690B29">
      <w:pPr>
        <w:spacing w:line="276" w:lineRule="auto"/>
        <w:rPr>
          <w:color w:val="auto"/>
          <w:lang w:val="es-AR"/>
        </w:rPr>
      </w:pPr>
    </w:p>
    <w:p w:rsidR="00690B29" w:rsidRPr="00690B29" w:rsidRDefault="00690B29" w:rsidP="00690B29">
      <w:pPr>
        <w:spacing w:line="276" w:lineRule="auto"/>
        <w:rPr>
          <w:color w:val="auto"/>
          <w:lang w:val="en-US"/>
        </w:rPr>
      </w:pPr>
      <w:r w:rsidRPr="00690B29">
        <w:rPr>
          <w:color w:val="auto"/>
          <w:lang w:val="es-AR"/>
        </w:rPr>
        <w:t xml:space="preserve">Fernández-Niño, J.A, Bonilla-Tinoco, L.J, Manrique-Espinoza, B.S, Romero-Martínez, M., Sosa-Ortiz, A.L. (2018).  </w:t>
      </w:r>
      <w:r w:rsidRPr="00690B29">
        <w:rPr>
          <w:color w:val="auto"/>
          <w:lang w:val="en-US"/>
        </w:rPr>
        <w:t>Work status, retirement, and depression in older adults: An analysis of six countries based on the Study on Global Ageing and Adult Health (SAGE),</w:t>
      </w:r>
    </w:p>
    <w:p w:rsidR="00690B29" w:rsidRPr="00690B29" w:rsidRDefault="00690B29" w:rsidP="00690B29">
      <w:pPr>
        <w:spacing w:line="276" w:lineRule="auto"/>
        <w:rPr>
          <w:color w:val="auto"/>
          <w:lang w:val="en-US"/>
        </w:rPr>
      </w:pPr>
      <w:r w:rsidRPr="00690B29">
        <w:rPr>
          <w:i/>
          <w:color w:val="auto"/>
          <w:lang w:val="en-US"/>
        </w:rPr>
        <w:t>SSM - Population Health</w:t>
      </w:r>
      <w:r w:rsidRPr="00690B29">
        <w:rPr>
          <w:color w:val="auto"/>
          <w:lang w:val="en-US"/>
        </w:rPr>
        <w:t xml:space="preserve"> (6), 1-8 </w:t>
      </w:r>
      <w:r>
        <w:rPr>
          <w:color w:val="auto"/>
          <w:u w:val="single"/>
          <w:lang w:val="en-US"/>
        </w:rPr>
        <w:t>https://doi.org/</w:t>
      </w:r>
      <w:r w:rsidRPr="00690B29">
        <w:rPr>
          <w:color w:val="auto"/>
          <w:u w:val="single"/>
          <w:lang w:val="en-US"/>
        </w:rPr>
        <w:t>10.1016/j.ssmph.2018.07.008.</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Ferrari, A.J, </w:t>
      </w:r>
      <w:proofErr w:type="spellStart"/>
      <w:r w:rsidRPr="00690B29">
        <w:rPr>
          <w:color w:val="auto"/>
          <w:lang w:val="en-US"/>
        </w:rPr>
        <w:t>Charlson</w:t>
      </w:r>
      <w:proofErr w:type="spellEnd"/>
      <w:r w:rsidRPr="00690B29">
        <w:rPr>
          <w:color w:val="auto"/>
          <w:lang w:val="en-US"/>
        </w:rPr>
        <w:t>, F.J, Norman, R.E., Patten, S.B., Freedman, G., Murray, C.J.L., Whiteford, H.A (2013). Burden of Depressive Disorders by Country, Sex, Age and Year: Findings from the Global Burden of Disease study 2010. PLOS Medicine, 10(11).</w:t>
      </w:r>
    </w:p>
    <w:p w:rsidR="00690B29" w:rsidRPr="00690B29" w:rsidRDefault="00690B29" w:rsidP="00690B29">
      <w:pPr>
        <w:spacing w:line="276" w:lineRule="auto"/>
        <w:rPr>
          <w:color w:val="auto"/>
          <w:shd w:val="clear" w:color="auto" w:fill="F5F1F0"/>
          <w:lang w:val="en-US"/>
        </w:rPr>
      </w:pPr>
    </w:p>
    <w:p w:rsidR="00690B29" w:rsidRPr="00690B29" w:rsidRDefault="00690B29" w:rsidP="00690B29">
      <w:pPr>
        <w:spacing w:line="276" w:lineRule="auto"/>
        <w:rPr>
          <w:color w:val="auto"/>
          <w:lang w:val="en-US"/>
        </w:rPr>
      </w:pPr>
      <w:r w:rsidRPr="00690B29">
        <w:rPr>
          <w:color w:val="auto"/>
          <w:lang w:val="en-US"/>
        </w:rPr>
        <w:t xml:space="preserve">Fiske, A., Wetherell, J. L., Gatz, M. (2009). Depression in older adults. </w:t>
      </w:r>
      <w:r w:rsidRPr="00690B29">
        <w:rPr>
          <w:i/>
          <w:color w:val="auto"/>
          <w:lang w:val="en-US"/>
        </w:rPr>
        <w:t>Annual review of clinical psychology</w:t>
      </w:r>
      <w:r w:rsidRPr="00690B29">
        <w:rPr>
          <w:color w:val="auto"/>
          <w:lang w:val="en-US"/>
        </w:rPr>
        <w:t xml:space="preserve">, </w:t>
      </w:r>
      <w:r w:rsidRPr="00690B29">
        <w:rPr>
          <w:i/>
          <w:color w:val="auto"/>
          <w:lang w:val="en-US"/>
        </w:rPr>
        <w:t>5</w:t>
      </w:r>
      <w:r w:rsidRPr="00690B29">
        <w:rPr>
          <w:color w:val="auto"/>
          <w:lang w:val="en-US"/>
        </w:rPr>
        <w:t xml:space="preserve">, 363–389.  </w:t>
      </w:r>
      <w:r>
        <w:rPr>
          <w:color w:val="auto"/>
          <w:u w:val="single"/>
          <w:lang w:val="en-US"/>
        </w:rPr>
        <w:t>https://doi.org/</w:t>
      </w:r>
      <w:r w:rsidRPr="00690B29">
        <w:rPr>
          <w:color w:val="auto"/>
          <w:u w:val="single"/>
          <w:lang w:val="en-US"/>
        </w:rPr>
        <w:t>10.1146/annurev.clinpsy.032408.153621</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shd w:val="clear" w:color="auto" w:fill="FFFFFF"/>
          <w:lang w:val="en-US"/>
        </w:rPr>
      </w:pPr>
      <w:proofErr w:type="spellStart"/>
      <w:r w:rsidRPr="00406102">
        <w:rPr>
          <w:color w:val="auto"/>
          <w:shd w:val="clear" w:color="auto" w:fill="FFFFFF"/>
          <w:lang w:val="es-AR"/>
        </w:rPr>
        <w:t>Frasquilho</w:t>
      </w:r>
      <w:proofErr w:type="spellEnd"/>
      <w:r w:rsidRPr="00406102">
        <w:rPr>
          <w:color w:val="auto"/>
          <w:shd w:val="clear" w:color="auto" w:fill="FFFFFF"/>
          <w:lang w:val="es-AR"/>
        </w:rPr>
        <w:t xml:space="preserve">, D., Matos, M. G., </w:t>
      </w:r>
      <w:proofErr w:type="spellStart"/>
      <w:r w:rsidRPr="00406102">
        <w:rPr>
          <w:color w:val="auto"/>
          <w:shd w:val="clear" w:color="auto" w:fill="FFFFFF"/>
          <w:lang w:val="es-AR"/>
        </w:rPr>
        <w:t>Salonna</w:t>
      </w:r>
      <w:proofErr w:type="spellEnd"/>
      <w:r w:rsidRPr="00406102">
        <w:rPr>
          <w:color w:val="auto"/>
          <w:shd w:val="clear" w:color="auto" w:fill="FFFFFF"/>
          <w:lang w:val="es-AR"/>
        </w:rPr>
        <w:t xml:space="preserve">, F., Guerreiro, D., </w:t>
      </w:r>
      <w:proofErr w:type="spellStart"/>
      <w:r w:rsidRPr="00406102">
        <w:rPr>
          <w:color w:val="auto"/>
          <w:shd w:val="clear" w:color="auto" w:fill="FFFFFF"/>
          <w:lang w:val="es-AR"/>
        </w:rPr>
        <w:t>Storti</w:t>
      </w:r>
      <w:proofErr w:type="spellEnd"/>
      <w:r w:rsidRPr="00406102">
        <w:rPr>
          <w:color w:val="auto"/>
          <w:shd w:val="clear" w:color="auto" w:fill="FFFFFF"/>
          <w:lang w:val="es-AR"/>
        </w:rPr>
        <w:t xml:space="preserve">, C. C., Gaspar, T., &amp; Caldas-de-Almeida, J. M. (2016). </w:t>
      </w:r>
      <w:r w:rsidRPr="00690B29">
        <w:rPr>
          <w:color w:val="auto"/>
          <w:shd w:val="clear" w:color="auto" w:fill="FFFFFF"/>
          <w:lang w:val="en-US"/>
        </w:rPr>
        <w:t>Mental health outcomes in times of economic recession: a systematic literature review. </w:t>
      </w:r>
      <w:r w:rsidRPr="00690B29">
        <w:rPr>
          <w:i/>
          <w:iCs/>
          <w:color w:val="auto"/>
          <w:shd w:val="clear" w:color="auto" w:fill="FFFFFF"/>
          <w:lang w:val="en-US"/>
        </w:rPr>
        <w:t>BMC public health</w:t>
      </w:r>
      <w:r w:rsidRPr="00690B29">
        <w:rPr>
          <w:color w:val="auto"/>
          <w:shd w:val="clear" w:color="auto" w:fill="FFFFFF"/>
          <w:lang w:val="en-US"/>
        </w:rPr>
        <w:t>, </w:t>
      </w:r>
      <w:r w:rsidRPr="00690B29">
        <w:rPr>
          <w:i/>
          <w:iCs/>
          <w:color w:val="auto"/>
          <w:shd w:val="clear" w:color="auto" w:fill="FFFFFF"/>
          <w:lang w:val="en-US"/>
        </w:rPr>
        <w:t>16</w:t>
      </w:r>
      <w:r w:rsidRPr="00690B29">
        <w:rPr>
          <w:color w:val="auto"/>
          <w:shd w:val="clear" w:color="auto" w:fill="FFFFFF"/>
          <w:lang w:val="en-US"/>
        </w:rPr>
        <w:t xml:space="preserve">, 115. </w:t>
      </w:r>
      <w:hyperlink r:id="rId26" w:history="1">
        <w:r>
          <w:rPr>
            <w:rStyle w:val="Hipervnculo"/>
            <w:color w:val="auto"/>
            <w:shd w:val="clear" w:color="auto" w:fill="FFFFFF"/>
            <w:lang w:val="en-US"/>
          </w:rPr>
          <w:t>https://doi.org/</w:t>
        </w:r>
        <w:r w:rsidRPr="00690B29">
          <w:rPr>
            <w:rStyle w:val="Hipervnculo"/>
            <w:color w:val="auto"/>
            <w:shd w:val="clear" w:color="auto" w:fill="FFFFFF"/>
            <w:lang w:val="en-US"/>
          </w:rPr>
          <w:t>10.1186/s12889-016-2720-y</w:t>
        </w:r>
      </w:hyperlink>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color w:val="auto"/>
          <w:lang w:val="en-US"/>
        </w:rPr>
      </w:pPr>
      <w:r w:rsidRPr="00690B29">
        <w:rPr>
          <w:color w:val="auto"/>
          <w:shd w:val="clear" w:color="auto" w:fill="FFFFFF"/>
          <w:lang w:val="en-US"/>
        </w:rPr>
        <w:t>Fryers, T., Melzer, D., &amp; Jenkins, R. (2003). Social inequalities and the common mental disorders: a systematic review of the evidence. </w:t>
      </w:r>
      <w:r w:rsidRPr="00690B29">
        <w:rPr>
          <w:i/>
          <w:iCs/>
          <w:color w:val="auto"/>
          <w:shd w:val="clear" w:color="auto" w:fill="FFFFFF"/>
          <w:lang w:val="en-US"/>
        </w:rPr>
        <w:t>Social psychiatry and psychiatric epidemiology</w:t>
      </w:r>
      <w:r w:rsidRPr="00690B29">
        <w:rPr>
          <w:color w:val="auto"/>
          <w:shd w:val="clear" w:color="auto" w:fill="FFFFFF"/>
          <w:lang w:val="en-US"/>
        </w:rPr>
        <w:t>, </w:t>
      </w:r>
      <w:r w:rsidRPr="00690B29">
        <w:rPr>
          <w:i/>
          <w:iCs/>
          <w:color w:val="auto"/>
          <w:shd w:val="clear" w:color="auto" w:fill="FFFFFF"/>
          <w:lang w:val="en-US"/>
        </w:rPr>
        <w:t>38</w:t>
      </w:r>
      <w:r w:rsidRPr="00690B29">
        <w:rPr>
          <w:color w:val="auto"/>
          <w:shd w:val="clear" w:color="auto" w:fill="FFFFFF"/>
          <w:lang w:val="en-US"/>
        </w:rPr>
        <w:t xml:space="preserve">(5), 229–237. </w:t>
      </w:r>
      <w:r>
        <w:rPr>
          <w:color w:val="auto"/>
          <w:u w:val="single"/>
          <w:shd w:val="clear" w:color="auto" w:fill="FFFFFF"/>
          <w:lang w:val="en-US"/>
        </w:rPr>
        <w:t>https://doi.org/</w:t>
      </w:r>
      <w:r w:rsidRPr="00690B29">
        <w:rPr>
          <w:color w:val="auto"/>
          <w:u w:val="single"/>
          <w:shd w:val="clear" w:color="auto" w:fill="FFFFFF"/>
          <w:lang w:val="en-US"/>
        </w:rPr>
        <w:t>10.1007/s00127-003-0627-2</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406102">
        <w:rPr>
          <w:color w:val="auto"/>
          <w:lang w:val="en-US"/>
        </w:rPr>
        <w:t xml:space="preserve">Gennaro, C., </w:t>
      </w:r>
      <w:proofErr w:type="spellStart"/>
      <w:r w:rsidRPr="00406102">
        <w:rPr>
          <w:color w:val="auto"/>
          <w:lang w:val="en-US"/>
        </w:rPr>
        <w:t>Paccagnella</w:t>
      </w:r>
      <w:proofErr w:type="spellEnd"/>
      <w:r w:rsidRPr="00406102">
        <w:rPr>
          <w:color w:val="auto"/>
          <w:lang w:val="en-US"/>
        </w:rPr>
        <w:t xml:space="preserve">, O., </w:t>
      </w:r>
      <w:proofErr w:type="spellStart"/>
      <w:r w:rsidRPr="00406102">
        <w:rPr>
          <w:color w:val="auto"/>
          <w:lang w:val="en-US"/>
        </w:rPr>
        <w:t>Zaninotto</w:t>
      </w:r>
      <w:proofErr w:type="spellEnd"/>
      <w:r w:rsidRPr="00406102">
        <w:rPr>
          <w:color w:val="auto"/>
          <w:lang w:val="en-US"/>
        </w:rPr>
        <w:t xml:space="preserve">, P. (2019). </w:t>
      </w:r>
      <w:r w:rsidRPr="00690B29">
        <w:rPr>
          <w:color w:val="auto"/>
          <w:lang w:val="en-US"/>
        </w:rPr>
        <w:t xml:space="preserve">A model-driven approach to better identify older people at risk of depression. </w:t>
      </w:r>
      <w:r w:rsidRPr="00690B29">
        <w:rPr>
          <w:i/>
          <w:color w:val="auto"/>
          <w:lang w:val="en-US"/>
        </w:rPr>
        <w:t>Ageing and Society,</w:t>
      </w:r>
      <w:r w:rsidRPr="00690B29">
        <w:rPr>
          <w:color w:val="auto"/>
          <w:lang w:val="en-US"/>
        </w:rPr>
        <w:t xml:space="preserve"> 1-23. </w:t>
      </w:r>
      <w:r>
        <w:rPr>
          <w:color w:val="auto"/>
          <w:u w:val="single"/>
          <w:lang w:val="en-US"/>
        </w:rPr>
        <w:t>https://doi.org/</w:t>
      </w:r>
      <w:r w:rsidRPr="00690B29">
        <w:rPr>
          <w:color w:val="auto"/>
          <w:u w:val="single"/>
          <w:lang w:val="en-US"/>
        </w:rPr>
        <w:t>10.1017/S0144686X19001077</w:t>
      </w:r>
      <w:r w:rsidRPr="00690B29">
        <w:rPr>
          <w:color w:val="auto"/>
          <w:lang w:val="en-US"/>
        </w:rPr>
        <w:t xml:space="preserve"> </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s-AR"/>
        </w:rPr>
      </w:pPr>
      <w:r w:rsidRPr="00690B29">
        <w:rPr>
          <w:color w:val="auto"/>
          <w:lang w:val="en-US"/>
        </w:rPr>
        <w:t xml:space="preserve">Glenn, N. (2005) </w:t>
      </w:r>
      <w:r w:rsidRPr="00690B29">
        <w:rPr>
          <w:i/>
          <w:color w:val="auto"/>
          <w:lang w:val="en-US"/>
        </w:rPr>
        <w:t>Cohort Analysis, Second Edition.</w:t>
      </w:r>
      <w:r w:rsidRPr="00690B29">
        <w:rPr>
          <w:color w:val="auto"/>
          <w:lang w:val="en-US"/>
        </w:rPr>
        <w:t xml:space="preserve"> Series: Quantitative Applications in the Social Sciences. </w:t>
      </w:r>
      <w:r w:rsidRPr="00690B29">
        <w:rPr>
          <w:color w:val="auto"/>
          <w:lang w:val="es-AR"/>
        </w:rPr>
        <w:t xml:space="preserve">SAGE </w:t>
      </w:r>
      <w:proofErr w:type="spellStart"/>
      <w:r w:rsidRPr="00690B29">
        <w:rPr>
          <w:color w:val="auto"/>
          <w:lang w:val="es-AR"/>
        </w:rPr>
        <w:t>publications</w:t>
      </w:r>
      <w:proofErr w:type="spellEnd"/>
      <w:r w:rsidRPr="00690B29">
        <w:rPr>
          <w:color w:val="auto"/>
          <w:lang w:val="es-AR"/>
        </w:rPr>
        <w:t xml:space="preserve">. </w:t>
      </w:r>
    </w:p>
    <w:p w:rsidR="00690B29" w:rsidRPr="00690B29" w:rsidRDefault="00690B29" w:rsidP="00690B29">
      <w:pPr>
        <w:spacing w:line="276" w:lineRule="auto"/>
        <w:rPr>
          <w:color w:val="auto"/>
          <w:lang w:val="es-AR"/>
        </w:rPr>
      </w:pPr>
    </w:p>
    <w:p w:rsidR="00690B29" w:rsidRPr="00690B29" w:rsidRDefault="00690B29" w:rsidP="00690B29">
      <w:pPr>
        <w:spacing w:line="276" w:lineRule="auto"/>
        <w:rPr>
          <w:color w:val="auto"/>
          <w:lang w:val="en-US"/>
        </w:rPr>
      </w:pPr>
      <w:r w:rsidRPr="00690B29">
        <w:rPr>
          <w:color w:val="auto"/>
          <w:lang w:val="es-AR"/>
        </w:rPr>
        <w:t xml:space="preserve">Guerra, M., Ferri, C., </w:t>
      </w:r>
      <w:proofErr w:type="spellStart"/>
      <w:r w:rsidRPr="00690B29">
        <w:rPr>
          <w:color w:val="auto"/>
          <w:lang w:val="es-AR"/>
        </w:rPr>
        <w:t>Llibre-Rodriguez</w:t>
      </w:r>
      <w:proofErr w:type="spellEnd"/>
      <w:r w:rsidRPr="00690B29">
        <w:rPr>
          <w:color w:val="auto"/>
          <w:lang w:val="es-AR"/>
        </w:rPr>
        <w:t xml:space="preserve">, J., </w:t>
      </w:r>
      <w:proofErr w:type="spellStart"/>
      <w:r w:rsidRPr="00690B29">
        <w:rPr>
          <w:color w:val="auto"/>
          <w:lang w:val="es-AR"/>
        </w:rPr>
        <w:t>Prina</w:t>
      </w:r>
      <w:proofErr w:type="spellEnd"/>
      <w:r w:rsidRPr="00690B29">
        <w:rPr>
          <w:color w:val="auto"/>
          <w:lang w:val="es-AR"/>
        </w:rPr>
        <w:t xml:space="preserve">, M., Prince, M. (2015). </w:t>
      </w:r>
      <w:r w:rsidRPr="00690B29">
        <w:rPr>
          <w:color w:val="auto"/>
          <w:lang w:val="en-US"/>
        </w:rPr>
        <w:t>Psychometric properties of EURO-D, a geriatric depression scale: A cross-cultural valida</w:t>
      </w:r>
      <w:r>
        <w:rPr>
          <w:color w:val="auto"/>
          <w:lang w:val="en-US"/>
        </w:rPr>
        <w:t>tion study. BMC psychiatry. 15.12.</w:t>
      </w:r>
      <w:r w:rsidRPr="00690B29">
        <w:rPr>
          <w:color w:val="auto"/>
          <w:lang w:val="en-US"/>
        </w:rPr>
        <w:t>10.</w:t>
      </w:r>
      <w:r w:rsidRPr="00690B29">
        <w:rPr>
          <w:color w:val="auto"/>
          <w:u w:val="single"/>
          <w:lang w:val="en-US"/>
        </w:rPr>
        <w:t xml:space="preserve"> </w:t>
      </w:r>
      <w:r>
        <w:rPr>
          <w:color w:val="auto"/>
          <w:u w:val="single"/>
          <w:lang w:val="en-US"/>
        </w:rPr>
        <w:t>Https://doi.org/10.</w:t>
      </w:r>
      <w:r w:rsidRPr="00690B29">
        <w:rPr>
          <w:color w:val="auto"/>
          <w:u w:val="single"/>
          <w:lang w:val="en-US"/>
        </w:rPr>
        <w:t xml:space="preserve">1186/s12888-015-0390-4.  </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lastRenderedPageBreak/>
        <w:t xml:space="preserve">Hansen, T., </w:t>
      </w:r>
      <w:proofErr w:type="spellStart"/>
      <w:r w:rsidRPr="00690B29">
        <w:rPr>
          <w:color w:val="auto"/>
          <w:lang w:val="en-US"/>
        </w:rPr>
        <w:t>Slagsvold</w:t>
      </w:r>
      <w:proofErr w:type="spellEnd"/>
      <w:r w:rsidRPr="00690B29">
        <w:rPr>
          <w:color w:val="auto"/>
          <w:lang w:val="en-US"/>
        </w:rPr>
        <w:t xml:space="preserve">, B., </w:t>
      </w:r>
      <w:proofErr w:type="spellStart"/>
      <w:r w:rsidRPr="00690B29">
        <w:rPr>
          <w:color w:val="auto"/>
          <w:lang w:val="en-US"/>
        </w:rPr>
        <w:t>Veenstra</w:t>
      </w:r>
      <w:proofErr w:type="spellEnd"/>
      <w:r w:rsidRPr="00690B29">
        <w:rPr>
          <w:color w:val="auto"/>
          <w:lang w:val="en-US"/>
        </w:rPr>
        <w:t xml:space="preserve">, M. (2017). Educational inequalities in late-life depression across Europe: results from the generations and gender survey. </w:t>
      </w:r>
      <w:r w:rsidRPr="00690B29">
        <w:rPr>
          <w:i/>
          <w:color w:val="auto"/>
          <w:lang w:val="en-US"/>
        </w:rPr>
        <w:t>European journal of ageing</w:t>
      </w:r>
      <w:r w:rsidRPr="00690B29">
        <w:rPr>
          <w:color w:val="auto"/>
          <w:lang w:val="en-US"/>
        </w:rPr>
        <w:t xml:space="preserve">, </w:t>
      </w:r>
      <w:r w:rsidRPr="00690B29">
        <w:rPr>
          <w:i/>
          <w:color w:val="auto"/>
          <w:lang w:val="en-US"/>
        </w:rPr>
        <w:t>14</w:t>
      </w:r>
      <w:r w:rsidRPr="00690B29">
        <w:rPr>
          <w:color w:val="auto"/>
          <w:lang w:val="en-US"/>
        </w:rPr>
        <w:t xml:space="preserve">(4), 407–418. </w:t>
      </w:r>
      <w:r>
        <w:rPr>
          <w:color w:val="auto"/>
          <w:u w:val="single"/>
          <w:lang w:val="en-US"/>
        </w:rPr>
        <w:t>https://doi.org/</w:t>
      </w:r>
      <w:r w:rsidRPr="00690B29">
        <w:rPr>
          <w:color w:val="auto"/>
          <w:u w:val="single"/>
          <w:lang w:val="en-US"/>
        </w:rPr>
        <w:t>10.1007/s10433-017-0421-8</w:t>
      </w:r>
    </w:p>
    <w:p w:rsidR="00690B29" w:rsidRPr="00690B29" w:rsidRDefault="00690B29" w:rsidP="00690B29">
      <w:pPr>
        <w:spacing w:line="276" w:lineRule="auto"/>
        <w:rPr>
          <w:color w:val="auto"/>
          <w:lang w:val="en-US"/>
        </w:rPr>
      </w:pPr>
    </w:p>
    <w:p w:rsidR="00690B29" w:rsidRPr="0043024B" w:rsidRDefault="00690B29" w:rsidP="00690B29">
      <w:pPr>
        <w:spacing w:line="276" w:lineRule="auto"/>
        <w:rPr>
          <w:color w:val="auto"/>
          <w:u w:val="single"/>
          <w:lang w:val="en-US"/>
        </w:rPr>
      </w:pPr>
      <w:proofErr w:type="spellStart"/>
      <w:r w:rsidRPr="00690B29">
        <w:rPr>
          <w:color w:val="auto"/>
          <w:lang w:val="en-US"/>
        </w:rPr>
        <w:t>Hobcraft</w:t>
      </w:r>
      <w:proofErr w:type="spellEnd"/>
      <w:r w:rsidRPr="00690B29">
        <w:rPr>
          <w:color w:val="auto"/>
          <w:lang w:val="en-US"/>
        </w:rPr>
        <w:t xml:space="preserve">, J., Menken, J., and Preston, S. (1982). Age, </w:t>
      </w:r>
      <w:r w:rsidRPr="0043024B">
        <w:rPr>
          <w:color w:val="auto"/>
          <w:lang w:val="en-US"/>
        </w:rPr>
        <w:t xml:space="preserve">Period, and Cohort Effects in Demography: A Review. Population Index, 48(1), 4–43. </w:t>
      </w:r>
      <w:hyperlink r:id="rId27" w:history="1">
        <w:r w:rsidR="0043024B" w:rsidRPr="0043024B">
          <w:rPr>
            <w:rStyle w:val="Hipervnculo"/>
            <w:color w:val="auto"/>
            <w:lang w:val="en-US"/>
          </w:rPr>
          <w:t>https://doi.org/10.2307/2736356</w:t>
        </w:r>
      </w:hyperlink>
    </w:p>
    <w:p w:rsidR="0043024B" w:rsidRPr="0043024B" w:rsidRDefault="0043024B" w:rsidP="00690B29">
      <w:pPr>
        <w:spacing w:line="276" w:lineRule="auto"/>
        <w:rPr>
          <w:color w:val="auto"/>
          <w:u w:val="single"/>
          <w:lang w:val="en-US"/>
        </w:rPr>
      </w:pPr>
    </w:p>
    <w:p w:rsidR="0043024B" w:rsidRPr="0043024B" w:rsidRDefault="0043024B" w:rsidP="00690B29">
      <w:pPr>
        <w:spacing w:line="276" w:lineRule="auto"/>
        <w:rPr>
          <w:color w:val="auto"/>
          <w:lang w:val="en-US"/>
        </w:rPr>
      </w:pPr>
      <w:r w:rsidRPr="0043024B">
        <w:rPr>
          <w:color w:val="auto"/>
          <w:shd w:val="clear" w:color="auto" w:fill="FFFFFF"/>
          <w:lang w:val="en-US"/>
        </w:rPr>
        <w:t>Holford</w:t>
      </w:r>
      <w:r>
        <w:rPr>
          <w:color w:val="auto"/>
          <w:shd w:val="clear" w:color="auto" w:fill="FFFFFF"/>
          <w:lang w:val="en-US"/>
        </w:rPr>
        <w:t>,</w:t>
      </w:r>
      <w:r w:rsidRPr="0043024B">
        <w:rPr>
          <w:color w:val="auto"/>
          <w:shd w:val="clear" w:color="auto" w:fill="FFFFFF"/>
          <w:lang w:val="en-US"/>
        </w:rPr>
        <w:t xml:space="preserve"> T</w:t>
      </w:r>
      <w:r>
        <w:rPr>
          <w:color w:val="auto"/>
          <w:shd w:val="clear" w:color="auto" w:fill="FFFFFF"/>
          <w:lang w:val="en-US"/>
        </w:rPr>
        <w:t>.</w:t>
      </w:r>
      <w:r w:rsidRPr="0043024B">
        <w:rPr>
          <w:color w:val="auto"/>
          <w:shd w:val="clear" w:color="auto" w:fill="FFFFFF"/>
          <w:lang w:val="en-US"/>
        </w:rPr>
        <w:t>R.</w:t>
      </w:r>
      <w:r>
        <w:rPr>
          <w:color w:val="auto"/>
          <w:shd w:val="clear" w:color="auto" w:fill="FFFFFF"/>
          <w:lang w:val="en-US"/>
        </w:rPr>
        <w:t xml:space="preserve"> (1992)</w:t>
      </w:r>
      <w:r w:rsidRPr="0043024B">
        <w:rPr>
          <w:color w:val="auto"/>
          <w:shd w:val="clear" w:color="auto" w:fill="FFFFFF"/>
          <w:lang w:val="en-US"/>
        </w:rPr>
        <w:t xml:space="preserve"> </w:t>
      </w:r>
      <w:proofErr w:type="spellStart"/>
      <w:r w:rsidRPr="0043024B">
        <w:rPr>
          <w:color w:val="auto"/>
          <w:shd w:val="clear" w:color="auto" w:fill="FFFFFF"/>
          <w:lang w:val="en-US"/>
        </w:rPr>
        <w:t>Analysing</w:t>
      </w:r>
      <w:proofErr w:type="spellEnd"/>
      <w:r w:rsidRPr="0043024B">
        <w:rPr>
          <w:color w:val="auto"/>
          <w:shd w:val="clear" w:color="auto" w:fill="FFFFFF"/>
          <w:lang w:val="en-US"/>
        </w:rPr>
        <w:t xml:space="preserve"> the temporal effects of age, period a</w:t>
      </w:r>
      <w:r>
        <w:rPr>
          <w:color w:val="auto"/>
          <w:shd w:val="clear" w:color="auto" w:fill="FFFFFF"/>
          <w:lang w:val="en-US"/>
        </w:rPr>
        <w:t>nd cohort. Statistical Methods in Medical Research</w:t>
      </w:r>
      <w:r w:rsidRPr="0043024B">
        <w:rPr>
          <w:color w:val="auto"/>
          <w:shd w:val="clear" w:color="auto" w:fill="FFFFFF"/>
          <w:lang w:val="en-US"/>
        </w:rPr>
        <w:t>;1(3):317–37. </w:t>
      </w:r>
      <w:hyperlink r:id="rId28" w:history="1">
        <w:r w:rsidRPr="0043024B">
          <w:rPr>
            <w:rStyle w:val="Hipervnculo"/>
            <w:color w:val="auto"/>
            <w:shd w:val="clear" w:color="auto" w:fill="FFFFFF"/>
            <w:lang w:val="en-US"/>
          </w:rPr>
          <w:t>https://doi.org/10.1177/096228029200100306</w:t>
        </w:r>
      </w:hyperlink>
      <w:r w:rsidRPr="0043024B">
        <w:rPr>
          <w:color w:val="auto"/>
          <w:shd w:val="clear" w:color="auto" w:fill="FFFFFF"/>
          <w:lang w:val="en-US"/>
        </w:rPr>
        <w:t>.</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proofErr w:type="spellStart"/>
      <w:r w:rsidRPr="00690B29">
        <w:rPr>
          <w:color w:val="auto"/>
          <w:lang w:val="en-US"/>
        </w:rPr>
        <w:t>Horackova</w:t>
      </w:r>
      <w:proofErr w:type="spellEnd"/>
      <w:r w:rsidRPr="00690B29">
        <w:rPr>
          <w:color w:val="auto"/>
          <w:lang w:val="en-US"/>
        </w:rPr>
        <w:t xml:space="preserve">, K., </w:t>
      </w:r>
      <w:proofErr w:type="spellStart"/>
      <w:r w:rsidRPr="00690B29">
        <w:rPr>
          <w:color w:val="auto"/>
          <w:lang w:val="en-US"/>
        </w:rPr>
        <w:t>Kopecek</w:t>
      </w:r>
      <w:proofErr w:type="spellEnd"/>
      <w:r w:rsidRPr="00690B29">
        <w:rPr>
          <w:color w:val="auto"/>
          <w:lang w:val="en-US"/>
        </w:rPr>
        <w:t xml:space="preserve">, M., </w:t>
      </w:r>
      <w:proofErr w:type="spellStart"/>
      <w:r w:rsidRPr="00690B29">
        <w:rPr>
          <w:color w:val="auto"/>
          <w:lang w:val="en-US"/>
        </w:rPr>
        <w:t>Machů</w:t>
      </w:r>
      <w:proofErr w:type="spellEnd"/>
      <w:r w:rsidRPr="00690B29">
        <w:rPr>
          <w:color w:val="auto"/>
          <w:lang w:val="en-US"/>
        </w:rPr>
        <w:t xml:space="preserve">, V., </w:t>
      </w:r>
      <w:proofErr w:type="spellStart"/>
      <w:r w:rsidRPr="00690B29">
        <w:rPr>
          <w:color w:val="auto"/>
          <w:lang w:val="en-US"/>
        </w:rPr>
        <w:t>Kagstrom</w:t>
      </w:r>
      <w:proofErr w:type="spellEnd"/>
      <w:r w:rsidRPr="00690B29">
        <w:rPr>
          <w:color w:val="auto"/>
          <w:lang w:val="en-US"/>
        </w:rPr>
        <w:t xml:space="preserve">, A., </w:t>
      </w:r>
      <w:proofErr w:type="spellStart"/>
      <w:r w:rsidRPr="00690B29">
        <w:rPr>
          <w:color w:val="auto"/>
          <w:lang w:val="en-US"/>
        </w:rPr>
        <w:t>Aarsland</w:t>
      </w:r>
      <w:proofErr w:type="spellEnd"/>
      <w:r w:rsidRPr="00690B29">
        <w:rPr>
          <w:color w:val="auto"/>
          <w:lang w:val="en-US"/>
        </w:rPr>
        <w:t xml:space="preserve">, D., </w:t>
      </w:r>
      <w:proofErr w:type="spellStart"/>
      <w:r w:rsidRPr="00690B29">
        <w:rPr>
          <w:color w:val="auto"/>
          <w:lang w:val="en-US"/>
        </w:rPr>
        <w:t>Motlova</w:t>
      </w:r>
      <w:proofErr w:type="spellEnd"/>
      <w:r w:rsidRPr="00690B29">
        <w:rPr>
          <w:color w:val="auto"/>
          <w:lang w:val="en-US"/>
        </w:rPr>
        <w:t xml:space="preserve">, L., </w:t>
      </w:r>
      <w:proofErr w:type="spellStart"/>
      <w:r w:rsidRPr="00690B29">
        <w:rPr>
          <w:color w:val="auto"/>
          <w:lang w:val="en-US"/>
        </w:rPr>
        <w:t>Cermakova</w:t>
      </w:r>
      <w:proofErr w:type="spellEnd"/>
      <w:r w:rsidRPr="00690B29">
        <w:rPr>
          <w:color w:val="auto"/>
          <w:lang w:val="en-US"/>
        </w:rPr>
        <w:t xml:space="preserve">, P. (2019). Prevalence of late-life depression and gap in mental health service use across European regions. </w:t>
      </w:r>
      <w:r w:rsidRPr="00690B29">
        <w:rPr>
          <w:i/>
          <w:color w:val="auto"/>
          <w:lang w:val="en-US"/>
        </w:rPr>
        <w:t>European Psychiatry,</w:t>
      </w:r>
      <w:r w:rsidRPr="00690B29">
        <w:rPr>
          <w:color w:val="auto"/>
          <w:lang w:val="en-US"/>
        </w:rPr>
        <w:t xml:space="preserve"> </w:t>
      </w:r>
      <w:r w:rsidRPr="00690B29">
        <w:rPr>
          <w:i/>
          <w:color w:val="auto"/>
          <w:lang w:val="en-US"/>
        </w:rPr>
        <w:t>57</w:t>
      </w:r>
      <w:r w:rsidRPr="00690B29">
        <w:rPr>
          <w:color w:val="auto"/>
          <w:lang w:val="en-US"/>
        </w:rPr>
        <w:t xml:space="preserve">, 19-25. </w:t>
      </w:r>
      <w:r>
        <w:rPr>
          <w:color w:val="auto"/>
          <w:u w:val="single"/>
          <w:lang w:val="en-US"/>
        </w:rPr>
        <w:t>https://doi.org/</w:t>
      </w:r>
      <w:r w:rsidRPr="00690B29">
        <w:rPr>
          <w:color w:val="auto"/>
          <w:u w:val="single"/>
          <w:lang w:val="en-US"/>
        </w:rPr>
        <w:t>10.1016/j.eurpsy.2018.12.002</w:t>
      </w:r>
    </w:p>
    <w:p w:rsidR="00690B29" w:rsidRPr="00690B29" w:rsidRDefault="00690B29" w:rsidP="00690B29">
      <w:pPr>
        <w:spacing w:line="276" w:lineRule="auto"/>
        <w:rPr>
          <w:color w:val="auto"/>
          <w:lang w:val="en-US"/>
        </w:rPr>
      </w:pPr>
    </w:p>
    <w:p w:rsidR="00690B29" w:rsidRPr="00690B29" w:rsidRDefault="00690B29" w:rsidP="00690B29">
      <w:pPr>
        <w:shd w:val="clear" w:color="auto" w:fill="FFFFFF"/>
        <w:spacing w:line="276" w:lineRule="auto"/>
        <w:rPr>
          <w:color w:val="auto"/>
          <w:lang w:val="en-US"/>
        </w:rPr>
      </w:pPr>
      <w:proofErr w:type="spellStart"/>
      <w:r w:rsidRPr="00690B29">
        <w:rPr>
          <w:rStyle w:val="element-citation"/>
          <w:color w:val="auto"/>
          <w:lang w:val="en-US"/>
        </w:rPr>
        <w:t>Lavori</w:t>
      </w:r>
      <w:proofErr w:type="spellEnd"/>
      <w:r w:rsidRPr="00690B29">
        <w:rPr>
          <w:rStyle w:val="element-citation"/>
          <w:color w:val="auto"/>
          <w:lang w:val="en-US"/>
        </w:rPr>
        <w:t xml:space="preserve"> P.W., </w:t>
      </w:r>
      <w:proofErr w:type="spellStart"/>
      <w:r w:rsidRPr="00690B29">
        <w:rPr>
          <w:rStyle w:val="element-citation"/>
          <w:color w:val="auto"/>
          <w:lang w:val="en-US"/>
        </w:rPr>
        <w:t>Klerman</w:t>
      </w:r>
      <w:proofErr w:type="spellEnd"/>
      <w:r w:rsidRPr="00690B29">
        <w:rPr>
          <w:rStyle w:val="element-citation"/>
          <w:color w:val="auto"/>
          <w:lang w:val="en-US"/>
        </w:rPr>
        <w:t xml:space="preserve"> G.L., Keller M.B., et al. (1987) Age-period-cohort analysis of secular trends in onset of major depression: findings in siblings of patients with major affective disorder. </w:t>
      </w:r>
      <w:r w:rsidRPr="00690B29">
        <w:rPr>
          <w:rStyle w:val="ref-journal"/>
          <w:i/>
          <w:color w:val="auto"/>
          <w:lang w:val="en-US"/>
        </w:rPr>
        <w:t xml:space="preserve">J </w:t>
      </w:r>
      <w:proofErr w:type="spellStart"/>
      <w:r w:rsidRPr="00690B29">
        <w:rPr>
          <w:rStyle w:val="ref-journal"/>
          <w:i/>
          <w:color w:val="auto"/>
          <w:lang w:val="en-US"/>
        </w:rPr>
        <w:t>Psychiatr</w:t>
      </w:r>
      <w:proofErr w:type="spellEnd"/>
      <w:r w:rsidRPr="00690B29">
        <w:rPr>
          <w:rStyle w:val="ref-journal"/>
          <w:i/>
          <w:color w:val="auto"/>
          <w:lang w:val="en-US"/>
        </w:rPr>
        <w:t xml:space="preserve"> Res</w:t>
      </w:r>
      <w:r w:rsidRPr="00690B29">
        <w:rPr>
          <w:rStyle w:val="element-citation"/>
          <w:color w:val="auto"/>
          <w:lang w:val="en-US"/>
        </w:rPr>
        <w:t>;</w:t>
      </w:r>
      <w:r w:rsidRPr="00690B29">
        <w:rPr>
          <w:rStyle w:val="ref-vol"/>
          <w:color w:val="auto"/>
          <w:lang w:val="en-US"/>
        </w:rPr>
        <w:t>21</w:t>
      </w:r>
      <w:r w:rsidRPr="00690B29">
        <w:rPr>
          <w:rStyle w:val="element-citation"/>
          <w:color w:val="auto"/>
          <w:lang w:val="en-US"/>
        </w:rPr>
        <w:t>(1):23–35. </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Marmot, M. (2005) “Social determinants of health inequalities” </w:t>
      </w:r>
      <w:r w:rsidRPr="00690B29">
        <w:rPr>
          <w:i/>
          <w:iCs/>
          <w:color w:val="auto"/>
          <w:lang w:val="en-US"/>
        </w:rPr>
        <w:t xml:space="preserve">The Lancet </w:t>
      </w:r>
      <w:r w:rsidRPr="00690B29">
        <w:rPr>
          <w:color w:val="auto"/>
          <w:lang w:val="en-US"/>
        </w:rPr>
        <w:t>No. 365: 1099-1104</w:t>
      </w:r>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rStyle w:val="ref-journal"/>
          <w:color w:val="auto"/>
          <w:shd w:val="clear" w:color="auto" w:fill="FFFFFF"/>
          <w:lang w:val="en-US"/>
        </w:rPr>
      </w:pPr>
      <w:r w:rsidRPr="00690B29">
        <w:rPr>
          <w:color w:val="auto"/>
          <w:shd w:val="clear" w:color="auto" w:fill="FFFFFF"/>
          <w:lang w:val="en-US"/>
        </w:rPr>
        <w:t xml:space="preserve">Kessler R, Berglund P, </w:t>
      </w:r>
      <w:proofErr w:type="spellStart"/>
      <w:r w:rsidRPr="00690B29">
        <w:rPr>
          <w:color w:val="auto"/>
          <w:shd w:val="clear" w:color="auto" w:fill="FFFFFF"/>
          <w:lang w:val="en-US"/>
        </w:rPr>
        <w:t>Demler</w:t>
      </w:r>
      <w:proofErr w:type="spellEnd"/>
      <w:r w:rsidRPr="00690B29">
        <w:rPr>
          <w:color w:val="auto"/>
          <w:shd w:val="clear" w:color="auto" w:fill="FFFFFF"/>
          <w:lang w:val="en-US"/>
        </w:rPr>
        <w:t xml:space="preserve"> O, </w:t>
      </w:r>
      <w:proofErr w:type="spellStart"/>
      <w:r w:rsidRPr="00690B29">
        <w:rPr>
          <w:color w:val="auto"/>
          <w:shd w:val="clear" w:color="auto" w:fill="FFFFFF"/>
          <w:lang w:val="en-US"/>
        </w:rPr>
        <w:t>Jin</w:t>
      </w:r>
      <w:proofErr w:type="spellEnd"/>
      <w:r w:rsidRPr="00690B29">
        <w:rPr>
          <w:color w:val="auto"/>
          <w:shd w:val="clear" w:color="auto" w:fill="FFFFFF"/>
          <w:lang w:val="en-US"/>
        </w:rPr>
        <w:t xml:space="preserve"> R, </w:t>
      </w:r>
      <w:proofErr w:type="spellStart"/>
      <w:r w:rsidRPr="00690B29">
        <w:rPr>
          <w:color w:val="auto"/>
          <w:shd w:val="clear" w:color="auto" w:fill="FFFFFF"/>
          <w:lang w:val="en-US"/>
        </w:rPr>
        <w:t>Koretz</w:t>
      </w:r>
      <w:proofErr w:type="spellEnd"/>
      <w:r w:rsidRPr="00690B29">
        <w:rPr>
          <w:color w:val="auto"/>
          <w:shd w:val="clear" w:color="auto" w:fill="FFFFFF"/>
          <w:lang w:val="en-US"/>
        </w:rPr>
        <w:t xml:space="preserve"> D, </w:t>
      </w:r>
      <w:proofErr w:type="spellStart"/>
      <w:r w:rsidRPr="00690B29">
        <w:rPr>
          <w:color w:val="auto"/>
          <w:shd w:val="clear" w:color="auto" w:fill="FFFFFF"/>
          <w:lang w:val="en-US"/>
        </w:rPr>
        <w:t>Merikangas</w:t>
      </w:r>
      <w:proofErr w:type="spellEnd"/>
      <w:r w:rsidRPr="00690B29">
        <w:rPr>
          <w:color w:val="auto"/>
          <w:shd w:val="clear" w:color="auto" w:fill="FFFFFF"/>
          <w:lang w:val="en-US"/>
        </w:rPr>
        <w:t xml:space="preserve"> K, Rush J, Walters E, Wang P. (2003) The epidemiology of major depressive disorder: results from the National Comorbidity Survey Replication (NCS-R) </w:t>
      </w:r>
      <w:r w:rsidRPr="00690B29">
        <w:rPr>
          <w:rStyle w:val="ref-journal"/>
          <w:color w:val="auto"/>
          <w:shd w:val="clear" w:color="auto" w:fill="FFFFFF"/>
          <w:lang w:val="en-US"/>
        </w:rPr>
        <w:t>Journal of the American Medical Association. </w:t>
      </w:r>
    </w:p>
    <w:p w:rsidR="00690B29" w:rsidRPr="00690B29" w:rsidRDefault="00690B29" w:rsidP="00690B29">
      <w:pPr>
        <w:spacing w:line="276" w:lineRule="auto"/>
        <w:rPr>
          <w:rStyle w:val="ref-journal"/>
          <w:color w:val="auto"/>
          <w:shd w:val="clear" w:color="auto" w:fill="FFFFFF"/>
          <w:lang w:val="en-US"/>
        </w:rPr>
      </w:pPr>
    </w:p>
    <w:p w:rsidR="00690B29" w:rsidRDefault="00690B29" w:rsidP="00690B29">
      <w:pPr>
        <w:spacing w:line="276" w:lineRule="auto"/>
        <w:rPr>
          <w:color w:val="auto"/>
          <w:u w:val="single"/>
          <w:shd w:val="clear" w:color="auto" w:fill="FFFFFF"/>
          <w:lang w:val="en-US"/>
        </w:rPr>
      </w:pPr>
      <w:r w:rsidRPr="00690B29">
        <w:rPr>
          <w:color w:val="auto"/>
          <w:shd w:val="clear" w:color="auto" w:fill="FFFFFF"/>
          <w:lang w:val="en-US"/>
        </w:rPr>
        <w:t xml:space="preserve">Keyes, K. M., Nicholson, R., Kinley, J., </w:t>
      </w:r>
      <w:proofErr w:type="spellStart"/>
      <w:r w:rsidRPr="00690B29">
        <w:rPr>
          <w:color w:val="auto"/>
          <w:shd w:val="clear" w:color="auto" w:fill="FFFFFF"/>
          <w:lang w:val="en-US"/>
        </w:rPr>
        <w:t>Raposo</w:t>
      </w:r>
      <w:proofErr w:type="spellEnd"/>
      <w:r w:rsidRPr="00690B29">
        <w:rPr>
          <w:color w:val="auto"/>
          <w:shd w:val="clear" w:color="auto" w:fill="FFFFFF"/>
          <w:lang w:val="en-US"/>
        </w:rPr>
        <w:t xml:space="preserve">, S., Stein, M. B., Goldner, E. M., &amp; </w:t>
      </w:r>
      <w:proofErr w:type="spellStart"/>
      <w:r w:rsidRPr="00690B29">
        <w:rPr>
          <w:color w:val="auto"/>
          <w:shd w:val="clear" w:color="auto" w:fill="FFFFFF"/>
          <w:lang w:val="en-US"/>
        </w:rPr>
        <w:t>Sareen</w:t>
      </w:r>
      <w:proofErr w:type="spellEnd"/>
      <w:r w:rsidRPr="00690B29">
        <w:rPr>
          <w:color w:val="auto"/>
          <w:shd w:val="clear" w:color="auto" w:fill="FFFFFF"/>
          <w:lang w:val="en-US"/>
        </w:rPr>
        <w:t>, J. (2014). Age, period, and cohort effects in psychological distress in the United States and Canada. </w:t>
      </w:r>
      <w:r w:rsidRPr="00690B29">
        <w:rPr>
          <w:i/>
          <w:iCs/>
          <w:color w:val="auto"/>
          <w:shd w:val="clear" w:color="auto" w:fill="FFFFFF"/>
          <w:lang w:val="en-US"/>
        </w:rPr>
        <w:t>American journal of epidemiology</w:t>
      </w:r>
      <w:r w:rsidRPr="00690B29">
        <w:rPr>
          <w:color w:val="auto"/>
          <w:shd w:val="clear" w:color="auto" w:fill="FFFFFF"/>
          <w:lang w:val="en-US"/>
        </w:rPr>
        <w:t>, </w:t>
      </w:r>
      <w:r w:rsidRPr="00690B29">
        <w:rPr>
          <w:i/>
          <w:iCs/>
          <w:color w:val="auto"/>
          <w:shd w:val="clear" w:color="auto" w:fill="FFFFFF"/>
          <w:lang w:val="en-US"/>
        </w:rPr>
        <w:t>179</w:t>
      </w:r>
      <w:r w:rsidRPr="00690B29">
        <w:rPr>
          <w:color w:val="auto"/>
          <w:shd w:val="clear" w:color="auto" w:fill="FFFFFF"/>
          <w:lang w:val="en-US"/>
        </w:rPr>
        <w:t xml:space="preserve">(10), 1216–1227. </w:t>
      </w:r>
      <w:hyperlink r:id="rId29" w:history="1">
        <w:r w:rsidR="00B86D54" w:rsidRPr="001B15E7">
          <w:rPr>
            <w:rStyle w:val="Hipervnculo"/>
            <w:color w:val="auto"/>
            <w:shd w:val="clear" w:color="auto" w:fill="FFFFFF"/>
            <w:lang w:val="en-US"/>
          </w:rPr>
          <w:t>https://doi.org/10.1093/aje/kwu029</w:t>
        </w:r>
      </w:hyperlink>
    </w:p>
    <w:p w:rsidR="00B86D54" w:rsidRDefault="00B86D54" w:rsidP="00690B29">
      <w:pPr>
        <w:spacing w:line="276" w:lineRule="auto"/>
        <w:rPr>
          <w:color w:val="auto"/>
          <w:u w:val="single"/>
          <w:shd w:val="clear" w:color="auto" w:fill="FFFFFF"/>
          <w:lang w:val="en-US"/>
        </w:rPr>
      </w:pPr>
    </w:p>
    <w:p w:rsidR="00B86D54" w:rsidRPr="00690B29" w:rsidRDefault="00B86D54" w:rsidP="00690B29">
      <w:pPr>
        <w:spacing w:line="276" w:lineRule="auto"/>
        <w:rPr>
          <w:rStyle w:val="ref-journal"/>
          <w:color w:val="auto"/>
          <w:shd w:val="clear" w:color="auto" w:fill="FFFFFF"/>
          <w:lang w:val="en-US"/>
        </w:rPr>
      </w:pPr>
      <w:r>
        <w:rPr>
          <w:lang w:val="en-US"/>
        </w:rPr>
        <w:t>Nielsen, B.,</w:t>
      </w:r>
      <w:r w:rsidRPr="00B86D54">
        <w:rPr>
          <w:lang w:val="en-US"/>
        </w:rPr>
        <w:t xml:space="preserve"> Nielsen, J.P. (2014). Identification and forecasting in mortality models. </w:t>
      </w:r>
      <w:r w:rsidRPr="00341595">
        <w:rPr>
          <w:lang w:val="en-US"/>
        </w:rPr>
        <w:t>Scientific World Journal, Article ID 347043.</w:t>
      </w:r>
    </w:p>
    <w:p w:rsidR="00690B29" w:rsidRPr="00690B29" w:rsidRDefault="00690B29" w:rsidP="00690B29">
      <w:pPr>
        <w:spacing w:line="276" w:lineRule="auto"/>
        <w:rPr>
          <w:rStyle w:val="ref-journal"/>
          <w:color w:val="auto"/>
          <w:shd w:val="clear" w:color="auto" w:fill="FFFFFF"/>
          <w:lang w:val="en-US"/>
        </w:rPr>
      </w:pPr>
    </w:p>
    <w:p w:rsidR="00690B29" w:rsidRPr="00690B29" w:rsidRDefault="00690B29" w:rsidP="00690B29">
      <w:pPr>
        <w:spacing w:line="276" w:lineRule="auto"/>
        <w:rPr>
          <w:rStyle w:val="ref-journal"/>
          <w:color w:val="auto"/>
          <w:shd w:val="clear" w:color="auto" w:fill="FFFFFF"/>
          <w:lang w:val="en-US"/>
        </w:rPr>
      </w:pPr>
      <w:r w:rsidRPr="00690B29">
        <w:rPr>
          <w:color w:val="auto"/>
          <w:shd w:val="clear" w:color="auto" w:fill="FFFFFF"/>
          <w:lang w:val="en-US"/>
        </w:rPr>
        <w:t xml:space="preserve">Oksanen, T., </w:t>
      </w:r>
      <w:proofErr w:type="spellStart"/>
      <w:r w:rsidRPr="00690B29">
        <w:rPr>
          <w:color w:val="auto"/>
          <w:shd w:val="clear" w:color="auto" w:fill="FFFFFF"/>
          <w:lang w:val="en-US"/>
        </w:rPr>
        <w:t>Vahtera</w:t>
      </w:r>
      <w:proofErr w:type="spellEnd"/>
      <w:r w:rsidRPr="00690B29">
        <w:rPr>
          <w:color w:val="auto"/>
          <w:shd w:val="clear" w:color="auto" w:fill="FFFFFF"/>
          <w:lang w:val="en-US"/>
        </w:rPr>
        <w:t xml:space="preserve">, J., </w:t>
      </w:r>
      <w:proofErr w:type="spellStart"/>
      <w:r w:rsidRPr="00690B29">
        <w:rPr>
          <w:color w:val="auto"/>
          <w:shd w:val="clear" w:color="auto" w:fill="FFFFFF"/>
          <w:lang w:val="en-US"/>
        </w:rPr>
        <w:t>Westerlund</w:t>
      </w:r>
      <w:proofErr w:type="spellEnd"/>
      <w:r w:rsidRPr="00690B29">
        <w:rPr>
          <w:color w:val="auto"/>
          <w:shd w:val="clear" w:color="auto" w:fill="FFFFFF"/>
          <w:lang w:val="en-US"/>
        </w:rPr>
        <w:t xml:space="preserve">, H., </w:t>
      </w:r>
      <w:proofErr w:type="spellStart"/>
      <w:r w:rsidRPr="00690B29">
        <w:rPr>
          <w:color w:val="auto"/>
          <w:shd w:val="clear" w:color="auto" w:fill="FFFFFF"/>
          <w:lang w:val="en-US"/>
        </w:rPr>
        <w:t>Pentti</w:t>
      </w:r>
      <w:proofErr w:type="spellEnd"/>
      <w:r w:rsidRPr="00690B29">
        <w:rPr>
          <w:color w:val="auto"/>
          <w:shd w:val="clear" w:color="auto" w:fill="FFFFFF"/>
          <w:lang w:val="en-US"/>
        </w:rPr>
        <w:t xml:space="preserve">, J., </w:t>
      </w:r>
      <w:proofErr w:type="spellStart"/>
      <w:r w:rsidRPr="00690B29">
        <w:rPr>
          <w:color w:val="auto"/>
          <w:shd w:val="clear" w:color="auto" w:fill="FFFFFF"/>
          <w:lang w:val="en-US"/>
        </w:rPr>
        <w:t>Sjösten</w:t>
      </w:r>
      <w:proofErr w:type="spellEnd"/>
      <w:r w:rsidRPr="00690B29">
        <w:rPr>
          <w:color w:val="auto"/>
          <w:shd w:val="clear" w:color="auto" w:fill="FFFFFF"/>
          <w:lang w:val="en-US"/>
        </w:rPr>
        <w:t xml:space="preserve">, N., Virtanen, M., </w:t>
      </w:r>
      <w:proofErr w:type="spellStart"/>
      <w:r w:rsidRPr="00690B29">
        <w:rPr>
          <w:color w:val="auto"/>
          <w:shd w:val="clear" w:color="auto" w:fill="FFFFFF"/>
          <w:lang w:val="en-US"/>
        </w:rPr>
        <w:t>Kawachi</w:t>
      </w:r>
      <w:proofErr w:type="spellEnd"/>
      <w:r w:rsidRPr="00690B29">
        <w:rPr>
          <w:color w:val="auto"/>
          <w:shd w:val="clear" w:color="auto" w:fill="FFFFFF"/>
          <w:lang w:val="en-US"/>
        </w:rPr>
        <w:t xml:space="preserve">, I., &amp; </w:t>
      </w:r>
      <w:proofErr w:type="spellStart"/>
      <w:r w:rsidRPr="00690B29">
        <w:rPr>
          <w:color w:val="auto"/>
          <w:shd w:val="clear" w:color="auto" w:fill="FFFFFF"/>
          <w:lang w:val="en-US"/>
        </w:rPr>
        <w:t>Kivimäki</w:t>
      </w:r>
      <w:proofErr w:type="spellEnd"/>
      <w:r w:rsidRPr="00690B29">
        <w:rPr>
          <w:color w:val="auto"/>
          <w:shd w:val="clear" w:color="auto" w:fill="FFFFFF"/>
          <w:lang w:val="en-US"/>
        </w:rPr>
        <w:t xml:space="preserve">, M. (2011). Is retirement beneficial for mental </w:t>
      </w:r>
      <w:proofErr w:type="gramStart"/>
      <w:r w:rsidRPr="00690B29">
        <w:rPr>
          <w:color w:val="auto"/>
          <w:shd w:val="clear" w:color="auto" w:fill="FFFFFF"/>
          <w:lang w:val="en-US"/>
        </w:rPr>
        <w:t>health?:</w:t>
      </w:r>
      <w:proofErr w:type="gramEnd"/>
      <w:r w:rsidRPr="00690B29">
        <w:rPr>
          <w:color w:val="auto"/>
          <w:shd w:val="clear" w:color="auto" w:fill="FFFFFF"/>
          <w:lang w:val="en-US"/>
        </w:rPr>
        <w:t xml:space="preserve"> antidepressant use before and after retirement. </w:t>
      </w:r>
      <w:r w:rsidRPr="00690B29">
        <w:rPr>
          <w:i/>
          <w:iCs/>
          <w:color w:val="auto"/>
          <w:shd w:val="clear" w:color="auto" w:fill="FFFFFF"/>
          <w:lang w:val="en-US"/>
        </w:rPr>
        <w:t>Epidemiology (Cambridge, Mass.)</w:t>
      </w:r>
      <w:r w:rsidRPr="00690B29">
        <w:rPr>
          <w:color w:val="auto"/>
          <w:shd w:val="clear" w:color="auto" w:fill="FFFFFF"/>
          <w:lang w:val="en-US"/>
        </w:rPr>
        <w:t>, </w:t>
      </w:r>
      <w:r w:rsidRPr="00690B29">
        <w:rPr>
          <w:i/>
          <w:iCs/>
          <w:color w:val="auto"/>
          <w:shd w:val="clear" w:color="auto" w:fill="FFFFFF"/>
          <w:lang w:val="en-US"/>
        </w:rPr>
        <w:t>22</w:t>
      </w:r>
      <w:r w:rsidRPr="00690B29">
        <w:rPr>
          <w:color w:val="auto"/>
          <w:shd w:val="clear" w:color="auto" w:fill="FFFFFF"/>
          <w:lang w:val="en-US"/>
        </w:rPr>
        <w:t xml:space="preserve">(4), 553–559. </w:t>
      </w:r>
      <w:r>
        <w:rPr>
          <w:color w:val="auto"/>
          <w:u w:val="single"/>
          <w:shd w:val="clear" w:color="auto" w:fill="FFFFFF"/>
          <w:lang w:val="en-US"/>
        </w:rPr>
        <w:t>https://doi.org/</w:t>
      </w:r>
      <w:r w:rsidRPr="00690B29">
        <w:rPr>
          <w:color w:val="auto"/>
          <w:u w:val="single"/>
          <w:shd w:val="clear" w:color="auto" w:fill="FFFFFF"/>
          <w:lang w:val="en-US"/>
        </w:rPr>
        <w:t>10.1097/EDE.0b013e31821c41bd</w:t>
      </w:r>
    </w:p>
    <w:p w:rsidR="00690B29" w:rsidRPr="00690B29" w:rsidRDefault="00690B29" w:rsidP="00690B29">
      <w:pPr>
        <w:spacing w:line="276" w:lineRule="auto"/>
        <w:rPr>
          <w:rStyle w:val="ref-journal"/>
          <w:color w:val="auto"/>
          <w:shd w:val="clear" w:color="auto" w:fill="FFFFFF"/>
          <w:lang w:val="en-US"/>
        </w:rPr>
      </w:pPr>
    </w:p>
    <w:p w:rsidR="00690B29" w:rsidRPr="00690B29" w:rsidRDefault="00690B29" w:rsidP="00690B29">
      <w:pPr>
        <w:spacing w:line="276" w:lineRule="auto"/>
        <w:rPr>
          <w:color w:val="auto"/>
          <w:shd w:val="clear" w:color="auto" w:fill="FCFCFC"/>
          <w:lang w:val="en-US"/>
        </w:rPr>
      </w:pPr>
      <w:r w:rsidRPr="00690B29">
        <w:rPr>
          <w:color w:val="auto"/>
          <w:shd w:val="clear" w:color="auto" w:fill="FCFCFC"/>
          <w:lang w:val="en-US"/>
        </w:rPr>
        <w:lastRenderedPageBreak/>
        <w:t>Pascual-</w:t>
      </w:r>
      <w:proofErr w:type="spellStart"/>
      <w:r w:rsidRPr="00690B29">
        <w:rPr>
          <w:color w:val="auto"/>
          <w:shd w:val="clear" w:color="auto" w:fill="FCFCFC"/>
          <w:lang w:val="en-US"/>
        </w:rPr>
        <w:t>Sáez</w:t>
      </w:r>
      <w:proofErr w:type="spellEnd"/>
      <w:r w:rsidRPr="00690B29">
        <w:rPr>
          <w:color w:val="auto"/>
          <w:shd w:val="clear" w:color="auto" w:fill="FCFCFC"/>
          <w:lang w:val="en-US"/>
        </w:rPr>
        <w:t xml:space="preserve">, M., </w:t>
      </w:r>
      <w:proofErr w:type="spellStart"/>
      <w:r w:rsidRPr="00690B29">
        <w:rPr>
          <w:color w:val="auto"/>
          <w:shd w:val="clear" w:color="auto" w:fill="FCFCFC"/>
          <w:lang w:val="en-US"/>
        </w:rPr>
        <w:t>Cantarero</w:t>
      </w:r>
      <w:proofErr w:type="spellEnd"/>
      <w:r w:rsidRPr="00690B29">
        <w:rPr>
          <w:color w:val="auto"/>
          <w:shd w:val="clear" w:color="auto" w:fill="FCFCFC"/>
          <w:lang w:val="en-US"/>
        </w:rPr>
        <w:t xml:space="preserve">-Prieto, D. &amp; </w:t>
      </w:r>
      <w:proofErr w:type="spellStart"/>
      <w:r w:rsidRPr="00690B29">
        <w:rPr>
          <w:color w:val="auto"/>
          <w:shd w:val="clear" w:color="auto" w:fill="FCFCFC"/>
          <w:lang w:val="en-US"/>
        </w:rPr>
        <w:t>Blázquez</w:t>
      </w:r>
      <w:proofErr w:type="spellEnd"/>
      <w:r w:rsidRPr="00690B29">
        <w:rPr>
          <w:color w:val="auto"/>
          <w:shd w:val="clear" w:color="auto" w:fill="FCFCFC"/>
          <w:lang w:val="en-US"/>
        </w:rPr>
        <w:t>-Fernández, C. Partner’s depression and quality of life among older Europeans. </w:t>
      </w:r>
      <w:r w:rsidRPr="00690B29">
        <w:rPr>
          <w:i/>
          <w:iCs/>
          <w:color w:val="auto"/>
          <w:shd w:val="clear" w:color="auto" w:fill="FCFCFC"/>
          <w:lang w:val="en-US"/>
        </w:rPr>
        <w:t>Eur J Health Econ</w:t>
      </w:r>
      <w:r w:rsidRPr="00690B29">
        <w:rPr>
          <w:color w:val="auto"/>
          <w:shd w:val="clear" w:color="auto" w:fill="FCFCFC"/>
          <w:lang w:val="en-US"/>
        </w:rPr>
        <w:t> </w:t>
      </w:r>
      <w:r w:rsidRPr="00690B29">
        <w:rPr>
          <w:bCs/>
          <w:color w:val="auto"/>
          <w:shd w:val="clear" w:color="auto" w:fill="FCFCFC"/>
          <w:lang w:val="en-US"/>
        </w:rPr>
        <w:t>20, </w:t>
      </w:r>
      <w:r w:rsidRPr="00690B29">
        <w:rPr>
          <w:color w:val="auto"/>
          <w:shd w:val="clear" w:color="auto" w:fill="FCFCFC"/>
          <w:lang w:val="en-US"/>
        </w:rPr>
        <w:t xml:space="preserve">1093–1101 (2019). </w:t>
      </w:r>
      <w:hyperlink r:id="rId30" w:history="1">
        <w:r>
          <w:rPr>
            <w:rStyle w:val="Hipervnculo"/>
            <w:color w:val="auto"/>
            <w:shd w:val="clear" w:color="auto" w:fill="FCFCFC"/>
            <w:lang w:val="en-US"/>
          </w:rPr>
          <w:t>https://doi.org/</w:t>
        </w:r>
        <w:r w:rsidRPr="00690B29">
          <w:rPr>
            <w:rStyle w:val="Hipervnculo"/>
            <w:color w:val="auto"/>
            <w:shd w:val="clear" w:color="auto" w:fill="FCFCFC"/>
            <w:lang w:val="en-US"/>
          </w:rPr>
          <w:t>10.1007/s10198-019-01081-y</w:t>
        </w:r>
      </w:hyperlink>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Prince, M., F. </w:t>
      </w:r>
      <w:proofErr w:type="spellStart"/>
      <w:r w:rsidRPr="00690B29">
        <w:rPr>
          <w:color w:val="auto"/>
          <w:lang w:val="en-US"/>
        </w:rPr>
        <w:t>Reischies</w:t>
      </w:r>
      <w:proofErr w:type="spellEnd"/>
      <w:r w:rsidRPr="00690B29">
        <w:rPr>
          <w:color w:val="auto"/>
          <w:lang w:val="en-US"/>
        </w:rPr>
        <w:t xml:space="preserve">, A. T. F. Beekman, R. Fuhrer, C. Jonker, S.-L. </w:t>
      </w:r>
      <w:proofErr w:type="spellStart"/>
      <w:r w:rsidRPr="00690B29">
        <w:rPr>
          <w:color w:val="auto"/>
          <w:lang w:val="en-US"/>
        </w:rPr>
        <w:t>Kivelä</w:t>
      </w:r>
      <w:proofErr w:type="spellEnd"/>
      <w:r w:rsidRPr="00690B29">
        <w:rPr>
          <w:color w:val="auto"/>
          <w:lang w:val="en-US"/>
        </w:rPr>
        <w:t xml:space="preserve">, B. Lawlor, A. Lobo, H. </w:t>
      </w:r>
      <w:proofErr w:type="spellStart"/>
      <w:r w:rsidRPr="00690B29">
        <w:rPr>
          <w:color w:val="auto"/>
          <w:lang w:val="en-US"/>
        </w:rPr>
        <w:t>Magnússon</w:t>
      </w:r>
      <w:proofErr w:type="spellEnd"/>
      <w:r w:rsidRPr="00690B29">
        <w:rPr>
          <w:color w:val="auto"/>
          <w:lang w:val="en-US"/>
        </w:rPr>
        <w:t xml:space="preserve">, I. </w:t>
      </w:r>
      <w:proofErr w:type="spellStart"/>
      <w:r w:rsidRPr="00690B29">
        <w:rPr>
          <w:color w:val="auto"/>
          <w:lang w:val="en-US"/>
        </w:rPr>
        <w:t>Fichter</w:t>
      </w:r>
      <w:proofErr w:type="spellEnd"/>
      <w:r w:rsidRPr="00690B29">
        <w:rPr>
          <w:color w:val="auto"/>
          <w:lang w:val="en-US"/>
        </w:rPr>
        <w:t xml:space="preserve">, H. van Oyen, M. </w:t>
      </w:r>
      <w:proofErr w:type="spellStart"/>
      <w:r w:rsidRPr="00690B29">
        <w:rPr>
          <w:color w:val="auto"/>
          <w:lang w:val="en-US"/>
        </w:rPr>
        <w:t>Roelands</w:t>
      </w:r>
      <w:proofErr w:type="spellEnd"/>
      <w:r w:rsidRPr="00690B29">
        <w:rPr>
          <w:color w:val="auto"/>
          <w:lang w:val="en-US"/>
        </w:rPr>
        <w:t xml:space="preserve">, I. Skoog, C. </w:t>
      </w:r>
      <w:proofErr w:type="spellStart"/>
      <w:r w:rsidRPr="00690B29">
        <w:rPr>
          <w:color w:val="auto"/>
          <w:lang w:val="en-US"/>
        </w:rPr>
        <w:t>Turrina</w:t>
      </w:r>
      <w:proofErr w:type="spellEnd"/>
      <w:r w:rsidRPr="00690B29">
        <w:rPr>
          <w:color w:val="auto"/>
          <w:lang w:val="en-US"/>
        </w:rPr>
        <w:t xml:space="preserve">, J. </w:t>
      </w:r>
      <w:proofErr w:type="gramStart"/>
      <w:r w:rsidRPr="00690B29">
        <w:rPr>
          <w:color w:val="auto"/>
          <w:lang w:val="en-US"/>
        </w:rPr>
        <w:t>R,  Copeland</w:t>
      </w:r>
      <w:proofErr w:type="gramEnd"/>
      <w:r w:rsidRPr="00690B29">
        <w:rPr>
          <w:color w:val="auto"/>
          <w:lang w:val="en-US"/>
        </w:rPr>
        <w:t xml:space="preserve">, M. (1999). Development of the EURO-D scale – a European Union initiative to compare symptoms of depression in 14 European </w:t>
      </w:r>
      <w:proofErr w:type="spellStart"/>
      <w:r w:rsidRPr="00690B29">
        <w:rPr>
          <w:color w:val="auto"/>
          <w:lang w:val="en-US"/>
        </w:rPr>
        <w:t>centres</w:t>
      </w:r>
      <w:proofErr w:type="spellEnd"/>
      <w:r w:rsidRPr="00690B29">
        <w:rPr>
          <w:color w:val="auto"/>
          <w:lang w:val="en-US"/>
        </w:rPr>
        <w:t>. British Journal of Psychiatry 174:330-38.</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spacing w:val="4"/>
          <w:shd w:val="clear" w:color="auto" w:fill="FCFCFC"/>
          <w:lang w:val="en-US"/>
        </w:rPr>
        <w:t xml:space="preserve">Rau R., </w:t>
      </w:r>
      <w:proofErr w:type="spellStart"/>
      <w:r w:rsidRPr="00690B29">
        <w:rPr>
          <w:color w:val="auto"/>
          <w:spacing w:val="4"/>
          <w:shd w:val="clear" w:color="auto" w:fill="FCFCFC"/>
          <w:lang w:val="en-US"/>
        </w:rPr>
        <w:t>Bohk</w:t>
      </w:r>
      <w:proofErr w:type="spellEnd"/>
      <w:r w:rsidRPr="00690B29">
        <w:rPr>
          <w:color w:val="auto"/>
          <w:spacing w:val="4"/>
          <w:shd w:val="clear" w:color="auto" w:fill="FCFCFC"/>
          <w:lang w:val="en-US"/>
        </w:rPr>
        <w:t xml:space="preserve">-Ewald C., </w:t>
      </w:r>
      <w:proofErr w:type="spellStart"/>
      <w:r w:rsidRPr="00690B29">
        <w:rPr>
          <w:color w:val="auto"/>
          <w:spacing w:val="4"/>
          <w:shd w:val="clear" w:color="auto" w:fill="FCFCFC"/>
          <w:lang w:val="en-US"/>
        </w:rPr>
        <w:t>Muszyńska</w:t>
      </w:r>
      <w:proofErr w:type="spellEnd"/>
      <w:r w:rsidRPr="00690B29">
        <w:rPr>
          <w:color w:val="auto"/>
          <w:spacing w:val="4"/>
          <w:shd w:val="clear" w:color="auto" w:fill="FCFCFC"/>
          <w:lang w:val="en-US"/>
        </w:rPr>
        <w:t xml:space="preserve"> M.M., </w:t>
      </w:r>
      <w:proofErr w:type="spellStart"/>
      <w:r w:rsidRPr="00690B29">
        <w:rPr>
          <w:color w:val="auto"/>
          <w:spacing w:val="4"/>
          <w:shd w:val="clear" w:color="auto" w:fill="FCFCFC"/>
          <w:lang w:val="en-US"/>
        </w:rPr>
        <w:t>Vaupel</w:t>
      </w:r>
      <w:proofErr w:type="spellEnd"/>
      <w:r w:rsidRPr="00690B29">
        <w:rPr>
          <w:color w:val="auto"/>
          <w:spacing w:val="4"/>
          <w:shd w:val="clear" w:color="auto" w:fill="FCFCFC"/>
          <w:lang w:val="en-US"/>
        </w:rPr>
        <w:t xml:space="preserve"> J.W. (2018) </w:t>
      </w:r>
      <w:r w:rsidRPr="00690B29">
        <w:rPr>
          <w:i/>
          <w:color w:val="auto"/>
          <w:spacing w:val="4"/>
          <w:shd w:val="clear" w:color="auto" w:fill="FCFCFC"/>
          <w:lang w:val="en-US"/>
        </w:rPr>
        <w:t>The Lexis Diagram. In: Visualizing Mortality Dynamics in the Lexis Diagram.</w:t>
      </w:r>
      <w:r w:rsidRPr="00690B29">
        <w:rPr>
          <w:color w:val="auto"/>
          <w:spacing w:val="4"/>
          <w:shd w:val="clear" w:color="auto" w:fill="FCFCFC"/>
          <w:lang w:val="en-US"/>
        </w:rPr>
        <w:t xml:space="preserve"> The Springer Series on Demographic Methods and Population Analysis, vol 44. Springer, Cham</w:t>
      </w:r>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color w:val="auto"/>
          <w:shd w:val="clear" w:color="auto" w:fill="FFFFFF"/>
          <w:lang w:val="en-US"/>
        </w:rPr>
      </w:pPr>
      <w:proofErr w:type="spellStart"/>
      <w:r w:rsidRPr="00690B29">
        <w:rPr>
          <w:color w:val="auto"/>
          <w:shd w:val="clear" w:color="auto" w:fill="FFFFFF"/>
          <w:lang w:val="en-US"/>
        </w:rPr>
        <w:t>Riumallo-Herl</w:t>
      </w:r>
      <w:proofErr w:type="spellEnd"/>
      <w:r w:rsidRPr="00690B29">
        <w:rPr>
          <w:color w:val="auto"/>
          <w:shd w:val="clear" w:color="auto" w:fill="FFFFFF"/>
          <w:lang w:val="en-US"/>
        </w:rPr>
        <w:t xml:space="preserve">, C., </w:t>
      </w:r>
      <w:proofErr w:type="spellStart"/>
      <w:r w:rsidRPr="00690B29">
        <w:rPr>
          <w:color w:val="auto"/>
          <w:shd w:val="clear" w:color="auto" w:fill="FFFFFF"/>
          <w:lang w:val="en-US"/>
        </w:rPr>
        <w:t>Basu</w:t>
      </w:r>
      <w:proofErr w:type="spellEnd"/>
      <w:r w:rsidRPr="00690B29">
        <w:rPr>
          <w:color w:val="auto"/>
          <w:shd w:val="clear" w:color="auto" w:fill="FFFFFF"/>
          <w:lang w:val="en-US"/>
        </w:rPr>
        <w:t xml:space="preserve">, S., </w:t>
      </w:r>
      <w:proofErr w:type="spellStart"/>
      <w:r w:rsidRPr="00690B29">
        <w:rPr>
          <w:color w:val="auto"/>
          <w:shd w:val="clear" w:color="auto" w:fill="FFFFFF"/>
          <w:lang w:val="en-US"/>
        </w:rPr>
        <w:t>Stuckler</w:t>
      </w:r>
      <w:proofErr w:type="spellEnd"/>
      <w:r w:rsidRPr="00690B29">
        <w:rPr>
          <w:color w:val="auto"/>
          <w:shd w:val="clear" w:color="auto" w:fill="FFFFFF"/>
          <w:lang w:val="en-US"/>
        </w:rPr>
        <w:t xml:space="preserve">, D., </w:t>
      </w:r>
      <w:proofErr w:type="spellStart"/>
      <w:r w:rsidRPr="00690B29">
        <w:rPr>
          <w:color w:val="auto"/>
          <w:shd w:val="clear" w:color="auto" w:fill="FFFFFF"/>
          <w:lang w:val="en-US"/>
        </w:rPr>
        <w:t>Courtin</w:t>
      </w:r>
      <w:proofErr w:type="spellEnd"/>
      <w:r w:rsidRPr="00690B29">
        <w:rPr>
          <w:color w:val="auto"/>
          <w:shd w:val="clear" w:color="auto" w:fill="FFFFFF"/>
          <w:lang w:val="en-US"/>
        </w:rPr>
        <w:t xml:space="preserve">, E., </w:t>
      </w:r>
      <w:proofErr w:type="spellStart"/>
      <w:r w:rsidRPr="00690B29">
        <w:rPr>
          <w:color w:val="auto"/>
          <w:shd w:val="clear" w:color="auto" w:fill="FFFFFF"/>
          <w:lang w:val="en-US"/>
        </w:rPr>
        <w:t>Avendano</w:t>
      </w:r>
      <w:proofErr w:type="spellEnd"/>
      <w:r w:rsidRPr="00690B29">
        <w:rPr>
          <w:color w:val="auto"/>
          <w:shd w:val="clear" w:color="auto" w:fill="FFFFFF"/>
          <w:lang w:val="en-US"/>
        </w:rPr>
        <w:t>, M. (2014). Job loss, wealth and depression during the Great Recession in the USA and Europe. </w:t>
      </w:r>
      <w:r w:rsidRPr="00690B29">
        <w:rPr>
          <w:i/>
          <w:iCs/>
          <w:color w:val="auto"/>
          <w:shd w:val="clear" w:color="auto" w:fill="FFFFFF"/>
          <w:lang w:val="en-US"/>
        </w:rPr>
        <w:t>International journal of epidemiology</w:t>
      </w:r>
      <w:r w:rsidRPr="00690B29">
        <w:rPr>
          <w:color w:val="auto"/>
          <w:shd w:val="clear" w:color="auto" w:fill="FFFFFF"/>
          <w:lang w:val="en-US"/>
        </w:rPr>
        <w:t>, </w:t>
      </w:r>
      <w:r w:rsidRPr="00690B29">
        <w:rPr>
          <w:i/>
          <w:iCs/>
          <w:color w:val="auto"/>
          <w:shd w:val="clear" w:color="auto" w:fill="FFFFFF"/>
          <w:lang w:val="en-US"/>
        </w:rPr>
        <w:t>43</w:t>
      </w:r>
      <w:r w:rsidRPr="00690B29">
        <w:rPr>
          <w:color w:val="auto"/>
          <w:shd w:val="clear" w:color="auto" w:fill="FFFFFF"/>
          <w:lang w:val="en-US"/>
        </w:rPr>
        <w:t xml:space="preserve">(5), 1508–1517. </w:t>
      </w:r>
      <w:r>
        <w:rPr>
          <w:color w:val="auto"/>
          <w:u w:val="single"/>
          <w:shd w:val="clear" w:color="auto" w:fill="FFFFFF"/>
          <w:lang w:val="en-US"/>
        </w:rPr>
        <w:t>https://doi.org/</w:t>
      </w:r>
      <w:r w:rsidRPr="00690B29">
        <w:rPr>
          <w:color w:val="auto"/>
          <w:u w:val="single"/>
          <w:shd w:val="clear" w:color="auto" w:fill="FFFFFF"/>
          <w:lang w:val="en-US"/>
        </w:rPr>
        <w:t>10.1093/ije/dyu048</w:t>
      </w:r>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color w:val="auto"/>
          <w:lang w:val="en-US"/>
        </w:rPr>
      </w:pPr>
      <w:r w:rsidRPr="00690B29">
        <w:rPr>
          <w:color w:val="auto"/>
          <w:lang w:val="en-US"/>
        </w:rPr>
        <w:t xml:space="preserve">Ryder, N. B. (1965). The Cohort as a Concept in the Study of Social Change. American </w:t>
      </w:r>
      <w:r w:rsidRPr="00690B29">
        <w:rPr>
          <w:i/>
          <w:color w:val="auto"/>
          <w:lang w:val="en-US"/>
        </w:rPr>
        <w:t>Sociological Review</w:t>
      </w:r>
      <w:r w:rsidRPr="00690B29">
        <w:rPr>
          <w:color w:val="auto"/>
          <w:lang w:val="en-US"/>
        </w:rPr>
        <w:t xml:space="preserve">, 30(6), 843–861. </w:t>
      </w:r>
      <w:r>
        <w:rPr>
          <w:color w:val="auto"/>
          <w:u w:val="single"/>
          <w:lang w:val="en-US"/>
        </w:rPr>
        <w:t>https://doi.org/</w:t>
      </w:r>
      <w:r w:rsidRPr="00690B29">
        <w:rPr>
          <w:color w:val="auto"/>
          <w:u w:val="single"/>
          <w:lang w:val="en-US"/>
        </w:rPr>
        <w:t xml:space="preserve"> 10.2307/2090964</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shd w:val="clear" w:color="auto" w:fill="FFFFFF"/>
          <w:lang w:val="en-US"/>
        </w:rPr>
        <w:t xml:space="preserve">Spiers, N., Bebbington, P., McManus, S., </w:t>
      </w:r>
      <w:proofErr w:type="spellStart"/>
      <w:r w:rsidRPr="00690B29">
        <w:rPr>
          <w:color w:val="auto"/>
          <w:shd w:val="clear" w:color="auto" w:fill="FFFFFF"/>
          <w:lang w:val="en-US"/>
        </w:rPr>
        <w:t>Brugha</w:t>
      </w:r>
      <w:proofErr w:type="spellEnd"/>
      <w:r w:rsidRPr="00690B29">
        <w:rPr>
          <w:color w:val="auto"/>
          <w:shd w:val="clear" w:color="auto" w:fill="FFFFFF"/>
          <w:lang w:val="en-US"/>
        </w:rPr>
        <w:t>, T. S., Jenkins, R., &amp; Meltzer, H. (2011). Age and birth cohort differences in the prevalence of common mental disorder in England: National Psychiatric Morbidity Surveys 1993-2007. </w:t>
      </w:r>
      <w:r w:rsidRPr="00690B29">
        <w:rPr>
          <w:i/>
          <w:iCs/>
          <w:color w:val="auto"/>
          <w:shd w:val="clear" w:color="auto" w:fill="FFFFFF"/>
          <w:lang w:val="en-US"/>
        </w:rPr>
        <w:t xml:space="preserve">The British journal of </w:t>
      </w:r>
      <w:proofErr w:type="gramStart"/>
      <w:r w:rsidRPr="00690B29">
        <w:rPr>
          <w:i/>
          <w:iCs/>
          <w:color w:val="auto"/>
          <w:shd w:val="clear" w:color="auto" w:fill="FFFFFF"/>
          <w:lang w:val="en-US"/>
        </w:rPr>
        <w:t>psychiatry :</w:t>
      </w:r>
      <w:proofErr w:type="gramEnd"/>
      <w:r w:rsidRPr="00690B29">
        <w:rPr>
          <w:i/>
          <w:iCs/>
          <w:color w:val="auto"/>
          <w:shd w:val="clear" w:color="auto" w:fill="FFFFFF"/>
          <w:lang w:val="en-US"/>
        </w:rPr>
        <w:t xml:space="preserve"> the journal of mental science</w:t>
      </w:r>
      <w:r w:rsidRPr="00690B29">
        <w:rPr>
          <w:color w:val="auto"/>
          <w:shd w:val="clear" w:color="auto" w:fill="FFFFFF"/>
          <w:lang w:val="en-US"/>
        </w:rPr>
        <w:t>, </w:t>
      </w:r>
      <w:r w:rsidRPr="00690B29">
        <w:rPr>
          <w:i/>
          <w:iCs/>
          <w:color w:val="auto"/>
          <w:shd w:val="clear" w:color="auto" w:fill="FFFFFF"/>
          <w:lang w:val="en-US"/>
        </w:rPr>
        <w:t>198</w:t>
      </w:r>
      <w:r w:rsidRPr="00690B29">
        <w:rPr>
          <w:color w:val="auto"/>
          <w:shd w:val="clear" w:color="auto" w:fill="FFFFFF"/>
          <w:lang w:val="en-US"/>
        </w:rPr>
        <w:t>(6), 479–484.</w:t>
      </w:r>
      <w:r w:rsidRPr="00690B29">
        <w:rPr>
          <w:color w:val="auto"/>
          <w:u w:val="single"/>
          <w:shd w:val="clear" w:color="auto" w:fill="FFFFFF"/>
          <w:lang w:val="en-US"/>
        </w:rPr>
        <w:t xml:space="preserve"> </w:t>
      </w:r>
      <w:r>
        <w:rPr>
          <w:color w:val="auto"/>
          <w:u w:val="single"/>
          <w:shd w:val="clear" w:color="auto" w:fill="FFFFFF"/>
          <w:lang w:val="en-US"/>
        </w:rPr>
        <w:t>https://doi.org/</w:t>
      </w:r>
      <w:r w:rsidRPr="00690B29">
        <w:rPr>
          <w:color w:val="auto"/>
          <w:u w:val="single"/>
          <w:shd w:val="clear" w:color="auto" w:fill="FFFFFF"/>
          <w:lang w:val="en-US"/>
        </w:rPr>
        <w:t>10.1192/bjp.bp.110.084269</w:t>
      </w:r>
    </w:p>
    <w:p w:rsidR="00690B29" w:rsidRPr="00690B29" w:rsidRDefault="00690B29" w:rsidP="00690B29">
      <w:pPr>
        <w:shd w:val="clear" w:color="auto" w:fill="FFFFFF"/>
        <w:suppressAutoHyphens w:val="0"/>
        <w:rPr>
          <w:color w:val="auto"/>
          <w:lang w:val="en-US" w:eastAsia="en-US"/>
        </w:rPr>
      </w:pPr>
    </w:p>
    <w:p w:rsidR="00690B29" w:rsidRPr="00690B29" w:rsidRDefault="00690B29" w:rsidP="00690B29">
      <w:pPr>
        <w:shd w:val="clear" w:color="auto" w:fill="FFFFFF"/>
        <w:suppressAutoHyphens w:val="0"/>
        <w:rPr>
          <w:color w:val="auto"/>
          <w:lang w:val="en-US" w:eastAsia="en-US"/>
        </w:rPr>
      </w:pPr>
      <w:r w:rsidRPr="00690B29">
        <w:rPr>
          <w:color w:val="auto"/>
          <w:lang w:val="en-US" w:eastAsia="en-US"/>
        </w:rPr>
        <w:t>Thomson, R.M., </w:t>
      </w:r>
      <w:proofErr w:type="spellStart"/>
      <w:r w:rsidRPr="00690B29">
        <w:rPr>
          <w:color w:val="auto"/>
          <w:lang w:val="en-US" w:eastAsia="en-US"/>
        </w:rPr>
        <w:t>Niedzwiedz</w:t>
      </w:r>
      <w:proofErr w:type="spellEnd"/>
      <w:r w:rsidRPr="00690B29">
        <w:rPr>
          <w:color w:val="auto"/>
          <w:lang w:val="en-US" w:eastAsia="en-US"/>
        </w:rPr>
        <w:t>, C.L., </w:t>
      </w:r>
      <w:proofErr w:type="spellStart"/>
      <w:r w:rsidRPr="00690B29">
        <w:rPr>
          <w:color w:val="auto"/>
          <w:lang w:val="en-US" w:eastAsia="en-US"/>
        </w:rPr>
        <w:t>Katikireddi</w:t>
      </w:r>
      <w:proofErr w:type="spellEnd"/>
      <w:r w:rsidRPr="00690B29">
        <w:rPr>
          <w:color w:val="auto"/>
          <w:lang w:val="en-US" w:eastAsia="en-US"/>
        </w:rPr>
        <w:t xml:space="preserve"> S.V. (2018) Trends in gender and socioeconomic inequalities in mental health following the Great Recession and subsequent austerity policies: a repeat cross-sectional analysis of the Health Surveys for England </w:t>
      </w:r>
      <w:r w:rsidRPr="00690B29">
        <w:rPr>
          <w:i/>
          <w:iCs/>
          <w:color w:val="auto"/>
          <w:lang w:val="en-US" w:eastAsia="en-US"/>
        </w:rPr>
        <w:t>BMJ Open </w:t>
      </w:r>
      <w:r w:rsidRPr="00690B29">
        <w:rPr>
          <w:color w:val="auto"/>
          <w:lang w:val="en-US" w:eastAsia="en-US"/>
        </w:rPr>
        <w:t>2018;</w:t>
      </w:r>
      <w:proofErr w:type="gramStart"/>
      <w:r w:rsidRPr="00690B29">
        <w:rPr>
          <w:b/>
          <w:bCs/>
          <w:color w:val="auto"/>
          <w:lang w:val="en-US" w:eastAsia="en-US"/>
        </w:rPr>
        <w:t>8:</w:t>
      </w:r>
      <w:r w:rsidRPr="00690B29">
        <w:rPr>
          <w:color w:val="auto"/>
          <w:lang w:val="en-US" w:eastAsia="en-US"/>
        </w:rPr>
        <w:t>e</w:t>
      </w:r>
      <w:proofErr w:type="gramEnd"/>
      <w:r w:rsidRPr="00690B29">
        <w:rPr>
          <w:color w:val="auto"/>
          <w:lang w:val="en-US" w:eastAsia="en-US"/>
        </w:rPr>
        <w:t>022924. </w:t>
      </w:r>
      <w:r>
        <w:rPr>
          <w:color w:val="auto"/>
          <w:u w:val="single"/>
          <w:lang w:val="en-US" w:eastAsia="en-US"/>
        </w:rPr>
        <w:t>https://doi.org/</w:t>
      </w:r>
      <w:r w:rsidRPr="00690B29">
        <w:rPr>
          <w:color w:val="auto"/>
          <w:u w:val="single"/>
          <w:lang w:val="en-US" w:eastAsia="en-US"/>
        </w:rPr>
        <w:t> 10.1136/bmjopen-2018-022924</w:t>
      </w:r>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Van de Velde S., </w:t>
      </w:r>
      <w:proofErr w:type="spellStart"/>
      <w:r w:rsidRPr="00690B29">
        <w:rPr>
          <w:color w:val="auto"/>
          <w:lang w:val="en-US"/>
        </w:rPr>
        <w:t>Bracke</w:t>
      </w:r>
      <w:proofErr w:type="spellEnd"/>
      <w:r w:rsidRPr="00690B29">
        <w:rPr>
          <w:color w:val="auto"/>
          <w:lang w:val="en-US"/>
        </w:rPr>
        <w:t xml:space="preserve">, P., </w:t>
      </w:r>
      <w:proofErr w:type="spellStart"/>
      <w:r w:rsidRPr="00690B29">
        <w:rPr>
          <w:color w:val="auto"/>
          <w:lang w:val="en-US"/>
        </w:rPr>
        <w:t>Levecque</w:t>
      </w:r>
      <w:proofErr w:type="spellEnd"/>
      <w:r w:rsidRPr="00690B29">
        <w:rPr>
          <w:color w:val="auto"/>
          <w:lang w:val="en-US"/>
        </w:rPr>
        <w:t xml:space="preserve"> K. (2010), Gender differences in depression in 23 European countries. Cross-national variation in the gender gap in depression,</w:t>
      </w:r>
    </w:p>
    <w:p w:rsidR="00690B29" w:rsidRPr="00690B29" w:rsidRDefault="00690B29" w:rsidP="00690B29">
      <w:pPr>
        <w:spacing w:line="276" w:lineRule="auto"/>
        <w:rPr>
          <w:color w:val="auto"/>
          <w:lang w:val="en-US"/>
        </w:rPr>
      </w:pPr>
      <w:r w:rsidRPr="00690B29">
        <w:rPr>
          <w:color w:val="auto"/>
          <w:lang w:val="en-US"/>
        </w:rPr>
        <w:t>Social Science and Medicine, Volume 71, Issue 2, 2010, Pages 305-313, ISSN 0277-536,</w:t>
      </w:r>
    </w:p>
    <w:p w:rsidR="00690B29" w:rsidRPr="00690B29" w:rsidRDefault="004E25A9" w:rsidP="00690B29">
      <w:pPr>
        <w:spacing w:line="276" w:lineRule="auto"/>
        <w:rPr>
          <w:color w:val="auto"/>
          <w:lang w:val="en-US"/>
        </w:rPr>
      </w:pPr>
      <w:hyperlink r:id="rId31">
        <w:r w:rsidR="00690B29">
          <w:rPr>
            <w:rStyle w:val="EnlacedeInternet"/>
            <w:color w:val="auto"/>
            <w:lang w:val="en-US"/>
          </w:rPr>
          <w:t>https://doi.org/</w:t>
        </w:r>
        <w:r w:rsidR="00690B29" w:rsidRPr="00690B29">
          <w:rPr>
            <w:rStyle w:val="EnlacedeInternet"/>
            <w:color w:val="auto"/>
            <w:lang w:val="en-US"/>
          </w:rPr>
          <w:t>10.1016/j.socscimed.2010.03.035</w:t>
        </w:r>
      </w:hyperlink>
      <w:hyperlink>
        <w:r w:rsidR="00690B29" w:rsidRPr="00690B29">
          <w:rPr>
            <w:color w:val="auto"/>
            <w:lang w:val="en-US"/>
          </w:rPr>
          <w:t>.</w:t>
        </w:r>
      </w:hyperlink>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World Health Organization (2008) Closing the gap in a generation: health equity through action and the social determinants of health. WHO, Geneva</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shd w:val="clear" w:color="auto" w:fill="FFFFFF"/>
          <w:lang w:val="en-US"/>
        </w:rPr>
        <w:lastRenderedPageBreak/>
        <w:t>Wickham, H. (2016). </w:t>
      </w:r>
      <w:r w:rsidRPr="00690B29">
        <w:rPr>
          <w:rStyle w:val="nfasis"/>
          <w:color w:val="auto"/>
          <w:shd w:val="clear" w:color="auto" w:fill="FFFFFF"/>
          <w:lang w:val="en-US"/>
        </w:rPr>
        <w:t>ggplot2: Elegant Graphics for Data Analysis</w:t>
      </w:r>
      <w:r w:rsidRPr="00690B29">
        <w:rPr>
          <w:color w:val="auto"/>
          <w:shd w:val="clear" w:color="auto" w:fill="FFFFFF"/>
          <w:lang w:val="en-US"/>
        </w:rPr>
        <w:t>. Springer-Verlag New York. ISBN 978-3-319-24277-4, </w:t>
      </w:r>
      <w:hyperlink r:id="rId32" w:history="1">
        <w:r w:rsidRPr="00690B29">
          <w:rPr>
            <w:rStyle w:val="Hipervnculo"/>
            <w:color w:val="auto"/>
            <w:shd w:val="clear" w:color="auto" w:fill="FFFFFF"/>
            <w:lang w:val="en-US"/>
          </w:rPr>
          <w:t>https://ggplot2.tidyverse.org</w:t>
        </w:r>
      </w:hyperlink>
      <w:r w:rsidRPr="00690B29">
        <w:rPr>
          <w:color w:val="auto"/>
          <w:shd w:val="clear" w:color="auto" w:fill="FFFFFF"/>
          <w:lang w:val="en-US"/>
        </w:rPr>
        <w:t>.</w:t>
      </w:r>
    </w:p>
    <w:p w:rsidR="00690B29" w:rsidRPr="00690B29" w:rsidRDefault="00690B29" w:rsidP="00690B29">
      <w:pPr>
        <w:spacing w:line="276" w:lineRule="auto"/>
        <w:rPr>
          <w:color w:val="auto"/>
          <w:shd w:val="clear" w:color="auto" w:fill="FFFFFF"/>
          <w:lang w:val="en-US"/>
        </w:rPr>
      </w:pPr>
    </w:p>
    <w:p w:rsidR="00690B29" w:rsidRPr="00690B29" w:rsidRDefault="00690B29" w:rsidP="00690B29">
      <w:pPr>
        <w:spacing w:line="276" w:lineRule="auto"/>
        <w:rPr>
          <w:color w:val="auto"/>
          <w:lang w:val="en-US"/>
        </w:rPr>
      </w:pPr>
      <w:proofErr w:type="spellStart"/>
      <w:r w:rsidRPr="00690B29">
        <w:rPr>
          <w:color w:val="auto"/>
          <w:shd w:val="clear" w:color="auto" w:fill="FFFFFF"/>
          <w:lang w:val="en-US"/>
        </w:rPr>
        <w:t>Wickramaratne</w:t>
      </w:r>
      <w:proofErr w:type="spellEnd"/>
      <w:r w:rsidRPr="00690B29">
        <w:rPr>
          <w:color w:val="auto"/>
          <w:shd w:val="clear" w:color="auto" w:fill="FFFFFF"/>
          <w:lang w:val="en-US"/>
        </w:rPr>
        <w:t xml:space="preserve"> P.J., Weissman M.M., Leaf P.J., et al. (1989) Age, period and cohort effects on the risk of major depression: results from five United States communities. </w:t>
      </w:r>
      <w:r w:rsidRPr="00690B29">
        <w:rPr>
          <w:rStyle w:val="ref-journal"/>
          <w:i/>
          <w:color w:val="auto"/>
          <w:shd w:val="clear" w:color="auto" w:fill="FFFFFF"/>
          <w:lang w:val="en-US"/>
        </w:rPr>
        <w:t>J Clin Epidemiol</w:t>
      </w:r>
      <w:r w:rsidRPr="00690B29">
        <w:rPr>
          <w:rStyle w:val="ref-journal"/>
          <w:color w:val="auto"/>
          <w:shd w:val="clear" w:color="auto" w:fill="FFFFFF"/>
          <w:lang w:val="en-US"/>
        </w:rPr>
        <w:t>. </w:t>
      </w:r>
      <w:r w:rsidRPr="00690B29">
        <w:rPr>
          <w:rStyle w:val="ref-vol"/>
          <w:color w:val="auto"/>
          <w:shd w:val="clear" w:color="auto" w:fill="FFFFFF"/>
          <w:lang w:val="en-US"/>
        </w:rPr>
        <w:t>42</w:t>
      </w:r>
      <w:r w:rsidRPr="00690B29">
        <w:rPr>
          <w:color w:val="auto"/>
          <w:shd w:val="clear" w:color="auto" w:fill="FFFFFF"/>
          <w:lang w:val="en-US"/>
        </w:rPr>
        <w:t>(4):333–343</w:t>
      </w:r>
    </w:p>
    <w:p w:rsidR="00690B29" w:rsidRPr="00690B29" w:rsidRDefault="00690B29" w:rsidP="00690B29">
      <w:pPr>
        <w:spacing w:line="276" w:lineRule="auto"/>
        <w:rPr>
          <w:color w:val="auto"/>
          <w:lang w:val="en-US"/>
        </w:rPr>
      </w:pPr>
    </w:p>
    <w:p w:rsidR="00690B29" w:rsidRPr="00690B29" w:rsidRDefault="00690B29" w:rsidP="00690B29">
      <w:pPr>
        <w:spacing w:line="276" w:lineRule="auto"/>
        <w:rPr>
          <w:color w:val="auto"/>
          <w:lang w:val="en-US"/>
        </w:rPr>
      </w:pPr>
      <w:r w:rsidRPr="00690B29">
        <w:rPr>
          <w:color w:val="auto"/>
          <w:lang w:val="en-US"/>
        </w:rPr>
        <w:t xml:space="preserve">Yang, Y., Land, K. C. (2013). </w:t>
      </w:r>
      <w:r w:rsidRPr="00690B29">
        <w:rPr>
          <w:i/>
          <w:color w:val="auto"/>
          <w:lang w:val="en-US"/>
        </w:rPr>
        <w:t>Age-Period-Cohort Analysis: New Models, Methods, and Empirical Applications</w:t>
      </w:r>
      <w:r w:rsidRPr="00690B29">
        <w:rPr>
          <w:color w:val="auto"/>
          <w:lang w:val="en-US"/>
        </w:rPr>
        <w:t>. CRC Pres</w:t>
      </w:r>
      <w:r w:rsidR="00DA3D95">
        <w:rPr>
          <w:color w:val="auto"/>
          <w:lang w:val="en-US"/>
        </w:rPr>
        <w:t>s</w:t>
      </w:r>
    </w:p>
    <w:p w:rsidR="00690B29" w:rsidRPr="00690B29" w:rsidRDefault="00690B29" w:rsidP="00690B29">
      <w:pPr>
        <w:spacing w:line="276" w:lineRule="auto"/>
        <w:rPr>
          <w:color w:val="auto"/>
          <w:lang w:val="en-US"/>
        </w:rPr>
      </w:pPr>
    </w:p>
    <w:p w:rsidR="00690B29" w:rsidRDefault="00690B29" w:rsidP="00690B29">
      <w:pPr>
        <w:spacing w:line="276" w:lineRule="auto"/>
        <w:rPr>
          <w:color w:val="auto"/>
          <w:lang w:val="en-US"/>
        </w:rPr>
      </w:pPr>
      <w:r w:rsidRPr="00690B29">
        <w:rPr>
          <w:color w:val="auto"/>
          <w:lang w:val="en-US"/>
        </w:rPr>
        <w:t xml:space="preserve">Zhao K.X., Huang C.Q., Xiao Q., Gao Y., Liu Q.X., Wang Z.R., </w:t>
      </w:r>
      <w:proofErr w:type="spellStart"/>
      <w:r w:rsidRPr="00690B29">
        <w:rPr>
          <w:color w:val="auto"/>
          <w:lang w:val="en-US"/>
        </w:rPr>
        <w:t>Xie</w:t>
      </w:r>
      <w:proofErr w:type="spellEnd"/>
      <w:r w:rsidRPr="00690B29">
        <w:rPr>
          <w:color w:val="auto"/>
          <w:lang w:val="en-US"/>
        </w:rPr>
        <w:t xml:space="preserve"> Y.Z. (2012) Age and risk for depression among the elderly: a meta</w:t>
      </w:r>
      <w:r w:rsidR="00DA3D95">
        <w:rPr>
          <w:color w:val="auto"/>
          <w:lang w:val="en-US"/>
        </w:rPr>
        <w:t>-</w:t>
      </w:r>
      <w:r w:rsidRPr="00690B29">
        <w:rPr>
          <w:color w:val="auto"/>
          <w:lang w:val="en-US"/>
        </w:rPr>
        <w:t xml:space="preserve">analysis of the published literature. CNS </w:t>
      </w:r>
      <w:proofErr w:type="spellStart"/>
      <w:r w:rsidRPr="00690B29">
        <w:rPr>
          <w:color w:val="auto"/>
          <w:lang w:val="en-US"/>
        </w:rPr>
        <w:t>Spectr</w:t>
      </w:r>
      <w:proofErr w:type="spellEnd"/>
      <w:r w:rsidRPr="00690B29">
        <w:rPr>
          <w:color w:val="auto"/>
          <w:lang w:val="en-US"/>
        </w:rPr>
        <w:t xml:space="preserve"> 17:142–15</w:t>
      </w:r>
    </w:p>
    <w:p w:rsidR="004F1B32" w:rsidRDefault="004F1B32" w:rsidP="004F1B32">
      <w:pPr>
        <w:suppressAutoHyphens w:val="0"/>
        <w:spacing w:after="200" w:line="276" w:lineRule="auto"/>
        <w:rPr>
          <w:u w:val="single"/>
          <w:lang w:val="en-US"/>
        </w:rPr>
      </w:pPr>
    </w:p>
    <w:p w:rsidR="006D6562" w:rsidRPr="00936D8F" w:rsidRDefault="006D6562" w:rsidP="004F1B32">
      <w:pPr>
        <w:suppressAutoHyphens w:val="0"/>
        <w:spacing w:after="200" w:line="276" w:lineRule="auto"/>
        <w:rPr>
          <w:u w:val="single"/>
          <w:lang w:val="en-US"/>
        </w:rPr>
      </w:pPr>
      <w:r>
        <w:rPr>
          <w:u w:val="single"/>
          <w:lang w:val="en-US"/>
        </w:rPr>
        <w:t>Appendix</w:t>
      </w:r>
      <w:r w:rsidRPr="00936D8F">
        <w:rPr>
          <w:u w:val="single"/>
          <w:lang w:val="en-US"/>
        </w:rPr>
        <w:t>:</w:t>
      </w:r>
    </w:p>
    <w:p w:rsidR="003E12BA" w:rsidRDefault="001820C4" w:rsidP="00690B29">
      <w:pPr>
        <w:spacing w:line="276" w:lineRule="auto"/>
        <w:rPr>
          <w:color w:val="auto"/>
          <w:lang w:val="en-US"/>
        </w:rPr>
      </w:pPr>
      <w:r>
        <w:rPr>
          <w:noProof/>
          <w:color w:val="auto"/>
          <w:lang w:val="en-US" w:eastAsia="en-US"/>
        </w:rPr>
        <w:drawing>
          <wp:inline distT="0" distB="0" distL="0" distR="0">
            <wp:extent cx="5612130" cy="3440953"/>
            <wp:effectExtent l="1905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5612130" cy="3440953"/>
                    </a:xfrm>
                    <a:prstGeom prst="rect">
                      <a:avLst/>
                    </a:prstGeom>
                    <a:noFill/>
                    <a:ln w="9525">
                      <a:noFill/>
                      <a:miter lim="800000"/>
                      <a:headEnd/>
                      <a:tailEnd/>
                    </a:ln>
                  </pic:spPr>
                </pic:pic>
              </a:graphicData>
            </a:graphic>
          </wp:inline>
        </w:drawing>
      </w:r>
    </w:p>
    <w:p w:rsidR="003E12BA" w:rsidRDefault="003E12BA" w:rsidP="00690B29">
      <w:pPr>
        <w:spacing w:line="276" w:lineRule="auto"/>
        <w:rPr>
          <w:color w:val="auto"/>
          <w:lang w:val="en-US"/>
        </w:rPr>
      </w:pPr>
      <w:r>
        <w:rPr>
          <w:color w:val="auto"/>
          <w:lang w:val="en-US"/>
        </w:rPr>
        <w:t>Figure 1A</w:t>
      </w:r>
      <w:r w:rsidR="006D6562">
        <w:rPr>
          <w:color w:val="auto"/>
          <w:lang w:val="en-US"/>
        </w:rPr>
        <w:t>.</w:t>
      </w:r>
      <w:r>
        <w:rPr>
          <w:color w:val="auto"/>
          <w:lang w:val="en-US"/>
        </w:rPr>
        <w:t xml:space="preserve">  APC effects in a Period-Major Paramet</w:t>
      </w:r>
      <w:r w:rsidR="006D6562">
        <w:rPr>
          <w:color w:val="auto"/>
          <w:lang w:val="en-US"/>
        </w:rPr>
        <w:t>e</w:t>
      </w:r>
      <w:r>
        <w:rPr>
          <w:color w:val="auto"/>
          <w:lang w:val="en-US"/>
        </w:rPr>
        <w:t>rization centered in Year 20</w:t>
      </w:r>
      <w:r w:rsidR="001820C4">
        <w:rPr>
          <w:color w:val="auto"/>
          <w:lang w:val="en-US"/>
        </w:rPr>
        <w:t>08</w:t>
      </w:r>
      <w:r>
        <w:rPr>
          <w:color w:val="auto"/>
          <w:lang w:val="en-US"/>
        </w:rPr>
        <w:t xml:space="preserve">.  </w:t>
      </w:r>
    </w:p>
    <w:p w:rsidR="003E12BA" w:rsidRPr="00690B29" w:rsidRDefault="003E12BA" w:rsidP="00690B29">
      <w:pPr>
        <w:spacing w:line="276" w:lineRule="auto"/>
        <w:rPr>
          <w:color w:val="auto"/>
          <w:lang w:val="en-US"/>
        </w:rPr>
      </w:pPr>
    </w:p>
    <w:sectPr w:rsidR="003E12BA" w:rsidRPr="00690B29" w:rsidSect="003D3768">
      <w:headerReference w:type="default" r:id="rId3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5A9" w:rsidRDefault="004E25A9" w:rsidP="006517DB">
      <w:r>
        <w:separator/>
      </w:r>
    </w:p>
  </w:endnote>
  <w:endnote w:type="continuationSeparator" w:id="0">
    <w:p w:rsidR="004E25A9" w:rsidRDefault="004E25A9" w:rsidP="0065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5A9" w:rsidRDefault="004E25A9" w:rsidP="006517DB">
      <w:r>
        <w:separator/>
      </w:r>
    </w:p>
  </w:footnote>
  <w:footnote w:type="continuationSeparator" w:id="0">
    <w:p w:rsidR="004E25A9" w:rsidRDefault="004E25A9" w:rsidP="00651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679337860"/>
      <w:docPartObj>
        <w:docPartGallery w:val="Page Numbers (Top of Page)"/>
        <w:docPartUnique/>
      </w:docPartObj>
    </w:sdtPr>
    <w:sdtEndPr/>
    <w:sdtContent>
      <w:p w:rsidR="000818B1" w:rsidRDefault="004E25A9">
        <w:pPr>
          <w:pStyle w:val="Encabezado"/>
          <w:jc w:val="right"/>
        </w:pPr>
        <w:r>
          <w:fldChar w:fldCharType="begin"/>
        </w:r>
        <w:r>
          <w:instrText xml:space="preserve"> PAGE   \* MERGEFORMAT </w:instrText>
        </w:r>
        <w:r>
          <w:fldChar w:fldCharType="separate"/>
        </w:r>
        <w:r w:rsidR="001820C4">
          <w:rPr>
            <w:noProof/>
          </w:rPr>
          <w:t>28</w:t>
        </w:r>
        <w:r>
          <w:rPr>
            <w:noProof/>
          </w:rPr>
          <w:fldChar w:fldCharType="end"/>
        </w:r>
      </w:p>
    </w:sdtContent>
  </w:sdt>
  <w:p w:rsidR="000818B1" w:rsidRDefault="000818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910AB"/>
    <w:multiLevelType w:val="multilevel"/>
    <w:tmpl w:val="5218E176"/>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 w15:restartNumberingAfterBreak="0">
    <w:nsid w:val="16E20EAF"/>
    <w:multiLevelType w:val="hybridMultilevel"/>
    <w:tmpl w:val="07768EC8"/>
    <w:lvl w:ilvl="0" w:tplc="CFD262C2">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4DCE103B"/>
    <w:multiLevelType w:val="hybridMultilevel"/>
    <w:tmpl w:val="8E18B662"/>
    <w:lvl w:ilvl="0" w:tplc="5502AE8A">
      <w:start w:val="3"/>
      <w:numFmt w:val="decimal"/>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29"/>
    <w:rsid w:val="00001C04"/>
    <w:rsid w:val="0000485E"/>
    <w:rsid w:val="000153F3"/>
    <w:rsid w:val="000338F2"/>
    <w:rsid w:val="00036529"/>
    <w:rsid w:val="00042BC9"/>
    <w:rsid w:val="00064ADF"/>
    <w:rsid w:val="000676FB"/>
    <w:rsid w:val="000818B1"/>
    <w:rsid w:val="00086271"/>
    <w:rsid w:val="00097CFF"/>
    <w:rsid w:val="000B466D"/>
    <w:rsid w:val="000C76EB"/>
    <w:rsid w:val="000D01B9"/>
    <w:rsid w:val="000E1BAB"/>
    <w:rsid w:val="000F1E22"/>
    <w:rsid w:val="001059CC"/>
    <w:rsid w:val="00172E6E"/>
    <w:rsid w:val="001820C4"/>
    <w:rsid w:val="0018228D"/>
    <w:rsid w:val="001872CC"/>
    <w:rsid w:val="001B15E7"/>
    <w:rsid w:val="001C7BFC"/>
    <w:rsid w:val="001D5C75"/>
    <w:rsid w:val="001E5C21"/>
    <w:rsid w:val="001F7E3A"/>
    <w:rsid w:val="00264246"/>
    <w:rsid w:val="00265020"/>
    <w:rsid w:val="00266B77"/>
    <w:rsid w:val="002811F8"/>
    <w:rsid w:val="00284FE7"/>
    <w:rsid w:val="002A05F6"/>
    <w:rsid w:val="002A5B9B"/>
    <w:rsid w:val="002F3C28"/>
    <w:rsid w:val="00321B16"/>
    <w:rsid w:val="003232C5"/>
    <w:rsid w:val="00325A80"/>
    <w:rsid w:val="00341595"/>
    <w:rsid w:val="003527F8"/>
    <w:rsid w:val="003538C9"/>
    <w:rsid w:val="003563FF"/>
    <w:rsid w:val="003746B0"/>
    <w:rsid w:val="0038033C"/>
    <w:rsid w:val="0039773B"/>
    <w:rsid w:val="00397A08"/>
    <w:rsid w:val="003A542B"/>
    <w:rsid w:val="003B2CC8"/>
    <w:rsid w:val="003B61A0"/>
    <w:rsid w:val="003D3768"/>
    <w:rsid w:val="003D5BD8"/>
    <w:rsid w:val="003E12BA"/>
    <w:rsid w:val="003E12CB"/>
    <w:rsid w:val="003F5C6F"/>
    <w:rsid w:val="00406102"/>
    <w:rsid w:val="0043024B"/>
    <w:rsid w:val="00467E12"/>
    <w:rsid w:val="00496B18"/>
    <w:rsid w:val="004A0752"/>
    <w:rsid w:val="004E25A9"/>
    <w:rsid w:val="004E7F92"/>
    <w:rsid w:val="004F1B32"/>
    <w:rsid w:val="004F77AE"/>
    <w:rsid w:val="00503B2C"/>
    <w:rsid w:val="005079F4"/>
    <w:rsid w:val="00514539"/>
    <w:rsid w:val="005519C1"/>
    <w:rsid w:val="00554252"/>
    <w:rsid w:val="005710FA"/>
    <w:rsid w:val="00571EEB"/>
    <w:rsid w:val="005A004F"/>
    <w:rsid w:val="005B04F5"/>
    <w:rsid w:val="005B208D"/>
    <w:rsid w:val="005C1FFB"/>
    <w:rsid w:val="005F653F"/>
    <w:rsid w:val="00612F8C"/>
    <w:rsid w:val="0062795F"/>
    <w:rsid w:val="00645792"/>
    <w:rsid w:val="006517DB"/>
    <w:rsid w:val="00690160"/>
    <w:rsid w:val="00690B29"/>
    <w:rsid w:val="00695276"/>
    <w:rsid w:val="006D1E06"/>
    <w:rsid w:val="006D6562"/>
    <w:rsid w:val="00753003"/>
    <w:rsid w:val="00762297"/>
    <w:rsid w:val="007B1403"/>
    <w:rsid w:val="007B26D9"/>
    <w:rsid w:val="007D6DF5"/>
    <w:rsid w:val="007E503D"/>
    <w:rsid w:val="007F66EC"/>
    <w:rsid w:val="00807A32"/>
    <w:rsid w:val="00820EE8"/>
    <w:rsid w:val="00837D01"/>
    <w:rsid w:val="008659DB"/>
    <w:rsid w:val="00882EFB"/>
    <w:rsid w:val="00894EA8"/>
    <w:rsid w:val="008A0A22"/>
    <w:rsid w:val="008C708A"/>
    <w:rsid w:val="00936D8F"/>
    <w:rsid w:val="009468EB"/>
    <w:rsid w:val="00952196"/>
    <w:rsid w:val="00955AAC"/>
    <w:rsid w:val="00972CBB"/>
    <w:rsid w:val="009B1495"/>
    <w:rsid w:val="009B7B62"/>
    <w:rsid w:val="009F4B2C"/>
    <w:rsid w:val="00A17471"/>
    <w:rsid w:val="00A37854"/>
    <w:rsid w:val="00A51105"/>
    <w:rsid w:val="00A84620"/>
    <w:rsid w:val="00AB4EEB"/>
    <w:rsid w:val="00AB579E"/>
    <w:rsid w:val="00AC39B7"/>
    <w:rsid w:val="00AE4F15"/>
    <w:rsid w:val="00B16CF8"/>
    <w:rsid w:val="00B34662"/>
    <w:rsid w:val="00B6670B"/>
    <w:rsid w:val="00B7486F"/>
    <w:rsid w:val="00B86D54"/>
    <w:rsid w:val="00B90DCA"/>
    <w:rsid w:val="00B96620"/>
    <w:rsid w:val="00BC7951"/>
    <w:rsid w:val="00BD4F5C"/>
    <w:rsid w:val="00BD53D7"/>
    <w:rsid w:val="00BF1A6C"/>
    <w:rsid w:val="00BF1C63"/>
    <w:rsid w:val="00C06DDA"/>
    <w:rsid w:val="00C26505"/>
    <w:rsid w:val="00C331D5"/>
    <w:rsid w:val="00C42A07"/>
    <w:rsid w:val="00C63AD0"/>
    <w:rsid w:val="00C65F82"/>
    <w:rsid w:val="00C873E3"/>
    <w:rsid w:val="00CA4C07"/>
    <w:rsid w:val="00CA61A4"/>
    <w:rsid w:val="00CC6F5F"/>
    <w:rsid w:val="00CD0AB4"/>
    <w:rsid w:val="00D0002F"/>
    <w:rsid w:val="00D201F7"/>
    <w:rsid w:val="00D25909"/>
    <w:rsid w:val="00D36186"/>
    <w:rsid w:val="00D5068F"/>
    <w:rsid w:val="00D8533E"/>
    <w:rsid w:val="00D85AC1"/>
    <w:rsid w:val="00D86406"/>
    <w:rsid w:val="00DA3D95"/>
    <w:rsid w:val="00DB2241"/>
    <w:rsid w:val="00DC2091"/>
    <w:rsid w:val="00DD3C3B"/>
    <w:rsid w:val="00DE6D3F"/>
    <w:rsid w:val="00DE7D95"/>
    <w:rsid w:val="00E01810"/>
    <w:rsid w:val="00E1735B"/>
    <w:rsid w:val="00E23814"/>
    <w:rsid w:val="00E274DC"/>
    <w:rsid w:val="00E30261"/>
    <w:rsid w:val="00E36220"/>
    <w:rsid w:val="00E5717A"/>
    <w:rsid w:val="00E60739"/>
    <w:rsid w:val="00E63A9E"/>
    <w:rsid w:val="00E91F85"/>
    <w:rsid w:val="00F161E3"/>
    <w:rsid w:val="00F27331"/>
    <w:rsid w:val="00F433EA"/>
    <w:rsid w:val="00F5484D"/>
    <w:rsid w:val="00F678FD"/>
    <w:rsid w:val="00F77E59"/>
    <w:rsid w:val="00F92FC5"/>
    <w:rsid w:val="00FB643E"/>
    <w:rsid w:val="00FC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47C90-C2CA-412F-8768-E5C2D56D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B29"/>
    <w:pPr>
      <w:suppressAutoHyphens/>
      <w:spacing w:after="0" w:line="240" w:lineRule="auto"/>
    </w:pPr>
    <w:rPr>
      <w:rFonts w:ascii="Times New Roman" w:eastAsia="Times New Roman" w:hAnsi="Times New Roman" w:cs="Times New Roman"/>
      <w:color w:val="00000A"/>
      <w:sz w:val="24"/>
      <w:szCs w:val="24"/>
      <w:lang w:val="es-ES" w:eastAsia="zh-CN"/>
    </w:rPr>
  </w:style>
  <w:style w:type="paragraph" w:styleId="Ttulo1">
    <w:name w:val="heading 1"/>
    <w:basedOn w:val="Normal"/>
    <w:link w:val="Ttulo1Car"/>
    <w:uiPriority w:val="9"/>
    <w:qFormat/>
    <w:rsid w:val="00690B29"/>
    <w:pPr>
      <w:suppressAutoHyphens w:val="0"/>
      <w:spacing w:before="100" w:beforeAutospacing="1" w:after="100" w:afterAutospacing="1"/>
      <w:outlineLvl w:val="0"/>
    </w:pPr>
    <w:rPr>
      <w:b/>
      <w:bCs/>
      <w:color w:val="auto"/>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0B29"/>
    <w:rPr>
      <w:rFonts w:ascii="Times New Roman" w:eastAsia="Times New Roman" w:hAnsi="Times New Roman" w:cs="Times New Roman"/>
      <w:b/>
      <w:bCs/>
      <w:kern w:val="36"/>
      <w:sz w:val="48"/>
      <w:szCs w:val="48"/>
      <w:lang w:val="es-AR" w:eastAsia="es-AR"/>
    </w:rPr>
  </w:style>
  <w:style w:type="character" w:customStyle="1" w:styleId="EnlacedeInternet">
    <w:name w:val="Enlace de Internet"/>
    <w:rsid w:val="00690B29"/>
    <w:rPr>
      <w:color w:val="000080"/>
      <w:u w:val="single"/>
    </w:rPr>
  </w:style>
  <w:style w:type="character" w:customStyle="1" w:styleId="Ancladenotaalpie">
    <w:name w:val="Ancla de nota al pie"/>
    <w:rsid w:val="00690B29"/>
    <w:rPr>
      <w:vertAlign w:val="superscript"/>
    </w:rPr>
  </w:style>
  <w:style w:type="character" w:customStyle="1" w:styleId="Muydestacado">
    <w:name w:val="Muy destacado"/>
    <w:qFormat/>
    <w:rsid w:val="00690B29"/>
    <w:rPr>
      <w:b/>
      <w:bCs/>
    </w:rPr>
  </w:style>
  <w:style w:type="paragraph" w:styleId="Textonotapie">
    <w:name w:val="footnote text"/>
    <w:basedOn w:val="Normal"/>
    <w:link w:val="TextonotapieCar"/>
    <w:rsid w:val="00690B29"/>
    <w:pPr>
      <w:suppressLineNumbers/>
      <w:ind w:left="339" w:hanging="339"/>
    </w:pPr>
    <w:rPr>
      <w:sz w:val="20"/>
      <w:szCs w:val="20"/>
    </w:rPr>
  </w:style>
  <w:style w:type="character" w:customStyle="1" w:styleId="TextonotapieCar">
    <w:name w:val="Texto nota pie Car"/>
    <w:basedOn w:val="Fuentedeprrafopredeter"/>
    <w:link w:val="Textonotapie"/>
    <w:rsid w:val="00690B29"/>
    <w:rPr>
      <w:rFonts w:ascii="Times New Roman" w:eastAsia="Times New Roman" w:hAnsi="Times New Roman" w:cs="Times New Roman"/>
      <w:color w:val="00000A"/>
      <w:sz w:val="20"/>
      <w:szCs w:val="20"/>
      <w:lang w:val="es-ES" w:eastAsia="zh-CN"/>
    </w:rPr>
  </w:style>
  <w:style w:type="character" w:styleId="Refdecomentario">
    <w:name w:val="annotation reference"/>
    <w:basedOn w:val="Fuentedeprrafopredeter"/>
    <w:uiPriority w:val="99"/>
    <w:semiHidden/>
    <w:unhideWhenUsed/>
    <w:rsid w:val="00690B29"/>
    <w:rPr>
      <w:sz w:val="16"/>
      <w:szCs w:val="16"/>
    </w:rPr>
  </w:style>
  <w:style w:type="paragraph" w:styleId="Textocomentario">
    <w:name w:val="annotation text"/>
    <w:basedOn w:val="Normal"/>
    <w:link w:val="TextocomentarioCar"/>
    <w:uiPriority w:val="99"/>
    <w:unhideWhenUsed/>
    <w:rsid w:val="00690B29"/>
    <w:rPr>
      <w:sz w:val="20"/>
      <w:szCs w:val="20"/>
    </w:rPr>
  </w:style>
  <w:style w:type="character" w:customStyle="1" w:styleId="TextocomentarioCar">
    <w:name w:val="Texto comentario Car"/>
    <w:basedOn w:val="Fuentedeprrafopredeter"/>
    <w:link w:val="Textocomentario"/>
    <w:uiPriority w:val="99"/>
    <w:rsid w:val="00690B29"/>
    <w:rPr>
      <w:rFonts w:ascii="Times New Roman" w:eastAsia="Times New Roman" w:hAnsi="Times New Roman" w:cs="Times New Roman"/>
      <w:color w:val="00000A"/>
      <w:sz w:val="20"/>
      <w:szCs w:val="20"/>
      <w:lang w:val="es-ES" w:eastAsia="zh-CN"/>
    </w:rPr>
  </w:style>
  <w:style w:type="table" w:styleId="Tablaconcuadrcula">
    <w:name w:val="Table Grid"/>
    <w:basedOn w:val="Tablanormal"/>
    <w:uiPriority w:val="59"/>
    <w:rsid w:val="00690B29"/>
    <w:pPr>
      <w:spacing w:after="0" w:line="240" w:lineRule="auto"/>
    </w:pPr>
    <w:rPr>
      <w:rFonts w:ascii="Liberation Serif" w:eastAsia="WenQuanYi Micro Hei" w:hAnsi="Liberation Serif" w:cs="Lohit Devanagari"/>
      <w:sz w:val="20"/>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690B29"/>
    <w:rPr>
      <w:color w:val="0000FF" w:themeColor="hyperlink"/>
      <w:u w:val="single"/>
    </w:rPr>
  </w:style>
  <w:style w:type="paragraph" w:styleId="Textodeglobo">
    <w:name w:val="Balloon Text"/>
    <w:basedOn w:val="Normal"/>
    <w:link w:val="TextodegloboCar"/>
    <w:uiPriority w:val="99"/>
    <w:semiHidden/>
    <w:unhideWhenUsed/>
    <w:rsid w:val="00690B29"/>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B29"/>
    <w:rPr>
      <w:rFonts w:ascii="Tahoma" w:eastAsia="Times New Roman" w:hAnsi="Tahoma" w:cs="Tahoma"/>
      <w:color w:val="00000A"/>
      <w:sz w:val="16"/>
      <w:szCs w:val="16"/>
      <w:lang w:val="es-ES" w:eastAsia="zh-CN"/>
    </w:rPr>
  </w:style>
  <w:style w:type="paragraph" w:styleId="Encabezado">
    <w:name w:val="header"/>
    <w:basedOn w:val="Normal"/>
    <w:link w:val="EncabezadoCar"/>
    <w:uiPriority w:val="99"/>
    <w:unhideWhenUsed/>
    <w:rsid w:val="00690B29"/>
    <w:pPr>
      <w:tabs>
        <w:tab w:val="center" w:pos="4419"/>
        <w:tab w:val="right" w:pos="8838"/>
      </w:tabs>
    </w:pPr>
  </w:style>
  <w:style w:type="character" w:customStyle="1" w:styleId="EncabezadoCar">
    <w:name w:val="Encabezado Car"/>
    <w:basedOn w:val="Fuentedeprrafopredeter"/>
    <w:link w:val="Encabezado"/>
    <w:uiPriority w:val="99"/>
    <w:rsid w:val="00690B29"/>
    <w:rPr>
      <w:rFonts w:ascii="Times New Roman" w:eastAsia="Times New Roman" w:hAnsi="Times New Roman" w:cs="Times New Roman"/>
      <w:color w:val="00000A"/>
      <w:sz w:val="24"/>
      <w:szCs w:val="24"/>
      <w:lang w:val="es-ES" w:eastAsia="zh-CN"/>
    </w:rPr>
  </w:style>
  <w:style w:type="paragraph" w:styleId="Piedepgina">
    <w:name w:val="footer"/>
    <w:basedOn w:val="Normal"/>
    <w:link w:val="PiedepginaCar"/>
    <w:uiPriority w:val="99"/>
    <w:semiHidden/>
    <w:unhideWhenUsed/>
    <w:rsid w:val="00690B29"/>
    <w:pPr>
      <w:tabs>
        <w:tab w:val="center" w:pos="4419"/>
        <w:tab w:val="right" w:pos="8838"/>
      </w:tabs>
    </w:pPr>
  </w:style>
  <w:style w:type="character" w:customStyle="1" w:styleId="PiedepginaCar">
    <w:name w:val="Pie de página Car"/>
    <w:basedOn w:val="Fuentedeprrafopredeter"/>
    <w:link w:val="Piedepgina"/>
    <w:uiPriority w:val="99"/>
    <w:semiHidden/>
    <w:rsid w:val="00690B29"/>
    <w:rPr>
      <w:rFonts w:ascii="Times New Roman" w:eastAsia="Times New Roman" w:hAnsi="Times New Roman" w:cs="Times New Roman"/>
      <w:color w:val="00000A"/>
      <w:sz w:val="24"/>
      <w:szCs w:val="24"/>
      <w:lang w:val="es-ES" w:eastAsia="zh-CN"/>
    </w:rPr>
  </w:style>
  <w:style w:type="character" w:customStyle="1" w:styleId="ref-journal">
    <w:name w:val="ref-journal"/>
    <w:basedOn w:val="Fuentedeprrafopredeter"/>
    <w:rsid w:val="00690B29"/>
  </w:style>
  <w:style w:type="character" w:customStyle="1" w:styleId="ref-vol">
    <w:name w:val="ref-vol"/>
    <w:basedOn w:val="Fuentedeprrafopredeter"/>
    <w:rsid w:val="00690B29"/>
  </w:style>
  <w:style w:type="character" w:customStyle="1" w:styleId="element-citation">
    <w:name w:val="element-citation"/>
    <w:basedOn w:val="Fuentedeprrafopredeter"/>
    <w:rsid w:val="00690B29"/>
  </w:style>
  <w:style w:type="character" w:customStyle="1" w:styleId="nowrap">
    <w:name w:val="nowrap"/>
    <w:basedOn w:val="Fuentedeprrafopredeter"/>
    <w:rsid w:val="00690B29"/>
  </w:style>
  <w:style w:type="character" w:styleId="Refdenotaalpie">
    <w:name w:val="footnote reference"/>
    <w:basedOn w:val="Fuentedeprrafopredeter"/>
    <w:uiPriority w:val="99"/>
    <w:semiHidden/>
    <w:unhideWhenUsed/>
    <w:rsid w:val="00690B29"/>
    <w:rPr>
      <w:vertAlign w:val="superscript"/>
    </w:rPr>
  </w:style>
  <w:style w:type="paragraph" w:styleId="Asuntodelcomentario">
    <w:name w:val="annotation subject"/>
    <w:basedOn w:val="Textocomentario"/>
    <w:next w:val="Textocomentario"/>
    <w:link w:val="AsuntodelcomentarioCar"/>
    <w:uiPriority w:val="99"/>
    <w:semiHidden/>
    <w:unhideWhenUsed/>
    <w:rsid w:val="00690B29"/>
    <w:rPr>
      <w:b/>
      <w:bCs/>
    </w:rPr>
  </w:style>
  <w:style w:type="character" w:customStyle="1" w:styleId="AsuntodelcomentarioCar">
    <w:name w:val="Asunto del comentario Car"/>
    <w:basedOn w:val="TextocomentarioCar"/>
    <w:link w:val="Asuntodelcomentario"/>
    <w:uiPriority w:val="99"/>
    <w:semiHidden/>
    <w:rsid w:val="00690B29"/>
    <w:rPr>
      <w:rFonts w:ascii="Times New Roman" w:eastAsia="Times New Roman" w:hAnsi="Times New Roman" w:cs="Times New Roman"/>
      <w:b/>
      <w:bCs/>
      <w:color w:val="00000A"/>
      <w:sz w:val="20"/>
      <w:szCs w:val="20"/>
      <w:lang w:val="es-ES" w:eastAsia="zh-CN"/>
    </w:rPr>
  </w:style>
  <w:style w:type="character" w:customStyle="1" w:styleId="authors">
    <w:name w:val="authors"/>
    <w:basedOn w:val="Fuentedeprrafopredeter"/>
    <w:rsid w:val="00690B29"/>
  </w:style>
  <w:style w:type="character" w:customStyle="1" w:styleId="Date1">
    <w:name w:val="Date1"/>
    <w:basedOn w:val="Fuentedeprrafopredeter"/>
    <w:rsid w:val="00690B29"/>
  </w:style>
  <w:style w:type="character" w:customStyle="1" w:styleId="arttitle">
    <w:name w:val="art_title"/>
    <w:basedOn w:val="Fuentedeprrafopredeter"/>
    <w:rsid w:val="00690B29"/>
  </w:style>
  <w:style w:type="character" w:customStyle="1" w:styleId="serialtitle">
    <w:name w:val="serial_title"/>
    <w:basedOn w:val="Fuentedeprrafopredeter"/>
    <w:rsid w:val="00690B29"/>
  </w:style>
  <w:style w:type="character" w:customStyle="1" w:styleId="volumeissue">
    <w:name w:val="volume_issue"/>
    <w:basedOn w:val="Fuentedeprrafopredeter"/>
    <w:rsid w:val="00690B29"/>
  </w:style>
  <w:style w:type="character" w:customStyle="1" w:styleId="pagerange">
    <w:name w:val="page_range"/>
    <w:basedOn w:val="Fuentedeprrafopredeter"/>
    <w:rsid w:val="00690B29"/>
  </w:style>
  <w:style w:type="character" w:customStyle="1" w:styleId="doilink">
    <w:name w:val="doi_link"/>
    <w:basedOn w:val="Fuentedeprrafopredeter"/>
    <w:rsid w:val="00690B29"/>
  </w:style>
  <w:style w:type="character" w:customStyle="1" w:styleId="title-text">
    <w:name w:val="title-text"/>
    <w:basedOn w:val="Fuentedeprrafopredeter"/>
    <w:rsid w:val="00690B29"/>
  </w:style>
  <w:style w:type="character" w:styleId="nfasis">
    <w:name w:val="Emphasis"/>
    <w:basedOn w:val="Fuentedeprrafopredeter"/>
    <w:uiPriority w:val="20"/>
    <w:qFormat/>
    <w:rsid w:val="00690B29"/>
    <w:rPr>
      <w:i/>
      <w:iCs/>
    </w:rPr>
  </w:style>
  <w:style w:type="paragraph" w:styleId="HTMLconformatoprevio">
    <w:name w:val="HTML Preformatted"/>
    <w:basedOn w:val="Normal"/>
    <w:link w:val="HTMLconformatoprevioCar"/>
    <w:uiPriority w:val="99"/>
    <w:semiHidden/>
    <w:unhideWhenUsed/>
    <w:rsid w:val="0069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690B29"/>
    <w:rPr>
      <w:rFonts w:ascii="Courier New" w:eastAsia="Times New Roman" w:hAnsi="Courier New" w:cs="Courier New"/>
      <w:sz w:val="20"/>
      <w:szCs w:val="20"/>
    </w:rPr>
  </w:style>
  <w:style w:type="character" w:customStyle="1" w:styleId="gnkrckgcmsb">
    <w:name w:val="gnkrckgcmsb"/>
    <w:basedOn w:val="Fuentedeprrafopredeter"/>
    <w:rsid w:val="00690B29"/>
  </w:style>
  <w:style w:type="character" w:customStyle="1" w:styleId="gnkrckgcmrb">
    <w:name w:val="gnkrckgcmrb"/>
    <w:basedOn w:val="Fuentedeprrafopredeter"/>
    <w:rsid w:val="00690B29"/>
  </w:style>
  <w:style w:type="character" w:customStyle="1" w:styleId="gnkrckgcgsb">
    <w:name w:val="gnkrckgcgsb"/>
    <w:basedOn w:val="Fuentedeprrafopredeter"/>
    <w:rsid w:val="00690B29"/>
  </w:style>
  <w:style w:type="character" w:customStyle="1" w:styleId="highwire-citation-authors">
    <w:name w:val="highwire-citation-authors"/>
    <w:basedOn w:val="Fuentedeprrafopredeter"/>
    <w:rsid w:val="00690B29"/>
  </w:style>
  <w:style w:type="character" w:customStyle="1" w:styleId="highwire-citation-author">
    <w:name w:val="highwire-citation-author"/>
    <w:basedOn w:val="Fuentedeprrafopredeter"/>
    <w:rsid w:val="00690B29"/>
  </w:style>
  <w:style w:type="character" w:customStyle="1" w:styleId="nlm-surname">
    <w:name w:val="nlm-surname"/>
    <w:basedOn w:val="Fuentedeprrafopredeter"/>
    <w:rsid w:val="00690B29"/>
  </w:style>
  <w:style w:type="character" w:customStyle="1" w:styleId="highwire-cite-metadata-journal">
    <w:name w:val="highwire-cite-metadata-journal"/>
    <w:basedOn w:val="Fuentedeprrafopredeter"/>
    <w:rsid w:val="00690B29"/>
  </w:style>
  <w:style w:type="character" w:customStyle="1" w:styleId="highwire-cite-metadata-year">
    <w:name w:val="highwire-cite-metadata-year"/>
    <w:basedOn w:val="Fuentedeprrafopredeter"/>
    <w:rsid w:val="00690B29"/>
  </w:style>
  <w:style w:type="character" w:customStyle="1" w:styleId="highwire-cite-metadata-volume">
    <w:name w:val="highwire-cite-metadata-volume"/>
    <w:basedOn w:val="Fuentedeprrafopredeter"/>
    <w:rsid w:val="00690B29"/>
  </w:style>
  <w:style w:type="character" w:customStyle="1" w:styleId="highwire-cite-metadata-elocation-id">
    <w:name w:val="highwire-cite-metadata-elocation-id"/>
    <w:basedOn w:val="Fuentedeprrafopredeter"/>
    <w:rsid w:val="00690B29"/>
  </w:style>
  <w:style w:type="character" w:customStyle="1" w:styleId="highwire-cite-metadata-doi">
    <w:name w:val="highwire-cite-metadata-doi"/>
    <w:basedOn w:val="Fuentedeprrafopredeter"/>
    <w:rsid w:val="00690B29"/>
  </w:style>
  <w:style w:type="character" w:customStyle="1" w:styleId="label">
    <w:name w:val="label"/>
    <w:basedOn w:val="Fuentedeprrafopredeter"/>
    <w:rsid w:val="00690B29"/>
  </w:style>
  <w:style w:type="paragraph" w:styleId="NormalWeb">
    <w:name w:val="Normal (Web)"/>
    <w:basedOn w:val="Normal"/>
    <w:uiPriority w:val="99"/>
    <w:semiHidden/>
    <w:unhideWhenUsed/>
    <w:rsid w:val="000B466D"/>
    <w:pPr>
      <w:suppressAutoHyphens w:val="0"/>
      <w:spacing w:before="100" w:beforeAutospacing="1" w:after="100" w:afterAutospacing="1"/>
    </w:pPr>
    <w:rPr>
      <w:color w:val="auto"/>
      <w:lang w:val="en-US" w:eastAsia="en-US"/>
    </w:rPr>
  </w:style>
  <w:style w:type="paragraph" w:styleId="TtuloTDC">
    <w:name w:val="TOC Heading"/>
    <w:basedOn w:val="Ttulo1"/>
    <w:next w:val="Normal"/>
    <w:uiPriority w:val="39"/>
    <w:unhideWhenUsed/>
    <w:qFormat/>
    <w:rsid w:val="006517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2">
    <w:name w:val="toc 2"/>
    <w:basedOn w:val="Normal"/>
    <w:next w:val="Normal"/>
    <w:autoRedefine/>
    <w:uiPriority w:val="39"/>
    <w:unhideWhenUsed/>
    <w:qFormat/>
    <w:rsid w:val="006517DB"/>
    <w:pPr>
      <w:suppressAutoHyphens w:val="0"/>
      <w:spacing w:after="100" w:line="276" w:lineRule="auto"/>
      <w:ind w:left="220"/>
    </w:pPr>
    <w:rPr>
      <w:rFonts w:asciiTheme="minorHAnsi" w:eastAsiaTheme="minorEastAsia" w:hAnsiTheme="minorHAnsi" w:cstheme="minorBidi"/>
      <w:color w:val="auto"/>
      <w:sz w:val="22"/>
      <w:szCs w:val="22"/>
      <w:lang w:eastAsia="en-US"/>
    </w:rPr>
  </w:style>
  <w:style w:type="paragraph" w:styleId="TDC1">
    <w:name w:val="toc 1"/>
    <w:basedOn w:val="Normal"/>
    <w:next w:val="Normal"/>
    <w:autoRedefine/>
    <w:uiPriority w:val="39"/>
    <w:unhideWhenUsed/>
    <w:qFormat/>
    <w:rsid w:val="006517DB"/>
    <w:pPr>
      <w:suppressAutoHyphens w:val="0"/>
      <w:spacing w:after="100" w:line="276" w:lineRule="auto"/>
    </w:pPr>
    <w:rPr>
      <w:rFonts w:asciiTheme="minorHAnsi" w:eastAsiaTheme="minorEastAsia" w:hAnsiTheme="minorHAnsi" w:cstheme="minorBidi"/>
      <w:color w:val="auto"/>
      <w:sz w:val="22"/>
      <w:szCs w:val="22"/>
      <w:lang w:eastAsia="en-US"/>
    </w:rPr>
  </w:style>
  <w:style w:type="paragraph" w:styleId="TDC3">
    <w:name w:val="toc 3"/>
    <w:basedOn w:val="Normal"/>
    <w:next w:val="Normal"/>
    <w:autoRedefine/>
    <w:uiPriority w:val="39"/>
    <w:unhideWhenUsed/>
    <w:qFormat/>
    <w:rsid w:val="006517DB"/>
    <w:pPr>
      <w:suppressAutoHyphens w:val="0"/>
      <w:spacing w:after="100" w:line="276" w:lineRule="auto"/>
      <w:ind w:left="44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971">
      <w:bodyDiv w:val="1"/>
      <w:marLeft w:val="0"/>
      <w:marRight w:val="0"/>
      <w:marTop w:val="0"/>
      <w:marBottom w:val="0"/>
      <w:divBdr>
        <w:top w:val="none" w:sz="0" w:space="0" w:color="auto"/>
        <w:left w:val="none" w:sz="0" w:space="0" w:color="auto"/>
        <w:bottom w:val="none" w:sz="0" w:space="0" w:color="auto"/>
        <w:right w:val="none" w:sz="0" w:space="0" w:color="auto"/>
      </w:divBdr>
    </w:div>
    <w:div w:id="250437574">
      <w:bodyDiv w:val="1"/>
      <w:marLeft w:val="0"/>
      <w:marRight w:val="0"/>
      <w:marTop w:val="0"/>
      <w:marBottom w:val="0"/>
      <w:divBdr>
        <w:top w:val="none" w:sz="0" w:space="0" w:color="auto"/>
        <w:left w:val="none" w:sz="0" w:space="0" w:color="auto"/>
        <w:bottom w:val="none" w:sz="0" w:space="0" w:color="auto"/>
        <w:right w:val="none" w:sz="0" w:space="0" w:color="auto"/>
      </w:divBdr>
    </w:div>
    <w:div w:id="364061993">
      <w:bodyDiv w:val="1"/>
      <w:marLeft w:val="0"/>
      <w:marRight w:val="0"/>
      <w:marTop w:val="0"/>
      <w:marBottom w:val="0"/>
      <w:divBdr>
        <w:top w:val="none" w:sz="0" w:space="0" w:color="auto"/>
        <w:left w:val="none" w:sz="0" w:space="0" w:color="auto"/>
        <w:bottom w:val="none" w:sz="0" w:space="0" w:color="auto"/>
        <w:right w:val="none" w:sz="0" w:space="0" w:color="auto"/>
      </w:divBdr>
    </w:div>
    <w:div w:id="384259217">
      <w:bodyDiv w:val="1"/>
      <w:marLeft w:val="0"/>
      <w:marRight w:val="0"/>
      <w:marTop w:val="0"/>
      <w:marBottom w:val="0"/>
      <w:divBdr>
        <w:top w:val="none" w:sz="0" w:space="0" w:color="auto"/>
        <w:left w:val="none" w:sz="0" w:space="0" w:color="auto"/>
        <w:bottom w:val="none" w:sz="0" w:space="0" w:color="auto"/>
        <w:right w:val="none" w:sz="0" w:space="0" w:color="auto"/>
      </w:divBdr>
    </w:div>
    <w:div w:id="860162545">
      <w:bodyDiv w:val="1"/>
      <w:marLeft w:val="0"/>
      <w:marRight w:val="0"/>
      <w:marTop w:val="0"/>
      <w:marBottom w:val="0"/>
      <w:divBdr>
        <w:top w:val="none" w:sz="0" w:space="0" w:color="auto"/>
        <w:left w:val="none" w:sz="0" w:space="0" w:color="auto"/>
        <w:bottom w:val="none" w:sz="0" w:space="0" w:color="auto"/>
        <w:right w:val="none" w:sz="0" w:space="0" w:color="auto"/>
      </w:divBdr>
    </w:div>
    <w:div w:id="862520762">
      <w:bodyDiv w:val="1"/>
      <w:marLeft w:val="0"/>
      <w:marRight w:val="0"/>
      <w:marTop w:val="0"/>
      <w:marBottom w:val="0"/>
      <w:divBdr>
        <w:top w:val="none" w:sz="0" w:space="0" w:color="auto"/>
        <w:left w:val="none" w:sz="0" w:space="0" w:color="auto"/>
        <w:bottom w:val="none" w:sz="0" w:space="0" w:color="auto"/>
        <w:right w:val="none" w:sz="0" w:space="0" w:color="auto"/>
      </w:divBdr>
    </w:div>
    <w:div w:id="1629236014">
      <w:bodyDiv w:val="1"/>
      <w:marLeft w:val="0"/>
      <w:marRight w:val="0"/>
      <w:marTop w:val="0"/>
      <w:marBottom w:val="0"/>
      <w:divBdr>
        <w:top w:val="none" w:sz="0" w:space="0" w:color="auto"/>
        <w:left w:val="none" w:sz="0" w:space="0" w:color="auto"/>
        <w:bottom w:val="none" w:sz="0" w:space="0" w:color="auto"/>
        <w:right w:val="none" w:sz="0" w:space="0" w:color="auto"/>
      </w:divBdr>
      <w:divsChild>
        <w:div w:id="973949392">
          <w:marLeft w:val="0"/>
          <w:marRight w:val="0"/>
          <w:marTop w:val="332"/>
          <w:marBottom w:val="332"/>
          <w:divBdr>
            <w:top w:val="none" w:sz="0" w:space="0" w:color="auto"/>
            <w:left w:val="none" w:sz="0" w:space="0" w:color="auto"/>
            <w:bottom w:val="none" w:sz="0" w:space="0" w:color="auto"/>
            <w:right w:val="none" w:sz="0" w:space="0" w:color="auto"/>
          </w:divBdr>
        </w:div>
      </w:divsChild>
    </w:div>
    <w:div w:id="20324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16/j.socscimed.2014.09.008" TargetMode="External"/><Relationship Id="rId26" Type="http://schemas.openxmlformats.org/officeDocument/2006/relationships/hyperlink" Target="https://doi.org/10.1186/s12889-016-2720-y" TargetMode="External"/><Relationship Id="rId3" Type="http://schemas.openxmlformats.org/officeDocument/2006/relationships/styles" Target="styles.xml"/><Relationship Id="rId21" Type="http://schemas.openxmlformats.org/officeDocument/2006/relationships/hyperlink" Target="https://cran.r-project.org/package=Epi"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x.doi.org/10.4054/DemRes.2019.41.42" TargetMode="External"/><Relationship Id="rId25" Type="http://schemas.openxmlformats.org/officeDocument/2006/relationships/hyperlink" Target="https://doi.org/10.1186/s12874-020-0904-8"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02/sim.2764" TargetMode="External"/><Relationship Id="rId29" Type="http://schemas.openxmlformats.org/officeDocument/2006/relationships/hyperlink" Target="https://doi.org/10.1093/aje/kwu0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77/070674371005501002" TargetMode="External"/><Relationship Id="rId32" Type="http://schemas.openxmlformats.org/officeDocument/2006/relationships/hyperlink" Target="https://ggplot2.tidyverse.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77/070674371005501002" TargetMode="External"/><Relationship Id="rId28" Type="http://schemas.openxmlformats.org/officeDocument/2006/relationships/hyperlink" Target="https://doi.org/10.1177/096228029200100306"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andfonline.com/doi/abs/10.1080/13607860500294266" TargetMode="External"/><Relationship Id="rId31" Type="http://schemas.openxmlformats.org/officeDocument/2006/relationships/hyperlink" Target="https://doi.org/10.1016/j.socscimed.2010.03.0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cbi.nlm.nih.gov/pubmed/20964941" TargetMode="External"/><Relationship Id="rId27" Type="http://schemas.openxmlformats.org/officeDocument/2006/relationships/hyperlink" Target="https://doi.org/10.2307/2736356" TargetMode="External"/><Relationship Id="rId30" Type="http://schemas.openxmlformats.org/officeDocument/2006/relationships/hyperlink" Target="https://doi.org/10.1007/s10198-019-01081-y"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C72B9-9AEA-4E73-8397-BAEB1440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8435</Words>
  <Characters>46397</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otto</dc:creator>
  <cp:lastModifiedBy>Octavio Bramajo</cp:lastModifiedBy>
  <cp:revision>3</cp:revision>
  <cp:lastPrinted>2020-09-15T05:08:00Z</cp:lastPrinted>
  <dcterms:created xsi:type="dcterms:W3CDTF">2021-01-05T13:56:00Z</dcterms:created>
  <dcterms:modified xsi:type="dcterms:W3CDTF">2021-01-05T14:14:00Z</dcterms:modified>
</cp:coreProperties>
</file>