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7D5" w:rsidRPr="00831F0F" w:rsidRDefault="005827D5" w:rsidP="00E66AD4">
      <w:pPr>
        <w:rPr>
          <w:rFonts w:ascii="Times New Roman" w:hAnsi="Times New Roman"/>
          <w:sz w:val="28"/>
          <w:szCs w:val="28"/>
          <w:lang w:val="es-AR"/>
        </w:rPr>
      </w:pPr>
    </w:p>
    <w:p w:rsidR="00E66AD4" w:rsidRPr="00831F0F" w:rsidRDefault="005827D5" w:rsidP="00E66AD4">
      <w:pPr>
        <w:rPr>
          <w:rFonts w:ascii="Times New Roman" w:hAnsi="Times New Roman"/>
          <w:sz w:val="28"/>
          <w:szCs w:val="28"/>
          <w:lang w:val="es-AR"/>
        </w:rPr>
      </w:pPr>
      <w:r w:rsidRPr="00831F0F">
        <w:rPr>
          <w:rFonts w:ascii="Times New Roman" w:hAnsi="Times New Roman"/>
          <w:sz w:val="28"/>
          <w:szCs w:val="28"/>
          <w:u w:val="single"/>
          <w:lang w:val="es-AR"/>
        </w:rPr>
        <w:t>Título</w:t>
      </w:r>
      <w:r w:rsidRPr="00831F0F">
        <w:rPr>
          <w:rFonts w:ascii="Times New Roman" w:hAnsi="Times New Roman"/>
          <w:sz w:val="28"/>
          <w:szCs w:val="28"/>
          <w:lang w:val="es-AR"/>
        </w:rPr>
        <w:t>:</w:t>
      </w:r>
      <w:r w:rsidR="00E66AD4" w:rsidRPr="00831F0F">
        <w:rPr>
          <w:rFonts w:ascii="Times New Roman" w:hAnsi="Times New Roman"/>
          <w:sz w:val="28"/>
          <w:szCs w:val="28"/>
          <w:lang w:val="es-AR"/>
        </w:rPr>
        <w:t xml:space="preserve"> </w:t>
      </w:r>
      <w:r w:rsidR="00E66AD4" w:rsidRPr="00831F0F">
        <w:rPr>
          <w:rFonts w:ascii="Times New Roman" w:hAnsi="Times New Roman"/>
          <w:i/>
          <w:sz w:val="28"/>
          <w:szCs w:val="28"/>
          <w:lang w:val="es-AR"/>
        </w:rPr>
        <w:t>“</w:t>
      </w:r>
      <w:r w:rsidR="00700EAC">
        <w:rPr>
          <w:rFonts w:ascii="Times New Roman" w:hAnsi="Times New Roman"/>
          <w:i/>
          <w:sz w:val="28"/>
          <w:szCs w:val="28"/>
          <w:lang w:val="es-AR"/>
        </w:rPr>
        <w:t>Des</w:t>
      </w:r>
      <w:r w:rsidR="006110EA">
        <w:rPr>
          <w:rFonts w:ascii="Times New Roman" w:hAnsi="Times New Roman"/>
          <w:i/>
          <w:sz w:val="28"/>
          <w:szCs w:val="28"/>
          <w:lang w:val="es-AR"/>
        </w:rPr>
        <w:t>composición de efectos en la viudez en la mortalidad de</w:t>
      </w:r>
      <w:r w:rsidR="00E74844">
        <w:rPr>
          <w:rFonts w:ascii="Times New Roman" w:hAnsi="Times New Roman"/>
          <w:i/>
          <w:sz w:val="28"/>
          <w:szCs w:val="28"/>
          <w:lang w:val="es-AR"/>
        </w:rPr>
        <w:t xml:space="preserve"> adultos mayores de Argentina, </w:t>
      </w:r>
      <w:r w:rsidR="00AB094D">
        <w:rPr>
          <w:rFonts w:ascii="Times New Roman" w:hAnsi="Times New Roman"/>
          <w:i/>
          <w:sz w:val="28"/>
          <w:szCs w:val="28"/>
          <w:lang w:val="es-AR"/>
        </w:rPr>
        <w:t>2015-16</w:t>
      </w:r>
      <w:r w:rsidR="00E66AD4" w:rsidRPr="00831F0F">
        <w:rPr>
          <w:rFonts w:ascii="Times New Roman" w:hAnsi="Times New Roman"/>
          <w:i/>
          <w:sz w:val="28"/>
          <w:szCs w:val="28"/>
          <w:lang w:val="es-AR"/>
        </w:rPr>
        <w:t>”</w:t>
      </w:r>
      <w:r w:rsidR="00BC2A65">
        <w:rPr>
          <w:rStyle w:val="Refdenotaalpie"/>
          <w:rFonts w:ascii="Times New Roman" w:hAnsi="Times New Roman"/>
          <w:i/>
          <w:sz w:val="28"/>
          <w:szCs w:val="28"/>
          <w:lang w:val="es-AR"/>
        </w:rPr>
        <w:footnoteReference w:id="1"/>
      </w:r>
      <w:r w:rsidR="00432665">
        <w:rPr>
          <w:rFonts w:ascii="Times New Roman" w:hAnsi="Times New Roman"/>
          <w:i/>
          <w:sz w:val="28"/>
          <w:szCs w:val="28"/>
          <w:lang w:val="es-AR"/>
        </w:rPr>
        <w:t xml:space="preserve">/ “Decomposition of widowhood </w:t>
      </w:r>
      <w:r w:rsidR="00631CC3">
        <w:rPr>
          <w:rFonts w:ascii="Times New Roman" w:hAnsi="Times New Roman"/>
          <w:i/>
          <w:sz w:val="28"/>
          <w:szCs w:val="28"/>
          <w:lang w:val="es-AR"/>
        </w:rPr>
        <w:t>effects in old age mortality in Argentina,2015-16”</w:t>
      </w:r>
    </w:p>
    <w:p w:rsidR="00831F0F" w:rsidRPr="00831F0F" w:rsidRDefault="00831F0F" w:rsidP="00E66AD4">
      <w:pPr>
        <w:spacing w:line="360" w:lineRule="auto"/>
        <w:rPr>
          <w:rFonts w:ascii="Times New Roman" w:hAnsi="Times New Roman"/>
          <w:sz w:val="28"/>
          <w:szCs w:val="28"/>
          <w:u w:val="single"/>
          <w:lang w:val="es-AR"/>
        </w:rPr>
      </w:pPr>
    </w:p>
    <w:p w:rsidR="00E66AD4" w:rsidRPr="00831F0F" w:rsidRDefault="00AB094D" w:rsidP="00E66AD4">
      <w:pPr>
        <w:spacing w:line="360" w:lineRule="auto"/>
        <w:rPr>
          <w:rFonts w:ascii="Times New Roman" w:hAnsi="Times New Roman"/>
          <w:sz w:val="28"/>
          <w:szCs w:val="28"/>
          <w:lang w:val="es-AR"/>
        </w:rPr>
      </w:pPr>
      <w:r>
        <w:rPr>
          <w:rFonts w:ascii="Times New Roman" w:hAnsi="Times New Roman"/>
          <w:sz w:val="28"/>
          <w:szCs w:val="28"/>
          <w:u w:val="single"/>
          <w:lang w:val="es-AR"/>
        </w:rPr>
        <w:t>Autor</w:t>
      </w:r>
      <w:r w:rsidR="00D60022">
        <w:rPr>
          <w:rFonts w:ascii="Times New Roman" w:hAnsi="Times New Roman"/>
          <w:sz w:val="28"/>
          <w:szCs w:val="28"/>
          <w:lang w:val="es-AR"/>
        </w:rPr>
        <w:t>:</w:t>
      </w:r>
      <w:r w:rsidR="00766406">
        <w:rPr>
          <w:rFonts w:ascii="Times New Roman" w:hAnsi="Times New Roman"/>
          <w:sz w:val="28"/>
          <w:szCs w:val="28"/>
          <w:lang w:val="es-AR"/>
        </w:rPr>
        <w:t xml:space="preserve"> Octavio Nicola</w:t>
      </w:r>
      <w:r w:rsidR="00E66AD4" w:rsidRPr="00831F0F">
        <w:rPr>
          <w:rFonts w:ascii="Times New Roman" w:hAnsi="Times New Roman"/>
          <w:sz w:val="28"/>
          <w:szCs w:val="28"/>
          <w:lang w:val="es-AR"/>
        </w:rPr>
        <w:t>s Bramajo</w:t>
      </w:r>
      <w:r w:rsidR="008F7DA7">
        <w:rPr>
          <w:rStyle w:val="Refdenotaalpie"/>
          <w:rFonts w:ascii="Times New Roman" w:hAnsi="Times New Roman"/>
          <w:sz w:val="28"/>
          <w:szCs w:val="28"/>
          <w:lang w:val="es-AR"/>
        </w:rPr>
        <w:footnoteReference w:id="2"/>
      </w:r>
      <w:r w:rsidR="005827D5" w:rsidRPr="00831F0F">
        <w:rPr>
          <w:rFonts w:ascii="Times New Roman" w:hAnsi="Times New Roman"/>
          <w:sz w:val="28"/>
          <w:szCs w:val="28"/>
          <w:lang w:val="es-AR"/>
        </w:rPr>
        <w:t>.</w:t>
      </w:r>
    </w:p>
    <w:p w:rsidR="00D60022" w:rsidRPr="00831F0F" w:rsidRDefault="00D60022" w:rsidP="00E66AD4">
      <w:pPr>
        <w:spacing w:line="360" w:lineRule="auto"/>
        <w:rPr>
          <w:rFonts w:ascii="Times New Roman" w:hAnsi="Times New Roman"/>
          <w:sz w:val="28"/>
          <w:szCs w:val="28"/>
          <w:lang w:val="es-AR"/>
        </w:rPr>
      </w:pPr>
    </w:p>
    <w:p w:rsidR="00831F0F" w:rsidRDefault="00E66AD4" w:rsidP="00E66AD4">
      <w:pPr>
        <w:spacing w:line="360" w:lineRule="auto"/>
        <w:rPr>
          <w:rFonts w:ascii="Times New Roman" w:hAnsi="Times New Roman"/>
          <w:sz w:val="28"/>
          <w:szCs w:val="28"/>
          <w:lang w:val="es-AR"/>
        </w:rPr>
      </w:pPr>
      <w:r w:rsidRPr="00831F0F">
        <w:rPr>
          <w:rFonts w:ascii="Times New Roman" w:hAnsi="Times New Roman"/>
          <w:sz w:val="28"/>
          <w:szCs w:val="28"/>
          <w:u w:val="single"/>
          <w:lang w:val="es-AR"/>
        </w:rPr>
        <w:t>Fecha</w:t>
      </w:r>
      <w:r w:rsidR="007634CB">
        <w:rPr>
          <w:rFonts w:ascii="Times New Roman" w:hAnsi="Times New Roman"/>
          <w:sz w:val="28"/>
          <w:szCs w:val="28"/>
          <w:lang w:val="es-AR"/>
        </w:rPr>
        <w:t xml:space="preserve">: </w:t>
      </w:r>
      <w:r w:rsidR="00010047">
        <w:rPr>
          <w:rFonts w:ascii="Times New Roman" w:hAnsi="Times New Roman"/>
          <w:sz w:val="28"/>
          <w:szCs w:val="28"/>
          <w:lang w:val="es-AR"/>
        </w:rPr>
        <w:t>1</w:t>
      </w:r>
      <w:r w:rsidR="00576DA1">
        <w:rPr>
          <w:rFonts w:ascii="Times New Roman" w:hAnsi="Times New Roman"/>
          <w:sz w:val="28"/>
          <w:szCs w:val="28"/>
          <w:lang w:val="es-AR"/>
        </w:rPr>
        <w:t>9</w:t>
      </w:r>
      <w:r w:rsidRPr="00831F0F">
        <w:rPr>
          <w:rFonts w:ascii="Times New Roman" w:hAnsi="Times New Roman"/>
          <w:sz w:val="28"/>
          <w:szCs w:val="28"/>
          <w:lang w:val="es-AR"/>
        </w:rPr>
        <w:t>/0</w:t>
      </w:r>
      <w:r w:rsidR="0027797A">
        <w:rPr>
          <w:rFonts w:ascii="Times New Roman" w:hAnsi="Times New Roman"/>
          <w:sz w:val="28"/>
          <w:szCs w:val="28"/>
          <w:lang w:val="es-AR"/>
        </w:rPr>
        <w:t>6</w:t>
      </w:r>
      <w:r w:rsidRPr="00831F0F">
        <w:rPr>
          <w:rFonts w:ascii="Times New Roman" w:hAnsi="Times New Roman"/>
          <w:sz w:val="28"/>
          <w:szCs w:val="28"/>
          <w:lang w:val="es-AR"/>
        </w:rPr>
        <w:t>/20</w:t>
      </w:r>
      <w:r w:rsidR="0027797A">
        <w:rPr>
          <w:rFonts w:ascii="Times New Roman" w:hAnsi="Times New Roman"/>
          <w:sz w:val="28"/>
          <w:szCs w:val="28"/>
          <w:lang w:val="es-AR"/>
        </w:rPr>
        <w:t>20</w:t>
      </w:r>
    </w:p>
    <w:p w:rsidR="0041467F" w:rsidRDefault="0041467F" w:rsidP="00E66AD4">
      <w:pPr>
        <w:spacing w:line="360" w:lineRule="auto"/>
        <w:rPr>
          <w:rFonts w:ascii="Times New Roman" w:hAnsi="Times New Roman"/>
          <w:sz w:val="28"/>
          <w:szCs w:val="28"/>
          <w:lang w:val="es-AR"/>
        </w:rPr>
      </w:pPr>
    </w:p>
    <w:p w:rsidR="0041467F" w:rsidRDefault="0041467F" w:rsidP="0041467F">
      <w:pPr>
        <w:rPr>
          <w:color w:val="222222"/>
          <w:lang w:val="es-AR"/>
        </w:rPr>
      </w:pPr>
      <w:r w:rsidRPr="003E7FFD">
        <w:rPr>
          <w:b/>
          <w:color w:val="222222"/>
          <w:u w:val="single"/>
          <w:lang w:val="es-AR"/>
        </w:rPr>
        <w:t>Palabras Clave</w:t>
      </w:r>
      <w:r w:rsidRPr="00EE1384">
        <w:rPr>
          <w:b/>
          <w:color w:val="222222"/>
          <w:lang w:val="es-AR"/>
        </w:rPr>
        <w:t>:</w:t>
      </w:r>
      <w:r w:rsidRPr="00EE1384">
        <w:rPr>
          <w:color w:val="222222"/>
          <w:lang w:val="es-AR"/>
        </w:rPr>
        <w:t xml:space="preserve"> mortalidad</w:t>
      </w:r>
      <w:r>
        <w:rPr>
          <w:color w:val="222222"/>
          <w:lang w:val="es-AR"/>
        </w:rPr>
        <w:t xml:space="preserve">, </w:t>
      </w:r>
      <w:r w:rsidR="00432665">
        <w:rPr>
          <w:color w:val="222222"/>
          <w:lang w:val="es-AR"/>
        </w:rPr>
        <w:t>viudez</w:t>
      </w:r>
      <w:r w:rsidRPr="00EE1384">
        <w:rPr>
          <w:color w:val="222222"/>
          <w:lang w:val="es-AR"/>
        </w:rPr>
        <w:t xml:space="preserve">, </w:t>
      </w:r>
      <w:r w:rsidR="00432665">
        <w:rPr>
          <w:color w:val="222222"/>
          <w:lang w:val="es-AR"/>
        </w:rPr>
        <w:t>longevidad</w:t>
      </w:r>
      <w:r w:rsidRPr="00EE1384">
        <w:rPr>
          <w:color w:val="222222"/>
          <w:lang w:val="es-AR"/>
        </w:rPr>
        <w:t xml:space="preserve">, </w:t>
      </w:r>
      <w:r w:rsidR="00432665">
        <w:rPr>
          <w:color w:val="222222"/>
          <w:lang w:val="es-AR"/>
        </w:rPr>
        <w:t>tablas de vida, conceptos matemáticos</w:t>
      </w:r>
      <w:r>
        <w:rPr>
          <w:color w:val="222222"/>
          <w:lang w:val="es-AR"/>
        </w:rPr>
        <w:t>.</w:t>
      </w:r>
    </w:p>
    <w:p w:rsidR="0041467F" w:rsidRDefault="0041467F" w:rsidP="0041467F">
      <w:pPr>
        <w:rPr>
          <w:color w:val="222222"/>
          <w:lang w:val="en-US"/>
        </w:rPr>
      </w:pPr>
      <w:r w:rsidRPr="004013F5">
        <w:rPr>
          <w:b/>
          <w:color w:val="222222"/>
          <w:u w:val="single"/>
          <w:lang w:val="en-US"/>
        </w:rPr>
        <w:t>Keywords</w:t>
      </w:r>
      <w:r w:rsidRPr="004013F5">
        <w:rPr>
          <w:b/>
          <w:color w:val="222222"/>
          <w:lang w:val="en-US"/>
        </w:rPr>
        <w:t>:</w:t>
      </w:r>
      <w:r w:rsidR="00432665">
        <w:rPr>
          <w:color w:val="222222"/>
          <w:lang w:val="en-US"/>
        </w:rPr>
        <w:t xml:space="preserve"> mortality, widowhood, longevity</w:t>
      </w:r>
      <w:r w:rsidRPr="004013F5">
        <w:rPr>
          <w:color w:val="222222"/>
          <w:lang w:val="en-US"/>
        </w:rPr>
        <w:t xml:space="preserve">, </w:t>
      </w:r>
      <w:r w:rsidR="00432665">
        <w:rPr>
          <w:color w:val="222222"/>
          <w:lang w:val="en-US"/>
        </w:rPr>
        <w:t>life tables, mathematical concepts</w:t>
      </w:r>
      <w:r w:rsidRPr="004013F5">
        <w:rPr>
          <w:color w:val="222222"/>
          <w:lang w:val="en-US"/>
        </w:rPr>
        <w:t>.</w:t>
      </w:r>
    </w:p>
    <w:p w:rsidR="0041467F" w:rsidRPr="0041467F" w:rsidRDefault="0041467F" w:rsidP="00E66AD4">
      <w:pPr>
        <w:spacing w:line="360" w:lineRule="auto"/>
        <w:rPr>
          <w:lang w:val="en-US"/>
        </w:rPr>
      </w:pPr>
    </w:p>
    <w:p w:rsidR="00BE5535" w:rsidRPr="0041467F" w:rsidRDefault="00BE5535" w:rsidP="00831F0F">
      <w:pPr>
        <w:jc w:val="center"/>
        <w:rPr>
          <w:lang w:val="en-US"/>
        </w:rPr>
      </w:pPr>
    </w:p>
    <w:p w:rsidR="00831F0F" w:rsidRPr="0041467F" w:rsidRDefault="00831F0F">
      <w:pPr>
        <w:rPr>
          <w:lang w:val="en-US"/>
        </w:rPr>
      </w:pPr>
      <w:r w:rsidRPr="0041467F">
        <w:rPr>
          <w:lang w:val="en-US"/>
        </w:rPr>
        <w:br w:type="page"/>
      </w:r>
    </w:p>
    <w:p w:rsidR="00BE5535" w:rsidRPr="00010047" w:rsidRDefault="004C2660" w:rsidP="00010047">
      <w:pPr>
        <w:spacing w:line="360" w:lineRule="auto"/>
        <w:jc w:val="center"/>
        <w:rPr>
          <w:b/>
          <w:u w:val="single"/>
          <w:lang w:val="es-AR"/>
        </w:rPr>
      </w:pPr>
      <w:r w:rsidRPr="00010047">
        <w:rPr>
          <w:rFonts w:ascii="Times New Roman" w:hAnsi="Times New Roman"/>
          <w:b/>
          <w:sz w:val="24"/>
          <w:szCs w:val="24"/>
          <w:u w:val="single"/>
          <w:lang w:val="es-AR"/>
        </w:rPr>
        <w:lastRenderedPageBreak/>
        <w:t>Resumen</w:t>
      </w:r>
      <w:r w:rsidR="00700EAC">
        <w:rPr>
          <w:rFonts w:ascii="Times New Roman" w:hAnsi="Times New Roman"/>
          <w:b/>
          <w:sz w:val="24"/>
          <w:szCs w:val="24"/>
          <w:u w:val="single"/>
          <w:lang w:val="es-AR"/>
        </w:rPr>
        <w:t>/Abstract</w:t>
      </w:r>
      <w:r w:rsidRPr="00010047">
        <w:rPr>
          <w:b/>
          <w:u w:val="single"/>
          <w:lang w:val="es-AR"/>
        </w:rPr>
        <w:t>:</w:t>
      </w:r>
    </w:p>
    <w:p w:rsidR="003F15FF" w:rsidRDefault="003F15FF" w:rsidP="00AB094D">
      <w:pPr>
        <w:spacing w:line="360" w:lineRule="auto"/>
        <w:ind w:firstLine="360"/>
        <w:rPr>
          <w:rFonts w:ascii="Times New Roman" w:hAnsi="Times New Roman"/>
          <w:sz w:val="24"/>
          <w:szCs w:val="24"/>
          <w:lang w:val="es-AR"/>
        </w:rPr>
      </w:pPr>
    </w:p>
    <w:p w:rsidR="006252EB" w:rsidRDefault="003F15FF" w:rsidP="00AB094D">
      <w:pPr>
        <w:spacing w:line="360" w:lineRule="auto"/>
        <w:ind w:firstLine="360"/>
        <w:rPr>
          <w:rFonts w:ascii="Times New Roman" w:hAnsi="Times New Roman"/>
          <w:sz w:val="24"/>
          <w:szCs w:val="24"/>
          <w:lang w:val="es-AR"/>
        </w:rPr>
      </w:pPr>
      <w:r>
        <w:rPr>
          <w:rFonts w:ascii="Times New Roman" w:hAnsi="Times New Roman"/>
          <w:sz w:val="24"/>
          <w:szCs w:val="24"/>
          <w:lang w:val="es-AR"/>
        </w:rPr>
        <w:t>Objetivo:</w:t>
      </w:r>
      <w:r w:rsidR="00AB094D">
        <w:rPr>
          <w:rFonts w:ascii="Times New Roman" w:hAnsi="Times New Roman"/>
          <w:sz w:val="24"/>
          <w:szCs w:val="24"/>
          <w:lang w:val="es-AR"/>
        </w:rPr>
        <w:t xml:space="preserve">   </w:t>
      </w:r>
      <w:r w:rsidR="009577EB">
        <w:rPr>
          <w:rFonts w:ascii="Times New Roman" w:hAnsi="Times New Roman"/>
          <w:sz w:val="24"/>
          <w:szCs w:val="24"/>
          <w:lang w:val="es-AR"/>
        </w:rPr>
        <w:t>Este trabajo analizó y describió</w:t>
      </w:r>
      <w:r w:rsidR="0001189A" w:rsidRPr="00A8066C">
        <w:rPr>
          <w:rFonts w:ascii="Times New Roman" w:hAnsi="Times New Roman"/>
          <w:sz w:val="24"/>
          <w:szCs w:val="24"/>
          <w:lang w:val="es-AR"/>
        </w:rPr>
        <w:t xml:space="preserve"> la mortalidad</w:t>
      </w:r>
      <w:r w:rsidR="0001189A">
        <w:rPr>
          <w:rFonts w:ascii="Times New Roman" w:hAnsi="Times New Roman"/>
          <w:sz w:val="24"/>
          <w:szCs w:val="24"/>
          <w:lang w:val="es-AR"/>
        </w:rPr>
        <w:t xml:space="preserve"> diferencial</w:t>
      </w:r>
      <w:r w:rsidR="0001189A" w:rsidRPr="00A8066C">
        <w:rPr>
          <w:rFonts w:ascii="Times New Roman" w:hAnsi="Times New Roman"/>
          <w:sz w:val="24"/>
          <w:szCs w:val="24"/>
          <w:lang w:val="es-AR"/>
        </w:rPr>
        <w:t xml:space="preserve"> de los adultos mayores</w:t>
      </w:r>
      <w:r w:rsidR="007344E5">
        <w:rPr>
          <w:rFonts w:ascii="Times New Roman" w:hAnsi="Times New Roman"/>
          <w:sz w:val="24"/>
          <w:szCs w:val="24"/>
          <w:lang w:val="es-AR"/>
        </w:rPr>
        <w:t xml:space="preserve"> </w:t>
      </w:r>
      <w:r w:rsidR="006252EB">
        <w:rPr>
          <w:rFonts w:ascii="Times New Roman" w:hAnsi="Times New Roman"/>
          <w:sz w:val="24"/>
          <w:szCs w:val="24"/>
          <w:lang w:val="es-AR"/>
        </w:rPr>
        <w:t>de 65 años durante e</w:t>
      </w:r>
      <w:r w:rsidR="0001189A" w:rsidRPr="00A8066C">
        <w:rPr>
          <w:rFonts w:ascii="Times New Roman" w:hAnsi="Times New Roman"/>
          <w:sz w:val="24"/>
          <w:szCs w:val="24"/>
          <w:lang w:val="es-AR"/>
        </w:rPr>
        <w:t>l período 2015-2016 (de Ju</w:t>
      </w:r>
      <w:r w:rsidR="00C6564C">
        <w:rPr>
          <w:rFonts w:ascii="Times New Roman" w:hAnsi="Times New Roman"/>
          <w:sz w:val="24"/>
          <w:szCs w:val="24"/>
          <w:lang w:val="es-AR"/>
        </w:rPr>
        <w:t>lio a Junio del año siguiente)</w:t>
      </w:r>
      <w:r w:rsidR="006252EB">
        <w:rPr>
          <w:rFonts w:ascii="Times New Roman" w:hAnsi="Times New Roman"/>
          <w:sz w:val="24"/>
          <w:szCs w:val="24"/>
          <w:lang w:val="es-AR"/>
        </w:rPr>
        <w:t>, y particularmente buscando diferenciales</w:t>
      </w:r>
      <w:r w:rsidR="00AB094D">
        <w:rPr>
          <w:rFonts w:ascii="Times New Roman" w:hAnsi="Times New Roman"/>
          <w:sz w:val="24"/>
          <w:szCs w:val="24"/>
          <w:lang w:val="es-AR"/>
        </w:rPr>
        <w:t xml:space="preserve"> en el riesgo</w:t>
      </w:r>
      <w:r w:rsidR="006252EB">
        <w:rPr>
          <w:rFonts w:ascii="Times New Roman" w:hAnsi="Times New Roman"/>
          <w:sz w:val="24"/>
          <w:szCs w:val="24"/>
          <w:lang w:val="es-AR"/>
        </w:rPr>
        <w:t xml:space="preserve"> entre </w:t>
      </w:r>
      <w:r w:rsidR="00AB094D">
        <w:rPr>
          <w:rFonts w:ascii="Times New Roman" w:hAnsi="Times New Roman"/>
          <w:sz w:val="24"/>
          <w:szCs w:val="24"/>
          <w:lang w:val="es-AR"/>
        </w:rPr>
        <w:t>aquellos individuos que perdieron a su pareja</w:t>
      </w:r>
      <w:r w:rsidR="000D6E0B">
        <w:rPr>
          <w:rFonts w:ascii="Times New Roman" w:hAnsi="Times New Roman"/>
          <w:sz w:val="24"/>
          <w:szCs w:val="24"/>
          <w:lang w:val="es-AR"/>
        </w:rPr>
        <w:t xml:space="preserve"> (viudos y viudas)</w:t>
      </w:r>
      <w:r w:rsidR="009577EB">
        <w:rPr>
          <w:rFonts w:ascii="Times New Roman" w:hAnsi="Times New Roman"/>
          <w:sz w:val="24"/>
          <w:szCs w:val="24"/>
          <w:lang w:val="es-AR"/>
        </w:rPr>
        <w:t xml:space="preserve"> en Argentina</w:t>
      </w:r>
      <w:r w:rsidR="00AB094D">
        <w:rPr>
          <w:rFonts w:ascii="Times New Roman" w:hAnsi="Times New Roman"/>
          <w:sz w:val="24"/>
          <w:szCs w:val="24"/>
          <w:lang w:val="es-AR"/>
        </w:rPr>
        <w:t>.</w:t>
      </w:r>
    </w:p>
    <w:p w:rsidR="003F15FF" w:rsidRDefault="003F15FF" w:rsidP="003F15FF">
      <w:pPr>
        <w:spacing w:line="360" w:lineRule="auto"/>
        <w:ind w:firstLine="360"/>
        <w:rPr>
          <w:rFonts w:ascii="Times New Roman" w:hAnsi="Times New Roman"/>
          <w:sz w:val="24"/>
          <w:szCs w:val="24"/>
          <w:lang w:val="es-AR"/>
        </w:rPr>
      </w:pPr>
      <w:r>
        <w:rPr>
          <w:rFonts w:ascii="Times New Roman" w:hAnsi="Times New Roman"/>
          <w:sz w:val="24"/>
          <w:szCs w:val="24"/>
          <w:lang w:val="es-AR"/>
        </w:rPr>
        <w:t xml:space="preserve">Métodos: </w:t>
      </w:r>
      <w:r w:rsidR="0001189A" w:rsidRPr="00A8066C">
        <w:rPr>
          <w:rFonts w:ascii="Times New Roman" w:hAnsi="Times New Roman"/>
          <w:sz w:val="24"/>
          <w:szCs w:val="24"/>
        </w:rPr>
        <w:t>Para ello se</w:t>
      </w:r>
      <w:r w:rsidR="00696DB3">
        <w:rPr>
          <w:rFonts w:ascii="Times New Roman" w:hAnsi="Times New Roman"/>
          <w:sz w:val="24"/>
          <w:szCs w:val="24"/>
        </w:rPr>
        <w:t xml:space="preserve"> emplea</w:t>
      </w:r>
      <w:r w:rsidR="00700EAC">
        <w:rPr>
          <w:rFonts w:ascii="Times New Roman" w:hAnsi="Times New Roman"/>
          <w:sz w:val="24"/>
          <w:szCs w:val="24"/>
        </w:rPr>
        <w:t>ron</w:t>
      </w:r>
      <w:r w:rsidR="00A1248C">
        <w:rPr>
          <w:rFonts w:ascii="Times New Roman" w:hAnsi="Times New Roman"/>
          <w:sz w:val="24"/>
          <w:szCs w:val="24"/>
        </w:rPr>
        <w:t xml:space="preserve"> fuentes de datos</w:t>
      </w:r>
      <w:r w:rsidR="0001189A" w:rsidRPr="00A8066C">
        <w:rPr>
          <w:rFonts w:ascii="Times New Roman" w:hAnsi="Times New Roman"/>
          <w:sz w:val="24"/>
          <w:szCs w:val="24"/>
        </w:rPr>
        <w:t xml:space="preserve"> inusuales para los estudios demográficos</w:t>
      </w:r>
      <w:r w:rsidR="00AB094D">
        <w:rPr>
          <w:rFonts w:ascii="Times New Roman" w:hAnsi="Times New Roman"/>
          <w:sz w:val="24"/>
          <w:szCs w:val="24"/>
        </w:rPr>
        <w:t xml:space="preserve"> y epidemiológicos</w:t>
      </w:r>
      <w:r w:rsidR="0001189A" w:rsidRPr="00A8066C">
        <w:rPr>
          <w:rFonts w:ascii="Times New Roman" w:hAnsi="Times New Roman"/>
          <w:sz w:val="24"/>
          <w:szCs w:val="24"/>
        </w:rPr>
        <w:t xml:space="preserve">: registros administrativos </w:t>
      </w:r>
      <w:r w:rsidR="0001189A">
        <w:rPr>
          <w:rFonts w:ascii="Times New Roman" w:hAnsi="Times New Roman"/>
          <w:sz w:val="24"/>
          <w:szCs w:val="24"/>
        </w:rPr>
        <w:t xml:space="preserve">compilados en una base de datos individuales </w:t>
      </w:r>
      <w:r w:rsidR="0001189A" w:rsidRPr="00A8066C">
        <w:rPr>
          <w:rFonts w:ascii="Times New Roman" w:hAnsi="Times New Roman"/>
          <w:sz w:val="24"/>
          <w:szCs w:val="24"/>
        </w:rPr>
        <w:t>de la Administración Nacional de la Seguridad Social (ANSES)</w:t>
      </w:r>
      <w:r w:rsidR="0001189A">
        <w:rPr>
          <w:rFonts w:ascii="Times New Roman" w:hAnsi="Times New Roman"/>
          <w:sz w:val="24"/>
          <w:szCs w:val="24"/>
          <w:lang w:val="es-AR"/>
        </w:rPr>
        <w:t>. Con este</w:t>
      </w:r>
      <w:r w:rsidR="00700EAC">
        <w:rPr>
          <w:rFonts w:ascii="Times New Roman" w:hAnsi="Times New Roman"/>
          <w:sz w:val="24"/>
          <w:szCs w:val="24"/>
          <w:lang w:val="es-AR"/>
        </w:rPr>
        <w:t xml:space="preserve"> instrumento, se pretendió</w:t>
      </w:r>
      <w:r w:rsidR="0001189A" w:rsidRPr="00A8066C">
        <w:rPr>
          <w:rFonts w:ascii="Times New Roman" w:hAnsi="Times New Roman"/>
          <w:sz w:val="24"/>
          <w:szCs w:val="24"/>
          <w:lang w:val="es-AR"/>
        </w:rPr>
        <w:t xml:space="preserve"> observar los diferenciales de mortalidad por sexo, edad y distintos tipos de prestación previsional entre los mayores de 65 </w:t>
      </w:r>
      <w:r w:rsidR="009577EB">
        <w:rPr>
          <w:rFonts w:ascii="Times New Roman" w:hAnsi="Times New Roman"/>
          <w:sz w:val="24"/>
          <w:szCs w:val="24"/>
          <w:lang w:val="es-AR"/>
        </w:rPr>
        <w:t>años</w:t>
      </w:r>
      <w:r w:rsidR="0001189A" w:rsidRPr="00A8066C">
        <w:rPr>
          <w:rFonts w:ascii="Times New Roman" w:hAnsi="Times New Roman"/>
          <w:sz w:val="24"/>
          <w:szCs w:val="24"/>
          <w:lang w:val="es-AR"/>
        </w:rPr>
        <w:t>.</w:t>
      </w:r>
      <w:r>
        <w:rPr>
          <w:rFonts w:ascii="Times New Roman" w:hAnsi="Times New Roman"/>
          <w:sz w:val="24"/>
          <w:szCs w:val="24"/>
          <w:lang w:val="es-AR"/>
        </w:rPr>
        <w:t xml:space="preserve"> </w:t>
      </w:r>
      <w:r w:rsidR="00700EAC">
        <w:rPr>
          <w:rFonts w:ascii="Times New Roman" w:hAnsi="Times New Roman"/>
          <w:sz w:val="24"/>
          <w:szCs w:val="24"/>
          <w:lang w:val="es-AR"/>
        </w:rPr>
        <w:t xml:space="preserve">Se realizaron </w:t>
      </w:r>
      <w:r w:rsidR="009577EB">
        <w:rPr>
          <w:rFonts w:ascii="Times New Roman" w:hAnsi="Times New Roman"/>
          <w:sz w:val="24"/>
          <w:szCs w:val="24"/>
          <w:lang w:val="es-AR"/>
        </w:rPr>
        <w:t>comparaciones entre tres</w:t>
      </w:r>
      <w:r w:rsidR="00700EAC">
        <w:rPr>
          <w:rFonts w:ascii="Times New Roman" w:hAnsi="Times New Roman"/>
          <w:sz w:val="24"/>
          <w:szCs w:val="24"/>
          <w:lang w:val="es-AR"/>
        </w:rPr>
        <w:t xml:space="preserve"> grupo</w:t>
      </w:r>
      <w:r w:rsidR="009577EB">
        <w:rPr>
          <w:rFonts w:ascii="Times New Roman" w:hAnsi="Times New Roman"/>
          <w:sz w:val="24"/>
          <w:szCs w:val="24"/>
          <w:lang w:val="es-AR"/>
        </w:rPr>
        <w:t>s</w:t>
      </w:r>
      <w:r w:rsidR="00700EAC">
        <w:rPr>
          <w:rFonts w:ascii="Times New Roman" w:hAnsi="Times New Roman"/>
          <w:sz w:val="24"/>
          <w:szCs w:val="24"/>
          <w:lang w:val="es-AR"/>
        </w:rPr>
        <w:t>: l</w:t>
      </w:r>
      <w:r w:rsidR="0027797A">
        <w:rPr>
          <w:rFonts w:ascii="Times New Roman" w:hAnsi="Times New Roman"/>
          <w:sz w:val="24"/>
          <w:szCs w:val="24"/>
          <w:lang w:val="es-AR"/>
        </w:rPr>
        <w:t>os que</w:t>
      </w:r>
      <w:r w:rsidR="00700EAC">
        <w:rPr>
          <w:rFonts w:ascii="Times New Roman" w:hAnsi="Times New Roman"/>
          <w:sz w:val="24"/>
          <w:szCs w:val="24"/>
          <w:lang w:val="es-AR"/>
        </w:rPr>
        <w:t xml:space="preserve"> perdieron a su pareja (y perciben pensiones por viudez) y quienes no lo han hecho (</w:t>
      </w:r>
      <w:r w:rsidR="009577EB">
        <w:rPr>
          <w:rFonts w:ascii="Times New Roman" w:hAnsi="Times New Roman"/>
          <w:sz w:val="24"/>
          <w:szCs w:val="24"/>
          <w:lang w:val="es-AR"/>
        </w:rPr>
        <w:t xml:space="preserve">dos grupos de </w:t>
      </w:r>
      <w:r w:rsidR="00700EAC">
        <w:rPr>
          <w:rFonts w:ascii="Times New Roman" w:hAnsi="Times New Roman"/>
          <w:sz w:val="24"/>
          <w:szCs w:val="24"/>
          <w:lang w:val="es-AR"/>
        </w:rPr>
        <w:t>b</w:t>
      </w:r>
      <w:r w:rsidR="0027797A">
        <w:rPr>
          <w:rFonts w:ascii="Times New Roman" w:hAnsi="Times New Roman"/>
          <w:sz w:val="24"/>
          <w:szCs w:val="24"/>
          <w:lang w:val="es-AR"/>
        </w:rPr>
        <w:t>enefici</w:t>
      </w:r>
      <w:r w:rsidR="00700EAC">
        <w:rPr>
          <w:rFonts w:ascii="Times New Roman" w:hAnsi="Times New Roman"/>
          <w:sz w:val="24"/>
          <w:szCs w:val="24"/>
          <w:lang w:val="es-AR"/>
        </w:rPr>
        <w:t>arios de</w:t>
      </w:r>
      <w:r w:rsidR="009577EB">
        <w:rPr>
          <w:rFonts w:ascii="Times New Roman" w:hAnsi="Times New Roman"/>
          <w:sz w:val="24"/>
          <w:szCs w:val="24"/>
          <w:lang w:val="es-AR"/>
        </w:rPr>
        <w:t xml:space="preserve"> otras</w:t>
      </w:r>
      <w:r w:rsidR="00700EAC">
        <w:rPr>
          <w:rFonts w:ascii="Times New Roman" w:hAnsi="Times New Roman"/>
          <w:sz w:val="24"/>
          <w:szCs w:val="24"/>
          <w:lang w:val="es-AR"/>
        </w:rPr>
        <w:t xml:space="preserve"> prestaciones</w:t>
      </w:r>
      <w:r w:rsidR="000D6E0B">
        <w:rPr>
          <w:rFonts w:ascii="Times New Roman" w:hAnsi="Times New Roman"/>
          <w:sz w:val="24"/>
          <w:szCs w:val="24"/>
          <w:lang w:val="es-AR"/>
        </w:rPr>
        <w:t>).</w:t>
      </w:r>
      <w:r w:rsidR="0027797A">
        <w:rPr>
          <w:rFonts w:ascii="Times New Roman" w:hAnsi="Times New Roman"/>
          <w:sz w:val="24"/>
          <w:szCs w:val="24"/>
          <w:lang w:val="es-AR"/>
        </w:rPr>
        <w:t xml:space="preserve"> </w:t>
      </w:r>
    </w:p>
    <w:p w:rsidR="00AB094D" w:rsidRDefault="003F15FF" w:rsidP="003F15FF">
      <w:pPr>
        <w:spacing w:line="360" w:lineRule="auto"/>
        <w:ind w:firstLine="360"/>
        <w:rPr>
          <w:rFonts w:ascii="Times New Roman" w:hAnsi="Times New Roman"/>
          <w:sz w:val="24"/>
          <w:szCs w:val="24"/>
          <w:lang w:val="es-AR"/>
        </w:rPr>
      </w:pPr>
      <w:r>
        <w:rPr>
          <w:rFonts w:ascii="Times New Roman" w:hAnsi="Times New Roman"/>
          <w:sz w:val="24"/>
          <w:szCs w:val="24"/>
          <w:lang w:val="es-AR"/>
        </w:rPr>
        <w:t>Resultado:</w:t>
      </w:r>
      <w:r w:rsidR="00700EAC">
        <w:rPr>
          <w:rFonts w:ascii="Times New Roman" w:hAnsi="Times New Roman"/>
          <w:sz w:val="24"/>
          <w:szCs w:val="24"/>
          <w:lang w:val="es-AR"/>
        </w:rPr>
        <w:t xml:space="preserve"> Dadas las estructuras disimiles por edad presentes en los grupos, se aplicó una serie de métodos </w:t>
      </w:r>
      <w:r w:rsidR="00766406">
        <w:rPr>
          <w:rFonts w:ascii="Times New Roman" w:hAnsi="Times New Roman"/>
          <w:sz w:val="24"/>
          <w:szCs w:val="24"/>
          <w:lang w:val="es-AR"/>
        </w:rPr>
        <w:t>que intentaron</w:t>
      </w:r>
      <w:r w:rsidR="00700EAC">
        <w:rPr>
          <w:rFonts w:ascii="Times New Roman" w:hAnsi="Times New Roman"/>
          <w:sz w:val="24"/>
          <w:szCs w:val="24"/>
          <w:lang w:val="es-AR"/>
        </w:rPr>
        <w:t xml:space="preserve"> descomponer y controlar los efectos de la estructura por edad a nivel agregado (método directo de estandarización, descomposición de Kitagawa, tabla de </w:t>
      </w:r>
      <w:r w:rsidR="00D60022">
        <w:rPr>
          <w:rFonts w:ascii="Times New Roman" w:hAnsi="Times New Roman"/>
          <w:sz w:val="24"/>
          <w:szCs w:val="24"/>
          <w:lang w:val="es-AR"/>
        </w:rPr>
        <w:t>vida</w:t>
      </w:r>
      <w:r w:rsidR="00700EAC">
        <w:rPr>
          <w:rFonts w:ascii="Times New Roman" w:hAnsi="Times New Roman"/>
          <w:sz w:val="24"/>
          <w:szCs w:val="24"/>
          <w:lang w:val="es-AR"/>
        </w:rPr>
        <w:t>).</w:t>
      </w:r>
      <w:r w:rsidR="00471F2D">
        <w:rPr>
          <w:rFonts w:ascii="Times New Roman" w:hAnsi="Times New Roman"/>
          <w:sz w:val="24"/>
          <w:szCs w:val="24"/>
          <w:lang w:val="es-AR"/>
        </w:rPr>
        <w:t xml:space="preserve"> </w:t>
      </w:r>
      <w:r w:rsidR="00700EAC">
        <w:rPr>
          <w:rFonts w:ascii="Times New Roman" w:hAnsi="Times New Roman"/>
          <w:sz w:val="24"/>
          <w:szCs w:val="24"/>
          <w:lang w:val="es-AR"/>
        </w:rPr>
        <w:t>S</w:t>
      </w:r>
      <w:r w:rsidR="008D1841">
        <w:rPr>
          <w:rFonts w:ascii="Times New Roman" w:hAnsi="Times New Roman"/>
          <w:sz w:val="24"/>
          <w:szCs w:val="24"/>
          <w:lang w:val="es-AR"/>
        </w:rPr>
        <w:t>e obt</w:t>
      </w:r>
      <w:r w:rsidR="00A1248C">
        <w:rPr>
          <w:rFonts w:ascii="Times New Roman" w:hAnsi="Times New Roman"/>
          <w:sz w:val="24"/>
          <w:szCs w:val="24"/>
          <w:lang w:val="es-AR"/>
        </w:rPr>
        <w:t>uvo</w:t>
      </w:r>
      <w:r w:rsidR="008D1841">
        <w:rPr>
          <w:rFonts w:ascii="Times New Roman" w:hAnsi="Times New Roman"/>
          <w:sz w:val="24"/>
          <w:szCs w:val="24"/>
          <w:lang w:val="es-AR"/>
        </w:rPr>
        <w:t xml:space="preserve"> que </w:t>
      </w:r>
      <w:r w:rsidR="009577EB">
        <w:rPr>
          <w:rFonts w:ascii="Times New Roman" w:hAnsi="Times New Roman"/>
          <w:sz w:val="24"/>
          <w:szCs w:val="24"/>
          <w:lang w:val="es-AR"/>
        </w:rPr>
        <w:t>quienes percibían</w:t>
      </w:r>
      <w:r w:rsidR="00A1248C">
        <w:rPr>
          <w:rFonts w:ascii="Times New Roman" w:hAnsi="Times New Roman"/>
          <w:sz w:val="24"/>
          <w:szCs w:val="24"/>
          <w:lang w:val="es-AR"/>
        </w:rPr>
        <w:t xml:space="preserve"> pensiones por viudez </w:t>
      </w:r>
      <w:r w:rsidR="009577EB">
        <w:rPr>
          <w:rFonts w:ascii="Times New Roman" w:hAnsi="Times New Roman"/>
          <w:sz w:val="24"/>
          <w:szCs w:val="24"/>
          <w:lang w:val="es-AR"/>
        </w:rPr>
        <w:t>presentan</w:t>
      </w:r>
      <w:r>
        <w:rPr>
          <w:rFonts w:ascii="Times New Roman" w:hAnsi="Times New Roman"/>
          <w:sz w:val="24"/>
          <w:szCs w:val="24"/>
          <w:lang w:val="es-AR"/>
        </w:rPr>
        <w:t xml:space="preserve"> un</w:t>
      </w:r>
      <w:r w:rsidR="00AB094D">
        <w:rPr>
          <w:rFonts w:ascii="Times New Roman" w:hAnsi="Times New Roman"/>
          <w:sz w:val="24"/>
          <w:szCs w:val="24"/>
          <w:lang w:val="es-AR"/>
        </w:rPr>
        <w:t xml:space="preserve"> riesgo de muerte</w:t>
      </w:r>
      <w:r w:rsidR="00A1248C">
        <w:rPr>
          <w:rFonts w:ascii="Times New Roman" w:hAnsi="Times New Roman"/>
          <w:sz w:val="24"/>
          <w:szCs w:val="24"/>
          <w:lang w:val="es-AR"/>
        </w:rPr>
        <w:t xml:space="preserve"> mayor que en el resto de la población de beneficiarios</w:t>
      </w:r>
      <w:r w:rsidR="00432665">
        <w:rPr>
          <w:rFonts w:ascii="Times New Roman" w:hAnsi="Times New Roman"/>
          <w:sz w:val="24"/>
          <w:szCs w:val="24"/>
          <w:lang w:val="es-AR"/>
        </w:rPr>
        <w:t>, menor esperanza de vida y</w:t>
      </w:r>
      <w:r w:rsidR="009577EB">
        <w:rPr>
          <w:rFonts w:ascii="Times New Roman" w:hAnsi="Times New Roman"/>
          <w:sz w:val="24"/>
          <w:szCs w:val="24"/>
          <w:lang w:val="es-AR"/>
        </w:rPr>
        <w:t xml:space="preserve"> mayor incertidumbre en el tiempo vivido</w:t>
      </w:r>
      <w:r w:rsidR="00700EAC">
        <w:rPr>
          <w:rFonts w:ascii="Times New Roman" w:hAnsi="Times New Roman"/>
          <w:sz w:val="24"/>
          <w:szCs w:val="24"/>
          <w:lang w:val="es-AR"/>
        </w:rPr>
        <w:t xml:space="preserve">. </w:t>
      </w:r>
      <w:r w:rsidR="00A1248C">
        <w:rPr>
          <w:rFonts w:ascii="Times New Roman" w:hAnsi="Times New Roman"/>
          <w:sz w:val="24"/>
          <w:szCs w:val="24"/>
          <w:lang w:val="es-AR"/>
        </w:rPr>
        <w:t>Estos resultados son más amplios para los varones que para las mujeres.</w:t>
      </w:r>
    </w:p>
    <w:p w:rsidR="0027797A" w:rsidRPr="00A1248C" w:rsidRDefault="00A1248C" w:rsidP="00A1248C">
      <w:pPr>
        <w:spacing w:line="360" w:lineRule="auto"/>
        <w:ind w:firstLine="360"/>
        <w:rPr>
          <w:rFonts w:ascii="Times" w:hAnsi="Times" w:cs="Helvetica"/>
          <w:color w:val="333333"/>
          <w:sz w:val="24"/>
          <w:szCs w:val="24"/>
          <w:shd w:val="clear" w:color="auto" w:fill="FFFFFF"/>
          <w:lang w:val="es-AR"/>
        </w:rPr>
      </w:pPr>
      <w:r>
        <w:rPr>
          <w:rFonts w:ascii="Times New Roman" w:hAnsi="Times New Roman"/>
          <w:sz w:val="24"/>
          <w:szCs w:val="24"/>
          <w:lang w:val="es-AR"/>
        </w:rPr>
        <w:t xml:space="preserve">Conclusión: </w:t>
      </w:r>
      <w:r w:rsidR="00AB094D">
        <w:rPr>
          <w:rFonts w:ascii="Times New Roman" w:hAnsi="Times New Roman"/>
          <w:sz w:val="24"/>
          <w:szCs w:val="24"/>
          <w:lang w:val="es-AR"/>
        </w:rPr>
        <w:t>Este estudio, pese a ciertas limitaciones, permite estimar por primera vez en Argentina</w:t>
      </w:r>
      <w:r w:rsidR="000D6E0B">
        <w:rPr>
          <w:rFonts w:ascii="Times New Roman" w:hAnsi="Times New Roman"/>
          <w:sz w:val="24"/>
          <w:szCs w:val="24"/>
          <w:lang w:val="es-AR"/>
        </w:rPr>
        <w:t xml:space="preserve"> </w:t>
      </w:r>
      <w:r w:rsidR="00AB094D">
        <w:rPr>
          <w:rFonts w:ascii="Times New Roman" w:hAnsi="Times New Roman"/>
          <w:sz w:val="24"/>
          <w:szCs w:val="24"/>
          <w:lang w:val="es-AR"/>
        </w:rPr>
        <w:t xml:space="preserve">los riesgos </w:t>
      </w:r>
      <w:r w:rsidR="000D6E0B">
        <w:rPr>
          <w:rFonts w:ascii="Times New Roman" w:hAnsi="Times New Roman"/>
          <w:sz w:val="24"/>
          <w:szCs w:val="24"/>
          <w:lang w:val="es-AR"/>
        </w:rPr>
        <w:t>diferenciales entre los adultos mayores</w:t>
      </w:r>
      <w:r w:rsidR="00432665">
        <w:rPr>
          <w:rFonts w:ascii="Times New Roman" w:hAnsi="Times New Roman"/>
          <w:sz w:val="24"/>
          <w:szCs w:val="24"/>
          <w:lang w:val="es-AR"/>
        </w:rPr>
        <w:t xml:space="preserve"> que perdieron a su cónyuge</w:t>
      </w:r>
      <w:r w:rsidR="00AB094D">
        <w:rPr>
          <w:rFonts w:ascii="Times New Roman" w:hAnsi="Times New Roman"/>
          <w:sz w:val="24"/>
          <w:szCs w:val="24"/>
          <w:lang w:val="es-AR"/>
        </w:rPr>
        <w:t>.</w:t>
      </w:r>
      <w:r>
        <w:rPr>
          <w:rFonts w:ascii="Times New Roman" w:hAnsi="Times New Roman"/>
          <w:sz w:val="24"/>
          <w:szCs w:val="24"/>
          <w:lang w:val="es-AR"/>
        </w:rPr>
        <w:t xml:space="preserve"> </w:t>
      </w:r>
    </w:p>
    <w:p w:rsidR="0027797A" w:rsidRPr="00A1248C" w:rsidRDefault="0027797A" w:rsidP="0027797A">
      <w:pPr>
        <w:rPr>
          <w:rFonts w:ascii="Times New Roman" w:hAnsi="Times New Roman"/>
          <w:b/>
          <w:sz w:val="24"/>
          <w:szCs w:val="24"/>
          <w:u w:val="single"/>
          <w:lang w:val="es-AR"/>
        </w:rPr>
      </w:pPr>
      <w:r w:rsidRPr="00A1248C">
        <w:rPr>
          <w:rFonts w:ascii="Times New Roman" w:hAnsi="Times New Roman"/>
          <w:b/>
          <w:sz w:val="24"/>
          <w:szCs w:val="24"/>
          <w:u w:val="single"/>
          <w:lang w:val="es-AR"/>
        </w:rPr>
        <w:br w:type="page"/>
      </w:r>
    </w:p>
    <w:p w:rsidR="00471F2D" w:rsidRPr="00A1248C" w:rsidRDefault="00471F2D" w:rsidP="00F74813">
      <w:pPr>
        <w:spacing w:line="360" w:lineRule="auto"/>
        <w:ind w:firstLine="708"/>
        <w:rPr>
          <w:rFonts w:ascii="Times New Roman" w:hAnsi="Times New Roman"/>
          <w:sz w:val="24"/>
          <w:szCs w:val="24"/>
          <w:lang w:val="es-AR"/>
        </w:rPr>
      </w:pPr>
    </w:p>
    <w:p w:rsidR="00E66AD4" w:rsidRPr="00DF5585" w:rsidRDefault="00E66AD4" w:rsidP="00010047">
      <w:pPr>
        <w:numPr>
          <w:ilvl w:val="0"/>
          <w:numId w:val="1"/>
        </w:numPr>
        <w:spacing w:after="0" w:line="480" w:lineRule="auto"/>
        <w:rPr>
          <w:rFonts w:ascii="Times New Roman" w:hAnsi="Times New Roman"/>
          <w:b/>
          <w:sz w:val="24"/>
          <w:szCs w:val="24"/>
          <w:u w:val="single"/>
          <w:lang w:val="es-AR"/>
        </w:rPr>
      </w:pPr>
      <w:r w:rsidRPr="00DF5585">
        <w:rPr>
          <w:rFonts w:ascii="Times New Roman" w:hAnsi="Times New Roman"/>
          <w:b/>
          <w:sz w:val="24"/>
          <w:szCs w:val="24"/>
          <w:u w:val="single"/>
          <w:lang w:val="es-AR"/>
        </w:rPr>
        <w:t>Introducción:</w:t>
      </w:r>
    </w:p>
    <w:p w:rsidR="0071092E" w:rsidRPr="00A105D2" w:rsidRDefault="0071092E" w:rsidP="00443741">
      <w:pPr>
        <w:spacing w:line="360" w:lineRule="auto"/>
        <w:ind w:firstLine="708"/>
        <w:rPr>
          <w:rFonts w:ascii="Times New Roman" w:hAnsi="Times New Roman"/>
          <w:color w:val="000000"/>
          <w:sz w:val="24"/>
          <w:szCs w:val="24"/>
          <w:shd w:val="clear" w:color="auto" w:fill="FFFFFF"/>
        </w:rPr>
      </w:pPr>
      <w:r w:rsidRPr="00A105D2">
        <w:rPr>
          <w:rFonts w:ascii="Times New Roman" w:hAnsi="Times New Roman"/>
          <w:sz w:val="24"/>
          <w:szCs w:val="24"/>
        </w:rPr>
        <w:t>El envejecimiento poblacional probablemente sea el fenómeno demográfico más importante y problemático del Siglo XXI</w:t>
      </w:r>
      <w:r w:rsidR="00700EAC">
        <w:rPr>
          <w:rFonts w:ascii="Times New Roman" w:hAnsi="Times New Roman"/>
          <w:sz w:val="24"/>
          <w:szCs w:val="24"/>
        </w:rPr>
        <w:t xml:space="preserve">. </w:t>
      </w:r>
      <w:r w:rsidRPr="00A105D2">
        <w:rPr>
          <w:rFonts w:ascii="Times New Roman" w:hAnsi="Times New Roman"/>
          <w:sz w:val="24"/>
          <w:szCs w:val="24"/>
        </w:rPr>
        <w:t>Sin embargo, en la dinámica demográfica, aún persisten ciertas diferencias en el tiempo que v</w:t>
      </w:r>
      <w:r w:rsidR="0041467F">
        <w:rPr>
          <w:rFonts w:ascii="Times New Roman" w:hAnsi="Times New Roman"/>
          <w:sz w:val="24"/>
          <w:szCs w:val="24"/>
        </w:rPr>
        <w:t>iven las personas, de diferente edad, sexo y clase social (1</w:t>
      </w:r>
      <w:r w:rsidR="00A27B24">
        <w:rPr>
          <w:rFonts w:ascii="Times New Roman" w:hAnsi="Times New Roman"/>
          <w:sz w:val="24"/>
          <w:szCs w:val="24"/>
        </w:rPr>
        <w:t>,2</w:t>
      </w:r>
      <w:r w:rsidR="0041467F">
        <w:rPr>
          <w:rFonts w:ascii="Times New Roman" w:hAnsi="Times New Roman"/>
          <w:sz w:val="24"/>
          <w:szCs w:val="24"/>
        </w:rPr>
        <w:t>)</w:t>
      </w:r>
      <w:r w:rsidRPr="00A105D2">
        <w:rPr>
          <w:rFonts w:ascii="Times New Roman" w:hAnsi="Times New Roman"/>
          <w:sz w:val="24"/>
          <w:szCs w:val="24"/>
        </w:rPr>
        <w:t>.</w:t>
      </w:r>
      <w:r w:rsidR="0041467F">
        <w:rPr>
          <w:rFonts w:ascii="Times New Roman" w:hAnsi="Times New Roman"/>
          <w:sz w:val="24"/>
          <w:szCs w:val="24"/>
        </w:rPr>
        <w:t xml:space="preserve"> N</w:t>
      </w:r>
      <w:r w:rsidR="0027797A">
        <w:rPr>
          <w:rFonts w:ascii="Times New Roman" w:hAnsi="Times New Roman"/>
          <w:color w:val="000000"/>
          <w:sz w:val="24"/>
          <w:szCs w:val="24"/>
          <w:shd w:val="clear" w:color="auto" w:fill="FFFFFF"/>
        </w:rPr>
        <w:t>o todos los individuos en una población</w:t>
      </w:r>
      <w:r w:rsidR="0041467F">
        <w:rPr>
          <w:rFonts w:ascii="Times New Roman" w:hAnsi="Times New Roman"/>
          <w:color w:val="000000"/>
          <w:sz w:val="24"/>
          <w:szCs w:val="24"/>
          <w:shd w:val="clear" w:color="auto" w:fill="FFFFFF"/>
        </w:rPr>
        <w:t xml:space="preserve"> en particular</w:t>
      </w:r>
      <w:r w:rsidR="0027797A">
        <w:rPr>
          <w:rFonts w:ascii="Times New Roman" w:hAnsi="Times New Roman"/>
          <w:color w:val="000000"/>
          <w:sz w:val="24"/>
          <w:szCs w:val="24"/>
          <w:shd w:val="clear" w:color="auto" w:fill="FFFFFF"/>
        </w:rPr>
        <w:t xml:space="preserve"> poseen el mismo riesgo</w:t>
      </w:r>
      <w:r w:rsidR="0041467F">
        <w:rPr>
          <w:rFonts w:ascii="Times New Roman" w:hAnsi="Times New Roman"/>
          <w:color w:val="000000"/>
          <w:sz w:val="24"/>
          <w:szCs w:val="24"/>
          <w:shd w:val="clear" w:color="auto" w:fill="FFFFFF"/>
        </w:rPr>
        <w:t>, es decir, son más frágiles que otros (</w:t>
      </w:r>
      <w:r w:rsidR="00A27B24">
        <w:rPr>
          <w:rFonts w:ascii="Times New Roman" w:hAnsi="Times New Roman"/>
          <w:color w:val="000000"/>
          <w:sz w:val="24"/>
          <w:szCs w:val="24"/>
          <w:shd w:val="clear" w:color="auto" w:fill="FFFFFF"/>
        </w:rPr>
        <w:t>3</w:t>
      </w:r>
      <w:r w:rsidR="0041467F">
        <w:rPr>
          <w:rFonts w:ascii="Times New Roman" w:hAnsi="Times New Roman"/>
          <w:color w:val="000000"/>
          <w:sz w:val="24"/>
          <w:szCs w:val="24"/>
          <w:shd w:val="clear" w:color="auto" w:fill="FFFFFF"/>
        </w:rPr>
        <w:t>).</w:t>
      </w:r>
      <w:r w:rsidR="0027797A">
        <w:rPr>
          <w:rFonts w:ascii="Times New Roman" w:hAnsi="Times New Roman"/>
          <w:color w:val="000000"/>
          <w:sz w:val="24"/>
          <w:szCs w:val="24"/>
          <w:shd w:val="clear" w:color="auto" w:fill="FFFFFF"/>
        </w:rPr>
        <w:t xml:space="preserve"> Considerando la</w:t>
      </w:r>
      <w:r w:rsidR="00526072">
        <w:rPr>
          <w:rFonts w:ascii="Times New Roman" w:hAnsi="Times New Roman"/>
          <w:color w:val="000000"/>
          <w:sz w:val="24"/>
          <w:szCs w:val="24"/>
          <w:shd w:val="clear" w:color="auto" w:fill="FFFFFF"/>
        </w:rPr>
        <w:t xml:space="preserve"> pandemia causada por e</w:t>
      </w:r>
      <w:r w:rsidR="0027797A">
        <w:rPr>
          <w:rFonts w:ascii="Times New Roman" w:hAnsi="Times New Roman"/>
          <w:color w:val="000000"/>
          <w:sz w:val="24"/>
          <w:szCs w:val="24"/>
          <w:shd w:val="clear" w:color="auto" w:fill="FFFFFF"/>
        </w:rPr>
        <w:t xml:space="preserve">l </w:t>
      </w:r>
      <w:r w:rsidR="008C1EEC">
        <w:rPr>
          <w:rFonts w:ascii="Times New Roman" w:hAnsi="Times New Roman"/>
          <w:color w:val="000000"/>
          <w:sz w:val="24"/>
          <w:szCs w:val="24"/>
          <w:shd w:val="clear" w:color="auto" w:fill="FFFFFF"/>
        </w:rPr>
        <w:t xml:space="preserve">virus </w:t>
      </w:r>
      <w:r w:rsidR="0027797A">
        <w:rPr>
          <w:rFonts w:ascii="Times New Roman" w:hAnsi="Times New Roman"/>
          <w:color w:val="000000"/>
          <w:sz w:val="24"/>
          <w:szCs w:val="24"/>
          <w:shd w:val="clear" w:color="auto" w:fill="FFFFFF"/>
        </w:rPr>
        <w:t>Covid-19</w:t>
      </w:r>
      <w:r w:rsidR="0041467F">
        <w:rPr>
          <w:rFonts w:ascii="Times New Roman" w:hAnsi="Times New Roman"/>
          <w:color w:val="000000"/>
          <w:sz w:val="24"/>
          <w:szCs w:val="24"/>
          <w:shd w:val="clear" w:color="auto" w:fill="FFFFFF"/>
        </w:rPr>
        <w:t xml:space="preserve"> (y en términos </w:t>
      </w:r>
      <w:r w:rsidR="00631CC3">
        <w:rPr>
          <w:rFonts w:ascii="Times New Roman" w:hAnsi="Times New Roman"/>
          <w:color w:val="000000"/>
          <w:sz w:val="24"/>
          <w:szCs w:val="24"/>
          <w:shd w:val="clear" w:color="auto" w:fill="FFFFFF"/>
        </w:rPr>
        <w:t>de</w:t>
      </w:r>
      <w:r w:rsidR="0041467F">
        <w:rPr>
          <w:rFonts w:ascii="Times New Roman" w:hAnsi="Times New Roman"/>
          <w:color w:val="000000"/>
          <w:sz w:val="24"/>
          <w:szCs w:val="24"/>
          <w:shd w:val="clear" w:color="auto" w:fill="FFFFFF"/>
        </w:rPr>
        <w:t xml:space="preserve"> salud pública</w:t>
      </w:r>
      <w:r w:rsidR="00631CC3">
        <w:rPr>
          <w:rFonts w:ascii="Times New Roman" w:hAnsi="Times New Roman"/>
          <w:color w:val="000000"/>
          <w:sz w:val="24"/>
          <w:szCs w:val="24"/>
          <w:shd w:val="clear" w:color="auto" w:fill="FFFFFF"/>
        </w:rPr>
        <w:t xml:space="preserve"> en general</w:t>
      </w:r>
      <w:r w:rsidR="0041467F">
        <w:rPr>
          <w:rFonts w:ascii="Times New Roman" w:hAnsi="Times New Roman"/>
          <w:color w:val="000000"/>
          <w:sz w:val="24"/>
          <w:szCs w:val="24"/>
          <w:shd w:val="clear" w:color="auto" w:fill="FFFFFF"/>
        </w:rPr>
        <w:t>)</w:t>
      </w:r>
      <w:r w:rsidR="0027797A">
        <w:rPr>
          <w:rFonts w:ascii="Times New Roman" w:hAnsi="Times New Roman"/>
          <w:color w:val="000000"/>
          <w:sz w:val="24"/>
          <w:szCs w:val="24"/>
          <w:shd w:val="clear" w:color="auto" w:fill="FFFFFF"/>
        </w:rPr>
        <w:t>, adquiere</w:t>
      </w:r>
      <w:r w:rsidR="00526072">
        <w:rPr>
          <w:rFonts w:ascii="Times New Roman" w:hAnsi="Times New Roman"/>
          <w:color w:val="000000"/>
          <w:sz w:val="24"/>
          <w:szCs w:val="24"/>
          <w:shd w:val="clear" w:color="auto" w:fill="FFFFFF"/>
        </w:rPr>
        <w:t xml:space="preserve"> sumo</w:t>
      </w:r>
      <w:r w:rsidR="0027797A">
        <w:rPr>
          <w:rFonts w:ascii="Times New Roman" w:hAnsi="Times New Roman"/>
          <w:color w:val="000000"/>
          <w:sz w:val="24"/>
          <w:szCs w:val="24"/>
          <w:shd w:val="clear" w:color="auto" w:fill="FFFFFF"/>
        </w:rPr>
        <w:t xml:space="preserve"> interés</w:t>
      </w:r>
      <w:r w:rsidR="00526072">
        <w:rPr>
          <w:rFonts w:ascii="Times New Roman" w:hAnsi="Times New Roman"/>
          <w:color w:val="000000"/>
          <w:sz w:val="24"/>
          <w:szCs w:val="24"/>
          <w:shd w:val="clear" w:color="auto" w:fill="FFFFFF"/>
        </w:rPr>
        <w:t xml:space="preserve"> el poder</w:t>
      </w:r>
      <w:r w:rsidR="0027797A">
        <w:rPr>
          <w:rFonts w:ascii="Times New Roman" w:hAnsi="Times New Roman"/>
          <w:color w:val="000000"/>
          <w:sz w:val="24"/>
          <w:szCs w:val="24"/>
          <w:shd w:val="clear" w:color="auto" w:fill="FFFFFF"/>
        </w:rPr>
        <w:t xml:space="preserve"> identificar grupos con una mayor fragilidad</w:t>
      </w:r>
      <w:r w:rsidR="00526072">
        <w:rPr>
          <w:rFonts w:ascii="Times New Roman" w:hAnsi="Times New Roman"/>
          <w:color w:val="000000"/>
          <w:sz w:val="24"/>
          <w:szCs w:val="24"/>
          <w:shd w:val="clear" w:color="auto" w:fill="FFFFFF"/>
        </w:rPr>
        <w:t xml:space="preserve"> dentro de una población que ya es considerada como particularmente vulnerable a la enfermedad</w:t>
      </w:r>
      <w:r w:rsidR="00A27B24">
        <w:rPr>
          <w:rFonts w:ascii="Times New Roman" w:hAnsi="Times New Roman"/>
          <w:color w:val="000000"/>
          <w:sz w:val="24"/>
          <w:szCs w:val="24"/>
          <w:shd w:val="clear" w:color="auto" w:fill="FFFFFF"/>
        </w:rPr>
        <w:t xml:space="preserve"> (4</w:t>
      </w:r>
      <w:r w:rsidR="002726C1">
        <w:rPr>
          <w:rFonts w:ascii="Times New Roman" w:hAnsi="Times New Roman"/>
          <w:color w:val="000000"/>
          <w:sz w:val="24"/>
          <w:szCs w:val="24"/>
          <w:shd w:val="clear" w:color="auto" w:fill="FFFFFF"/>
        </w:rPr>
        <w:t>,5</w:t>
      </w:r>
      <w:r w:rsidR="00531CBA">
        <w:rPr>
          <w:rFonts w:ascii="Times New Roman" w:hAnsi="Times New Roman"/>
          <w:color w:val="000000"/>
          <w:sz w:val="24"/>
          <w:szCs w:val="24"/>
          <w:shd w:val="clear" w:color="auto" w:fill="FFFFFF"/>
        </w:rPr>
        <w:t>,6</w:t>
      </w:r>
      <w:r w:rsidR="00A27B24">
        <w:rPr>
          <w:rFonts w:ascii="Times New Roman" w:hAnsi="Times New Roman"/>
          <w:color w:val="000000"/>
          <w:sz w:val="24"/>
          <w:szCs w:val="24"/>
          <w:shd w:val="clear" w:color="auto" w:fill="FFFFFF"/>
        </w:rPr>
        <w:t>)</w:t>
      </w:r>
      <w:r w:rsidR="0041467F">
        <w:rPr>
          <w:rFonts w:ascii="Times New Roman" w:hAnsi="Times New Roman"/>
          <w:color w:val="000000"/>
          <w:sz w:val="24"/>
          <w:szCs w:val="24"/>
          <w:shd w:val="clear" w:color="auto" w:fill="FFFFFF"/>
        </w:rPr>
        <w:t xml:space="preserve">. </w:t>
      </w:r>
    </w:p>
    <w:p w:rsidR="00E66AD4" w:rsidRDefault="0041467F" w:rsidP="00443741">
      <w:pPr>
        <w:spacing w:line="360" w:lineRule="auto"/>
        <w:ind w:firstLine="708"/>
        <w:rPr>
          <w:rFonts w:ascii="Times New Roman" w:hAnsi="Times New Roman"/>
          <w:sz w:val="24"/>
          <w:szCs w:val="24"/>
          <w:lang w:val="es-AR"/>
        </w:rPr>
      </w:pPr>
      <w:r>
        <w:rPr>
          <w:rFonts w:ascii="Times New Roman" w:hAnsi="Times New Roman"/>
          <w:sz w:val="24"/>
          <w:szCs w:val="24"/>
        </w:rPr>
        <w:t>Se debe aclarar que e</w:t>
      </w:r>
      <w:r w:rsidR="00BC2A65">
        <w:rPr>
          <w:rFonts w:ascii="Times New Roman" w:hAnsi="Times New Roman"/>
          <w:sz w:val="24"/>
          <w:szCs w:val="24"/>
          <w:lang w:val="es-AR"/>
        </w:rPr>
        <w:t>l objetivo de este trabajo</w:t>
      </w:r>
      <w:r>
        <w:rPr>
          <w:rFonts w:ascii="Times New Roman" w:hAnsi="Times New Roman"/>
          <w:sz w:val="24"/>
          <w:szCs w:val="24"/>
          <w:lang w:val="es-AR"/>
        </w:rPr>
        <w:t xml:space="preserve"> precede a la pandemia actual. El mismo</w:t>
      </w:r>
      <w:r w:rsidR="00BC2A65">
        <w:rPr>
          <w:rFonts w:ascii="Times New Roman" w:hAnsi="Times New Roman"/>
          <w:sz w:val="24"/>
          <w:szCs w:val="24"/>
          <w:lang w:val="es-AR"/>
        </w:rPr>
        <w:t xml:space="preserve"> </w:t>
      </w:r>
      <w:r w:rsidR="00526072">
        <w:rPr>
          <w:rFonts w:ascii="Times New Roman" w:hAnsi="Times New Roman"/>
          <w:sz w:val="24"/>
          <w:szCs w:val="24"/>
          <w:lang w:val="es-AR"/>
        </w:rPr>
        <w:t>ha sido</w:t>
      </w:r>
      <w:r w:rsidR="00BC2A65">
        <w:rPr>
          <w:rFonts w:ascii="Times New Roman" w:hAnsi="Times New Roman"/>
          <w:sz w:val="24"/>
          <w:szCs w:val="24"/>
          <w:lang w:val="es-AR"/>
        </w:rPr>
        <w:t xml:space="preserve"> </w:t>
      </w:r>
      <w:r w:rsidR="00526072">
        <w:rPr>
          <w:rFonts w:ascii="Times New Roman" w:hAnsi="Times New Roman"/>
          <w:sz w:val="24"/>
          <w:szCs w:val="24"/>
          <w:lang w:val="es-AR"/>
        </w:rPr>
        <w:t>eminentemente descriptivo y se propuso analizar</w:t>
      </w:r>
      <w:r w:rsidR="00E66AD4" w:rsidRPr="00A8066C">
        <w:rPr>
          <w:rFonts w:ascii="Times New Roman" w:hAnsi="Times New Roman"/>
          <w:sz w:val="24"/>
          <w:szCs w:val="24"/>
          <w:lang w:val="es-AR"/>
        </w:rPr>
        <w:t xml:space="preserve"> la mortalidad</w:t>
      </w:r>
      <w:r w:rsidR="00054CDB">
        <w:rPr>
          <w:rFonts w:ascii="Times New Roman" w:hAnsi="Times New Roman"/>
          <w:sz w:val="24"/>
          <w:szCs w:val="24"/>
          <w:lang w:val="es-AR"/>
        </w:rPr>
        <w:t xml:space="preserve"> diferencial</w:t>
      </w:r>
      <w:r w:rsidR="00E66AD4" w:rsidRPr="00A8066C">
        <w:rPr>
          <w:rFonts w:ascii="Times New Roman" w:hAnsi="Times New Roman"/>
          <w:sz w:val="24"/>
          <w:szCs w:val="24"/>
          <w:lang w:val="es-AR"/>
        </w:rPr>
        <w:t xml:space="preserve"> de los adultos mayores</w:t>
      </w:r>
      <w:r w:rsidR="000F11F8">
        <w:rPr>
          <w:rFonts w:ascii="Times New Roman" w:hAnsi="Times New Roman"/>
          <w:sz w:val="24"/>
          <w:szCs w:val="24"/>
          <w:lang w:val="es-AR"/>
        </w:rPr>
        <w:t xml:space="preserve"> de 65 años </w:t>
      </w:r>
      <w:r w:rsidR="00E66AD4" w:rsidRPr="00A8066C">
        <w:rPr>
          <w:rFonts w:ascii="Times New Roman" w:hAnsi="Times New Roman"/>
          <w:sz w:val="24"/>
          <w:szCs w:val="24"/>
          <w:lang w:val="es-AR"/>
        </w:rPr>
        <w:t>para el período 2015-2016 (de Ju</w:t>
      </w:r>
      <w:r w:rsidR="00C6564C">
        <w:rPr>
          <w:rFonts w:ascii="Times New Roman" w:hAnsi="Times New Roman"/>
          <w:sz w:val="24"/>
          <w:szCs w:val="24"/>
          <w:lang w:val="es-AR"/>
        </w:rPr>
        <w:t xml:space="preserve">lio a Junio del año siguiente) </w:t>
      </w:r>
      <w:r w:rsidR="000F11F8">
        <w:rPr>
          <w:rFonts w:ascii="Times New Roman" w:hAnsi="Times New Roman"/>
          <w:sz w:val="24"/>
          <w:szCs w:val="24"/>
          <w:lang w:val="es-AR"/>
        </w:rPr>
        <w:t>utilizando el tipo de prestación como un indicador de la viudez de las personas.</w:t>
      </w:r>
      <w:r w:rsidR="00E66AD4" w:rsidRPr="00A8066C">
        <w:rPr>
          <w:rFonts w:ascii="Times New Roman" w:hAnsi="Times New Roman"/>
          <w:sz w:val="24"/>
          <w:szCs w:val="24"/>
          <w:lang w:val="es-AR"/>
        </w:rPr>
        <w:t xml:space="preserve"> </w:t>
      </w:r>
      <w:r w:rsidR="00E66AD4" w:rsidRPr="00A8066C">
        <w:rPr>
          <w:rFonts w:ascii="Times New Roman" w:hAnsi="Times New Roman"/>
          <w:sz w:val="24"/>
          <w:szCs w:val="24"/>
        </w:rPr>
        <w:t>Para ello se</w:t>
      </w:r>
      <w:r w:rsidR="00A8417B">
        <w:rPr>
          <w:rFonts w:ascii="Times New Roman" w:hAnsi="Times New Roman"/>
          <w:sz w:val="24"/>
          <w:szCs w:val="24"/>
        </w:rPr>
        <w:t xml:space="preserve"> utilizar</w:t>
      </w:r>
      <w:r w:rsidR="00526072">
        <w:rPr>
          <w:rFonts w:ascii="Times New Roman" w:hAnsi="Times New Roman"/>
          <w:sz w:val="24"/>
          <w:szCs w:val="24"/>
        </w:rPr>
        <w:t>on</w:t>
      </w:r>
      <w:r w:rsidR="00E66AD4" w:rsidRPr="00A8066C">
        <w:rPr>
          <w:rFonts w:ascii="Times New Roman" w:hAnsi="Times New Roman"/>
          <w:sz w:val="24"/>
          <w:szCs w:val="24"/>
        </w:rPr>
        <w:t xml:space="preserve"> fuentes de datos también inusuales para los estudios demográficos</w:t>
      </w:r>
      <w:r w:rsidR="000F11F8">
        <w:rPr>
          <w:rFonts w:ascii="Times New Roman" w:hAnsi="Times New Roman"/>
          <w:sz w:val="24"/>
          <w:szCs w:val="24"/>
        </w:rPr>
        <w:t xml:space="preserve"> y epidemiológicos</w:t>
      </w:r>
      <w:r w:rsidR="00E66AD4" w:rsidRPr="00A8066C">
        <w:rPr>
          <w:rFonts w:ascii="Times New Roman" w:hAnsi="Times New Roman"/>
          <w:sz w:val="24"/>
          <w:szCs w:val="24"/>
        </w:rPr>
        <w:t xml:space="preserve">: registros administrativos </w:t>
      </w:r>
      <w:r w:rsidR="000F11F8">
        <w:rPr>
          <w:rFonts w:ascii="Times New Roman" w:hAnsi="Times New Roman"/>
          <w:sz w:val="24"/>
          <w:szCs w:val="24"/>
        </w:rPr>
        <w:t>provistos por la</w:t>
      </w:r>
      <w:r w:rsidR="00E66AD4" w:rsidRPr="00A8066C">
        <w:rPr>
          <w:rFonts w:ascii="Times New Roman" w:hAnsi="Times New Roman"/>
          <w:sz w:val="24"/>
          <w:szCs w:val="24"/>
        </w:rPr>
        <w:t xml:space="preserve"> Administración Nacional de la Seguridad Social (ANSES)</w:t>
      </w:r>
      <w:r w:rsidR="00054CDB">
        <w:rPr>
          <w:rFonts w:ascii="Times New Roman" w:hAnsi="Times New Roman"/>
          <w:sz w:val="24"/>
          <w:szCs w:val="24"/>
          <w:lang w:val="es-AR"/>
        </w:rPr>
        <w:t>. Con este</w:t>
      </w:r>
      <w:r w:rsidR="00526072">
        <w:rPr>
          <w:rFonts w:ascii="Times New Roman" w:hAnsi="Times New Roman"/>
          <w:sz w:val="24"/>
          <w:szCs w:val="24"/>
          <w:lang w:val="es-AR"/>
        </w:rPr>
        <w:t xml:space="preserve"> instrumento, se </w:t>
      </w:r>
      <w:r w:rsidR="00E66AD4" w:rsidRPr="00A8066C">
        <w:rPr>
          <w:rFonts w:ascii="Times New Roman" w:hAnsi="Times New Roman"/>
          <w:sz w:val="24"/>
          <w:szCs w:val="24"/>
          <w:lang w:val="es-AR"/>
        </w:rPr>
        <w:t xml:space="preserve"> observar</w:t>
      </w:r>
      <w:r w:rsidR="00526072">
        <w:rPr>
          <w:rFonts w:ascii="Times New Roman" w:hAnsi="Times New Roman"/>
          <w:sz w:val="24"/>
          <w:szCs w:val="24"/>
          <w:lang w:val="es-AR"/>
        </w:rPr>
        <w:t>on</w:t>
      </w:r>
      <w:r w:rsidR="00E66AD4" w:rsidRPr="00A8066C">
        <w:rPr>
          <w:rFonts w:ascii="Times New Roman" w:hAnsi="Times New Roman"/>
          <w:sz w:val="24"/>
          <w:szCs w:val="24"/>
          <w:lang w:val="es-AR"/>
        </w:rPr>
        <w:t xml:space="preserve"> los diferenciales de mortalidad por sexo, edad y tipo de prestación entre los mayores de 65 años de Argentina.</w:t>
      </w:r>
    </w:p>
    <w:p w:rsidR="000F11F8" w:rsidRDefault="000F11F8" w:rsidP="000F11F8">
      <w:pPr>
        <w:spacing w:line="360" w:lineRule="auto"/>
        <w:ind w:firstLine="708"/>
        <w:rPr>
          <w:rFonts w:ascii="Times New Roman" w:hAnsi="Times New Roman"/>
          <w:sz w:val="24"/>
          <w:szCs w:val="24"/>
          <w:lang w:val="es-AR"/>
        </w:rPr>
      </w:pPr>
      <w:r w:rsidRPr="000F11F8">
        <w:rPr>
          <w:rFonts w:ascii="Times New Roman" w:hAnsi="Times New Roman"/>
          <w:sz w:val="24"/>
          <w:szCs w:val="24"/>
          <w:lang w:val="es-AR"/>
        </w:rPr>
        <w:t>Si bien la seguridad s</w:t>
      </w:r>
      <w:r>
        <w:rPr>
          <w:rFonts w:ascii="Times New Roman" w:hAnsi="Times New Roman"/>
          <w:sz w:val="24"/>
          <w:szCs w:val="24"/>
          <w:lang w:val="es-AR"/>
        </w:rPr>
        <w:t>ocial</w:t>
      </w:r>
      <w:r w:rsidR="00526072">
        <w:rPr>
          <w:rFonts w:ascii="Times New Roman" w:hAnsi="Times New Roman"/>
          <w:sz w:val="24"/>
          <w:szCs w:val="24"/>
          <w:lang w:val="es-AR"/>
        </w:rPr>
        <w:t xml:space="preserve"> en Argentina se engloba en</w:t>
      </w:r>
      <w:r w:rsidR="00A1248C">
        <w:rPr>
          <w:rFonts w:ascii="Times New Roman" w:hAnsi="Times New Roman"/>
          <w:sz w:val="24"/>
          <w:szCs w:val="24"/>
          <w:lang w:val="es-AR"/>
        </w:rPr>
        <w:t xml:space="preserve"> sistema complejo</w:t>
      </w:r>
      <w:r>
        <w:rPr>
          <w:rFonts w:ascii="Times New Roman" w:hAnsi="Times New Roman"/>
          <w:sz w:val="24"/>
          <w:szCs w:val="24"/>
          <w:lang w:val="es-AR"/>
        </w:rPr>
        <w:t xml:space="preserve"> y presenta varios subsistemas, es posible identificar tres grandes grupos (entre otras caracterizaciones posibles) de beneficiarios en el sistema de jubil</w:t>
      </w:r>
      <w:r w:rsidR="00526072">
        <w:rPr>
          <w:rFonts w:ascii="Times New Roman" w:hAnsi="Times New Roman"/>
          <w:sz w:val="24"/>
          <w:szCs w:val="24"/>
          <w:lang w:val="es-AR"/>
        </w:rPr>
        <w:t>aciones y pensiones de dicho país</w:t>
      </w:r>
      <w:r w:rsidR="00A1248C">
        <w:rPr>
          <w:rFonts w:ascii="Times New Roman" w:hAnsi="Times New Roman"/>
          <w:sz w:val="24"/>
          <w:szCs w:val="24"/>
          <w:lang w:val="es-AR"/>
        </w:rPr>
        <w:t>. En primer lugar, se identificó</w:t>
      </w:r>
      <w:r>
        <w:rPr>
          <w:rFonts w:ascii="Times New Roman" w:hAnsi="Times New Roman"/>
          <w:sz w:val="24"/>
          <w:szCs w:val="24"/>
          <w:lang w:val="es-AR"/>
        </w:rPr>
        <w:t xml:space="preserve"> a aquellas personas que perciben una jubilación ordinaria (JO) tras cumplir con los estrictos requisitos de edad mínima (65 para los varones y 60 para las mujeres) y 30 años de contribuciones comprobables. </w:t>
      </w:r>
      <w:r w:rsidRPr="000F11F8">
        <w:rPr>
          <w:rFonts w:ascii="Times New Roman" w:hAnsi="Times New Roman"/>
          <w:sz w:val="24"/>
          <w:szCs w:val="24"/>
          <w:lang w:val="es-AR"/>
        </w:rPr>
        <w:t>En segundo lugar, al creciente grupo de individuos que c</w:t>
      </w:r>
      <w:r>
        <w:rPr>
          <w:rFonts w:ascii="Times New Roman" w:hAnsi="Times New Roman"/>
          <w:sz w:val="24"/>
          <w:szCs w:val="24"/>
          <w:lang w:val="es-AR"/>
        </w:rPr>
        <w:t xml:space="preserve">umplen con los requisitos de edad, pero no de tiempo de contribución (con las desventajas correspondientes en el curso de la vida por no disponer de un empleo formal u otros beneficios), y han encontrado la manera de percibir </w:t>
      </w:r>
      <w:r w:rsidR="00262E75">
        <w:rPr>
          <w:rFonts w:ascii="Times New Roman" w:hAnsi="Times New Roman"/>
          <w:sz w:val="24"/>
          <w:szCs w:val="24"/>
          <w:lang w:val="es-AR"/>
        </w:rPr>
        <w:t>una prestación no contributiva</w:t>
      </w:r>
      <w:r>
        <w:rPr>
          <w:rFonts w:ascii="Times New Roman" w:hAnsi="Times New Roman"/>
          <w:sz w:val="24"/>
          <w:szCs w:val="24"/>
          <w:lang w:val="es-AR"/>
        </w:rPr>
        <w:t xml:space="preserve"> de monto mínimo o semi-contributiva (aquí se encuentra el grupo de los beneficiarios de la “Moratoria” previsional), también habitualmente de monto equivalente a una jubilación mínima. </w:t>
      </w:r>
      <w:r w:rsidR="00A1248C">
        <w:rPr>
          <w:rFonts w:ascii="Times New Roman" w:hAnsi="Times New Roman"/>
          <w:sz w:val="24"/>
          <w:szCs w:val="24"/>
          <w:lang w:val="es-AR"/>
        </w:rPr>
        <w:t xml:space="preserve">En tercer lugar, quienes </w:t>
      </w:r>
      <w:r w:rsidR="00A1248C">
        <w:rPr>
          <w:rFonts w:ascii="Times New Roman" w:hAnsi="Times New Roman"/>
          <w:sz w:val="24"/>
          <w:szCs w:val="24"/>
          <w:lang w:val="es-AR"/>
        </w:rPr>
        <w:lastRenderedPageBreak/>
        <w:t xml:space="preserve">percibían una pensión debido al deceso </w:t>
      </w:r>
      <w:r w:rsidRPr="000F11F8">
        <w:rPr>
          <w:rFonts w:ascii="Times New Roman" w:hAnsi="Times New Roman"/>
          <w:sz w:val="24"/>
          <w:szCs w:val="24"/>
          <w:lang w:val="es-AR"/>
        </w:rPr>
        <w:t>del cónyuge (PS), de monto equivalente al 70 por ciento</w:t>
      </w:r>
      <w:r>
        <w:rPr>
          <w:rFonts w:ascii="Times New Roman" w:hAnsi="Times New Roman"/>
          <w:sz w:val="24"/>
          <w:szCs w:val="24"/>
          <w:lang w:val="es-AR"/>
        </w:rPr>
        <w:t xml:space="preserve"> del salario o beneficio jubilatorio del fallecido. </w:t>
      </w:r>
      <w:r w:rsidRPr="000F11F8">
        <w:rPr>
          <w:rFonts w:ascii="Times New Roman" w:hAnsi="Times New Roman"/>
          <w:sz w:val="24"/>
          <w:szCs w:val="24"/>
          <w:lang w:val="es-AR"/>
        </w:rPr>
        <w:t xml:space="preserve">Considerando que la cobertura por </w:t>
      </w:r>
      <w:r w:rsidR="00A1248C" w:rsidRPr="000F11F8">
        <w:rPr>
          <w:rFonts w:ascii="Times New Roman" w:hAnsi="Times New Roman"/>
          <w:sz w:val="24"/>
          <w:szCs w:val="24"/>
          <w:lang w:val="es-AR"/>
        </w:rPr>
        <w:t>pensión</w:t>
      </w:r>
      <w:r w:rsidRPr="000F11F8">
        <w:rPr>
          <w:rFonts w:ascii="Times New Roman" w:hAnsi="Times New Roman"/>
          <w:sz w:val="24"/>
          <w:szCs w:val="24"/>
          <w:lang w:val="es-AR"/>
        </w:rPr>
        <w:t xml:space="preserve"> en Argentina es virtualmente universal en adultos mayor</w:t>
      </w:r>
      <w:r w:rsidR="00A1248C">
        <w:rPr>
          <w:rFonts w:ascii="Times New Roman" w:hAnsi="Times New Roman"/>
          <w:sz w:val="24"/>
          <w:szCs w:val="24"/>
          <w:lang w:val="es-AR"/>
        </w:rPr>
        <w:t>e</w:t>
      </w:r>
      <w:r w:rsidRPr="000F11F8">
        <w:rPr>
          <w:rFonts w:ascii="Times New Roman" w:hAnsi="Times New Roman"/>
          <w:sz w:val="24"/>
          <w:szCs w:val="24"/>
          <w:lang w:val="es-AR"/>
        </w:rPr>
        <w:t>s de 65</w:t>
      </w:r>
      <w:r>
        <w:rPr>
          <w:rFonts w:ascii="Times New Roman" w:hAnsi="Times New Roman"/>
          <w:sz w:val="24"/>
          <w:szCs w:val="24"/>
          <w:lang w:val="es-AR"/>
        </w:rPr>
        <w:t xml:space="preserve"> </w:t>
      </w:r>
      <w:r w:rsidR="002726C1">
        <w:rPr>
          <w:rFonts w:ascii="Times New Roman" w:hAnsi="Times New Roman"/>
          <w:sz w:val="24"/>
          <w:szCs w:val="24"/>
          <w:lang w:val="es-AR"/>
        </w:rPr>
        <w:t xml:space="preserve">años </w:t>
      </w:r>
      <w:r w:rsidRPr="000F11F8">
        <w:rPr>
          <w:rFonts w:ascii="Times New Roman" w:hAnsi="Times New Roman"/>
          <w:sz w:val="24"/>
          <w:szCs w:val="24"/>
          <w:lang w:val="es-AR"/>
        </w:rPr>
        <w:t>(</w:t>
      </w:r>
      <w:r w:rsidR="00531CBA">
        <w:rPr>
          <w:rFonts w:ascii="Times New Roman" w:hAnsi="Times New Roman"/>
          <w:sz w:val="24"/>
          <w:szCs w:val="24"/>
          <w:lang w:val="es-AR"/>
        </w:rPr>
        <w:t>7</w:t>
      </w:r>
      <w:r w:rsidRPr="000F11F8">
        <w:rPr>
          <w:rFonts w:ascii="Times New Roman" w:hAnsi="Times New Roman"/>
          <w:sz w:val="24"/>
          <w:szCs w:val="24"/>
          <w:lang w:val="es-AR"/>
        </w:rPr>
        <w:t xml:space="preserve">), </w:t>
      </w:r>
      <w:r>
        <w:rPr>
          <w:rFonts w:ascii="Times New Roman" w:hAnsi="Times New Roman"/>
          <w:sz w:val="24"/>
          <w:szCs w:val="24"/>
          <w:lang w:val="es-AR"/>
        </w:rPr>
        <w:t>básicamente todos los individuos de dicho grupo percib</w:t>
      </w:r>
      <w:r w:rsidR="00F11C75">
        <w:rPr>
          <w:rFonts w:ascii="Times New Roman" w:hAnsi="Times New Roman"/>
          <w:sz w:val="24"/>
          <w:szCs w:val="24"/>
          <w:lang w:val="es-AR"/>
        </w:rPr>
        <w:t>en como mínimo una prestación entre</w:t>
      </w:r>
      <w:r>
        <w:rPr>
          <w:rFonts w:ascii="Times New Roman" w:hAnsi="Times New Roman"/>
          <w:sz w:val="24"/>
          <w:szCs w:val="24"/>
          <w:lang w:val="es-AR"/>
        </w:rPr>
        <w:t xml:space="preserve"> estos tres tipos</w:t>
      </w:r>
      <w:r w:rsidR="00E65ADA">
        <w:rPr>
          <w:rFonts w:ascii="Times New Roman" w:hAnsi="Times New Roman"/>
          <w:sz w:val="24"/>
          <w:szCs w:val="24"/>
          <w:lang w:val="es-AR"/>
        </w:rPr>
        <w:t xml:space="preserve"> (cabe aclarar que estos beneficios no son excluyentes)</w:t>
      </w:r>
      <w:r>
        <w:rPr>
          <w:rFonts w:ascii="Times New Roman" w:hAnsi="Times New Roman"/>
          <w:sz w:val="24"/>
          <w:szCs w:val="24"/>
          <w:lang w:val="es-AR"/>
        </w:rPr>
        <w:t xml:space="preserve">. </w:t>
      </w:r>
    </w:p>
    <w:p w:rsidR="005E1EB0" w:rsidRPr="00F60ADF" w:rsidRDefault="00E65ADA" w:rsidP="005E1EB0">
      <w:pPr>
        <w:spacing w:line="360" w:lineRule="auto"/>
        <w:ind w:firstLine="708"/>
        <w:rPr>
          <w:rFonts w:ascii="Times New Roman" w:hAnsi="Times New Roman"/>
          <w:sz w:val="24"/>
          <w:szCs w:val="24"/>
          <w:lang w:val="es-AR"/>
        </w:rPr>
      </w:pPr>
      <w:r>
        <w:rPr>
          <w:rFonts w:ascii="Times New Roman" w:hAnsi="Times New Roman"/>
          <w:sz w:val="24"/>
          <w:szCs w:val="24"/>
          <w:lang w:val="es-AR"/>
        </w:rPr>
        <w:t>Esperamos que el ind</w:t>
      </w:r>
      <w:r w:rsidR="00526072">
        <w:rPr>
          <w:rFonts w:ascii="Times New Roman" w:hAnsi="Times New Roman"/>
          <w:sz w:val="24"/>
          <w:szCs w:val="24"/>
          <w:lang w:val="es-AR"/>
        </w:rPr>
        <w:t xml:space="preserve">icador “tipo de beneficio” </w:t>
      </w:r>
      <w:r w:rsidR="00631CC3">
        <w:rPr>
          <w:rFonts w:ascii="Times New Roman" w:hAnsi="Times New Roman"/>
          <w:sz w:val="24"/>
          <w:szCs w:val="24"/>
          <w:lang w:val="es-AR"/>
        </w:rPr>
        <w:t>pudiera</w:t>
      </w:r>
      <w:r>
        <w:rPr>
          <w:rFonts w:ascii="Times New Roman" w:hAnsi="Times New Roman"/>
          <w:sz w:val="24"/>
          <w:szCs w:val="24"/>
          <w:lang w:val="es-AR"/>
        </w:rPr>
        <w:t xml:space="preserve"> a</w:t>
      </w:r>
      <w:r w:rsidR="00526072">
        <w:rPr>
          <w:rFonts w:ascii="Times New Roman" w:hAnsi="Times New Roman"/>
          <w:sz w:val="24"/>
          <w:szCs w:val="24"/>
          <w:lang w:val="es-AR"/>
        </w:rPr>
        <w:t>proximar adecuadamente la condición</w:t>
      </w:r>
      <w:r>
        <w:rPr>
          <w:rFonts w:ascii="Times New Roman" w:hAnsi="Times New Roman"/>
          <w:sz w:val="24"/>
          <w:szCs w:val="24"/>
          <w:lang w:val="es-AR"/>
        </w:rPr>
        <w:t xml:space="preserve"> de</w:t>
      </w:r>
      <w:r w:rsidR="00432665">
        <w:rPr>
          <w:rFonts w:ascii="Times New Roman" w:hAnsi="Times New Roman"/>
          <w:sz w:val="24"/>
          <w:szCs w:val="24"/>
          <w:lang w:val="es-AR"/>
        </w:rPr>
        <w:t>l pesar y la aflicción causado por</w:t>
      </w:r>
      <w:r>
        <w:rPr>
          <w:rFonts w:ascii="Times New Roman" w:hAnsi="Times New Roman"/>
          <w:sz w:val="24"/>
          <w:szCs w:val="24"/>
          <w:lang w:val="es-AR"/>
        </w:rPr>
        <w:t xml:space="preserve"> la pérdida del cónyuge (fenómeno conocido como “bereavement” en inglés), bajo el supuesto de que aquellos que han perdido a su cónyuge presentan un mayor riesgo de muerte (</w:t>
      </w:r>
      <w:r w:rsidR="00531CBA">
        <w:rPr>
          <w:rFonts w:ascii="Times New Roman" w:hAnsi="Times New Roman"/>
          <w:sz w:val="24"/>
          <w:szCs w:val="24"/>
          <w:lang w:val="es-AR"/>
        </w:rPr>
        <w:t>8</w:t>
      </w:r>
      <w:r w:rsidR="00493A36">
        <w:rPr>
          <w:rFonts w:ascii="Times New Roman" w:hAnsi="Times New Roman"/>
          <w:sz w:val="24"/>
          <w:szCs w:val="24"/>
          <w:lang w:val="es-AR"/>
        </w:rPr>
        <w:t>,</w:t>
      </w:r>
      <w:r w:rsidR="00531CBA">
        <w:rPr>
          <w:rFonts w:ascii="Times New Roman" w:hAnsi="Times New Roman"/>
          <w:sz w:val="24"/>
          <w:szCs w:val="24"/>
          <w:lang w:val="es-AR"/>
        </w:rPr>
        <w:t>9</w:t>
      </w:r>
      <w:r w:rsidR="00493A36">
        <w:rPr>
          <w:rFonts w:ascii="Times New Roman" w:hAnsi="Times New Roman"/>
          <w:sz w:val="24"/>
          <w:szCs w:val="24"/>
          <w:lang w:val="es-AR"/>
        </w:rPr>
        <w:t>,</w:t>
      </w:r>
      <w:r w:rsidR="00531CBA">
        <w:rPr>
          <w:rFonts w:ascii="Times New Roman" w:hAnsi="Times New Roman"/>
          <w:sz w:val="24"/>
          <w:szCs w:val="24"/>
          <w:lang w:val="es-AR"/>
        </w:rPr>
        <w:t>10</w:t>
      </w:r>
      <w:r w:rsidRPr="00E65ADA">
        <w:rPr>
          <w:rFonts w:ascii="Times New Roman" w:hAnsi="Times New Roman"/>
          <w:sz w:val="24"/>
          <w:szCs w:val="24"/>
          <w:lang w:val="es-AR"/>
        </w:rPr>
        <w:t>)</w:t>
      </w:r>
      <w:r>
        <w:rPr>
          <w:rFonts w:ascii="Times New Roman" w:hAnsi="Times New Roman"/>
          <w:sz w:val="24"/>
          <w:szCs w:val="24"/>
          <w:lang w:val="es-AR"/>
        </w:rPr>
        <w:t xml:space="preserve"> que quienes no</w:t>
      </w:r>
      <w:r w:rsidRPr="00E65ADA">
        <w:rPr>
          <w:rFonts w:ascii="Times New Roman" w:hAnsi="Times New Roman"/>
          <w:sz w:val="24"/>
          <w:szCs w:val="24"/>
          <w:lang w:val="es-AR"/>
        </w:rPr>
        <w:t>.</w:t>
      </w:r>
      <w:r w:rsidR="007C51EC">
        <w:rPr>
          <w:rFonts w:ascii="Times New Roman" w:hAnsi="Times New Roman"/>
          <w:sz w:val="24"/>
          <w:szCs w:val="24"/>
          <w:lang w:val="es-AR"/>
        </w:rPr>
        <w:t xml:space="preserve"> E</w:t>
      </w:r>
      <w:r w:rsidR="007C51EC" w:rsidRPr="00A8066C">
        <w:rPr>
          <w:rFonts w:ascii="Times New Roman" w:hAnsi="Times New Roman"/>
          <w:sz w:val="24"/>
          <w:szCs w:val="24"/>
        </w:rPr>
        <w:t xml:space="preserve">n clave Durkheimniana, </w:t>
      </w:r>
      <w:r w:rsidR="007C51EC">
        <w:rPr>
          <w:rFonts w:ascii="Times New Roman" w:hAnsi="Times New Roman"/>
          <w:sz w:val="24"/>
          <w:szCs w:val="24"/>
        </w:rPr>
        <w:t xml:space="preserve">estos individuos </w:t>
      </w:r>
      <w:r w:rsidR="007C51EC" w:rsidRPr="00A8066C">
        <w:rPr>
          <w:rFonts w:ascii="Times New Roman" w:hAnsi="Times New Roman"/>
          <w:sz w:val="24"/>
          <w:szCs w:val="24"/>
        </w:rPr>
        <w:t xml:space="preserve">pierden el </w:t>
      </w:r>
      <w:r w:rsidR="007C51EC" w:rsidRPr="00A8066C">
        <w:rPr>
          <w:rFonts w:ascii="Times New Roman" w:hAnsi="Times New Roman"/>
          <w:i/>
          <w:sz w:val="24"/>
          <w:szCs w:val="24"/>
        </w:rPr>
        <w:t>“efecto protector</w:t>
      </w:r>
      <w:r w:rsidR="007C51EC">
        <w:rPr>
          <w:rFonts w:ascii="Times New Roman" w:hAnsi="Times New Roman"/>
          <w:sz w:val="24"/>
          <w:szCs w:val="24"/>
        </w:rPr>
        <w:t>” que tienen las personas que al estar casadas o unida</w:t>
      </w:r>
      <w:r w:rsidR="007C51EC" w:rsidRPr="00A8066C">
        <w:rPr>
          <w:rFonts w:ascii="Times New Roman" w:hAnsi="Times New Roman"/>
          <w:sz w:val="24"/>
          <w:szCs w:val="24"/>
        </w:rPr>
        <w:t>s se traduce en una menor mortalidad (</w:t>
      </w:r>
      <w:r w:rsidR="00531CBA">
        <w:rPr>
          <w:rFonts w:ascii="Times New Roman" w:hAnsi="Times New Roman"/>
          <w:sz w:val="24"/>
          <w:szCs w:val="24"/>
        </w:rPr>
        <w:t>11</w:t>
      </w:r>
      <w:r w:rsidR="007C51EC" w:rsidRPr="00A8066C">
        <w:rPr>
          <w:rFonts w:ascii="Times New Roman" w:hAnsi="Times New Roman"/>
          <w:sz w:val="24"/>
          <w:szCs w:val="24"/>
        </w:rPr>
        <w:t xml:space="preserve">). </w:t>
      </w:r>
      <w:r w:rsidR="005E1EB0">
        <w:rPr>
          <w:rFonts w:ascii="Times New Roman" w:hAnsi="Times New Roman"/>
          <w:sz w:val="24"/>
          <w:szCs w:val="24"/>
          <w:lang w:val="es-AR"/>
        </w:rPr>
        <w:t xml:space="preserve">Si bien </w:t>
      </w:r>
      <w:r w:rsidR="005E1EB0" w:rsidRPr="00F60ADF">
        <w:rPr>
          <w:rFonts w:ascii="Times New Roman" w:hAnsi="Times New Roman"/>
          <w:sz w:val="24"/>
          <w:szCs w:val="24"/>
          <w:lang w:val="es-AR"/>
        </w:rPr>
        <w:t>no exi</w:t>
      </w:r>
      <w:r w:rsidR="005E1EB0">
        <w:rPr>
          <w:rFonts w:ascii="Times New Roman" w:hAnsi="Times New Roman"/>
          <w:sz w:val="24"/>
          <w:szCs w:val="24"/>
          <w:lang w:val="es-AR"/>
        </w:rPr>
        <w:t xml:space="preserve">sten estudios que exploren este tópico en Argentina a ningún nivel. </w:t>
      </w:r>
      <w:r w:rsidR="005E1EB0" w:rsidRPr="00F60ADF">
        <w:rPr>
          <w:rFonts w:ascii="Times New Roman" w:hAnsi="Times New Roman"/>
          <w:sz w:val="24"/>
          <w:szCs w:val="24"/>
          <w:lang w:val="es-AR"/>
        </w:rPr>
        <w:t>Sin embargo, en Amér</w:t>
      </w:r>
      <w:r w:rsidR="005E1EB0">
        <w:rPr>
          <w:rFonts w:ascii="Times New Roman" w:hAnsi="Times New Roman"/>
          <w:sz w:val="24"/>
          <w:szCs w:val="24"/>
          <w:lang w:val="es-AR"/>
        </w:rPr>
        <w:t>ica Latina, podemos mencionar algunos</w:t>
      </w:r>
      <w:r w:rsidR="005E1EB0" w:rsidRPr="00F60ADF">
        <w:rPr>
          <w:rFonts w:ascii="Times New Roman" w:hAnsi="Times New Roman"/>
          <w:sz w:val="24"/>
          <w:szCs w:val="24"/>
          <w:lang w:val="es-AR"/>
        </w:rPr>
        <w:t xml:space="preserve"> esfuerzo</w:t>
      </w:r>
      <w:r w:rsidR="00531CBA">
        <w:rPr>
          <w:rFonts w:ascii="Times New Roman" w:hAnsi="Times New Roman"/>
          <w:sz w:val="24"/>
          <w:szCs w:val="24"/>
          <w:lang w:val="es-AR"/>
        </w:rPr>
        <w:t>s previos (12</w:t>
      </w:r>
      <w:r w:rsidR="00493A36">
        <w:rPr>
          <w:rFonts w:ascii="Times New Roman" w:hAnsi="Times New Roman"/>
          <w:sz w:val="24"/>
          <w:szCs w:val="24"/>
          <w:lang w:val="es-AR"/>
        </w:rPr>
        <w:t xml:space="preserve">, </w:t>
      </w:r>
      <w:r w:rsidR="00531CBA">
        <w:rPr>
          <w:rFonts w:ascii="Times New Roman" w:hAnsi="Times New Roman"/>
          <w:sz w:val="24"/>
          <w:szCs w:val="24"/>
          <w:lang w:val="es-AR"/>
        </w:rPr>
        <w:t>13</w:t>
      </w:r>
      <w:r w:rsidR="005E1EB0">
        <w:rPr>
          <w:rFonts w:ascii="Times New Roman" w:hAnsi="Times New Roman"/>
          <w:sz w:val="24"/>
          <w:szCs w:val="24"/>
          <w:lang w:val="es-AR"/>
        </w:rPr>
        <w:t>)</w:t>
      </w:r>
      <w:r w:rsidR="005E1EB0" w:rsidRPr="00F60ADF">
        <w:rPr>
          <w:rFonts w:ascii="Times New Roman" w:hAnsi="Times New Roman"/>
          <w:sz w:val="24"/>
          <w:szCs w:val="24"/>
          <w:lang w:val="es-AR"/>
        </w:rPr>
        <w:t xml:space="preserve"> </w:t>
      </w:r>
      <w:r w:rsidR="005E1EB0">
        <w:rPr>
          <w:rFonts w:ascii="Times New Roman" w:hAnsi="Times New Roman"/>
          <w:sz w:val="24"/>
          <w:szCs w:val="24"/>
          <w:lang w:val="es-AR"/>
        </w:rPr>
        <w:t xml:space="preserve">que sustentan la hipótesis que aquellos quienes declararon haber perdido a su pareja presentan un mayor riesgo de muerte, aunque con ciertas limitaciones en lo que respecta a la escala de estas afirmaciones. </w:t>
      </w:r>
    </w:p>
    <w:p w:rsidR="00E65ADA" w:rsidRPr="00E65ADA" w:rsidRDefault="00E65ADA" w:rsidP="00E65ADA">
      <w:pPr>
        <w:spacing w:line="360" w:lineRule="auto"/>
        <w:ind w:firstLine="708"/>
        <w:rPr>
          <w:rFonts w:ascii="Times New Roman" w:hAnsi="Times New Roman"/>
          <w:sz w:val="24"/>
          <w:szCs w:val="24"/>
          <w:lang w:val="es-AR"/>
        </w:rPr>
      </w:pPr>
      <w:r>
        <w:rPr>
          <w:rFonts w:ascii="Times New Roman" w:hAnsi="Times New Roman"/>
          <w:sz w:val="24"/>
          <w:szCs w:val="24"/>
          <w:lang w:val="es-AR"/>
        </w:rPr>
        <w:t>Este abordaje present</w:t>
      </w:r>
      <w:r w:rsidR="00526072">
        <w:rPr>
          <w:rFonts w:ascii="Times New Roman" w:hAnsi="Times New Roman"/>
          <w:sz w:val="24"/>
          <w:szCs w:val="24"/>
          <w:lang w:val="es-AR"/>
        </w:rPr>
        <w:t>ó</w:t>
      </w:r>
      <w:r>
        <w:rPr>
          <w:rFonts w:ascii="Times New Roman" w:hAnsi="Times New Roman"/>
          <w:sz w:val="24"/>
          <w:szCs w:val="24"/>
          <w:lang w:val="es-AR"/>
        </w:rPr>
        <w:t xml:space="preserve"> ventajas y limitaciones: </w:t>
      </w:r>
      <w:r w:rsidR="00B5090F">
        <w:rPr>
          <w:rFonts w:ascii="Times New Roman" w:hAnsi="Times New Roman"/>
          <w:sz w:val="24"/>
          <w:szCs w:val="24"/>
          <w:lang w:val="es-AR"/>
        </w:rPr>
        <w:t>la principal ventaja es que dado que</w:t>
      </w:r>
      <w:r>
        <w:rPr>
          <w:rFonts w:ascii="Times New Roman" w:hAnsi="Times New Roman"/>
          <w:sz w:val="24"/>
          <w:szCs w:val="24"/>
          <w:lang w:val="es-AR"/>
        </w:rPr>
        <w:t xml:space="preserve"> la cobertura previsional entre mayores de 65 años en Argentina es</w:t>
      </w:r>
      <w:r w:rsidR="00526072">
        <w:rPr>
          <w:rFonts w:ascii="Times New Roman" w:hAnsi="Times New Roman"/>
          <w:sz w:val="24"/>
          <w:szCs w:val="24"/>
          <w:lang w:val="es-AR"/>
        </w:rPr>
        <w:t xml:space="preserve"> casi universal y como se contó</w:t>
      </w:r>
      <w:r w:rsidR="00B5090F">
        <w:rPr>
          <w:rFonts w:ascii="Times New Roman" w:hAnsi="Times New Roman"/>
          <w:sz w:val="24"/>
          <w:szCs w:val="24"/>
          <w:lang w:val="es-AR"/>
        </w:rPr>
        <w:t xml:space="preserve"> con registros administrativos, </w:t>
      </w:r>
      <w:r w:rsidR="00526072">
        <w:rPr>
          <w:rFonts w:ascii="Times New Roman" w:hAnsi="Times New Roman"/>
          <w:sz w:val="24"/>
          <w:szCs w:val="24"/>
          <w:lang w:val="es-AR"/>
        </w:rPr>
        <w:t>la omisión fue</w:t>
      </w:r>
      <w:r w:rsidR="00B5090F">
        <w:rPr>
          <w:rFonts w:ascii="Times New Roman" w:hAnsi="Times New Roman"/>
          <w:sz w:val="24"/>
          <w:szCs w:val="24"/>
          <w:lang w:val="es-AR"/>
        </w:rPr>
        <w:t xml:space="preserve"> minimiza</w:t>
      </w:r>
      <w:r w:rsidR="00526072">
        <w:rPr>
          <w:rFonts w:ascii="Times New Roman" w:hAnsi="Times New Roman"/>
          <w:sz w:val="24"/>
          <w:szCs w:val="24"/>
          <w:lang w:val="es-AR"/>
        </w:rPr>
        <w:t>da</w:t>
      </w:r>
      <w:r w:rsidR="00B5090F">
        <w:rPr>
          <w:rFonts w:ascii="Times New Roman" w:hAnsi="Times New Roman"/>
          <w:sz w:val="24"/>
          <w:szCs w:val="24"/>
          <w:lang w:val="es-AR"/>
        </w:rPr>
        <w:t xml:space="preserve"> y se disp</w:t>
      </w:r>
      <w:r w:rsidR="00526072">
        <w:rPr>
          <w:rFonts w:ascii="Times New Roman" w:hAnsi="Times New Roman"/>
          <w:sz w:val="24"/>
          <w:szCs w:val="24"/>
          <w:lang w:val="es-AR"/>
        </w:rPr>
        <w:t>uso</w:t>
      </w:r>
      <w:r w:rsidR="00B5090F">
        <w:rPr>
          <w:rFonts w:ascii="Times New Roman" w:hAnsi="Times New Roman"/>
          <w:sz w:val="24"/>
          <w:szCs w:val="24"/>
          <w:lang w:val="es-AR"/>
        </w:rPr>
        <w:t xml:space="preserve"> de</w:t>
      </w:r>
      <w:r>
        <w:rPr>
          <w:rFonts w:ascii="Times New Roman" w:hAnsi="Times New Roman"/>
          <w:sz w:val="24"/>
          <w:szCs w:val="24"/>
          <w:lang w:val="es-AR"/>
        </w:rPr>
        <w:t xml:space="preserve"> más de 4.5 millones de años/persona para realizar estimaciones (desde el</w:t>
      </w:r>
      <w:r w:rsidRPr="00E65ADA">
        <w:rPr>
          <w:rFonts w:ascii="Times New Roman" w:hAnsi="Times New Roman"/>
          <w:sz w:val="24"/>
          <w:szCs w:val="24"/>
          <w:lang w:val="es-AR"/>
        </w:rPr>
        <w:t xml:space="preserve"> 1</w:t>
      </w:r>
      <w:r>
        <w:rPr>
          <w:rFonts w:ascii="Times New Roman" w:hAnsi="Times New Roman"/>
          <w:sz w:val="24"/>
          <w:szCs w:val="24"/>
          <w:lang w:val="es-AR"/>
        </w:rPr>
        <w:t xml:space="preserve"> de Julio de</w:t>
      </w:r>
      <w:r w:rsidRPr="00E65ADA">
        <w:rPr>
          <w:rFonts w:ascii="Times New Roman" w:hAnsi="Times New Roman"/>
          <w:sz w:val="24"/>
          <w:szCs w:val="24"/>
          <w:lang w:val="es-AR"/>
        </w:rPr>
        <w:t xml:space="preserve"> 2015 </w:t>
      </w:r>
      <w:r>
        <w:rPr>
          <w:rFonts w:ascii="Times New Roman" w:hAnsi="Times New Roman"/>
          <w:sz w:val="24"/>
          <w:szCs w:val="24"/>
          <w:lang w:val="es-AR"/>
        </w:rPr>
        <w:t>al 30 de Junio de 2016</w:t>
      </w:r>
      <w:r w:rsidRPr="00E65ADA">
        <w:rPr>
          <w:rFonts w:ascii="Times New Roman" w:hAnsi="Times New Roman"/>
          <w:sz w:val="24"/>
          <w:szCs w:val="24"/>
          <w:lang w:val="es-AR"/>
        </w:rPr>
        <w:t>).</w:t>
      </w:r>
      <w:r w:rsidR="00526072">
        <w:rPr>
          <w:rFonts w:ascii="Times New Roman" w:hAnsi="Times New Roman"/>
          <w:sz w:val="24"/>
          <w:szCs w:val="24"/>
          <w:lang w:val="es-AR"/>
        </w:rPr>
        <w:t xml:space="preserve"> También representó</w:t>
      </w:r>
      <w:r>
        <w:rPr>
          <w:rFonts w:ascii="Times New Roman" w:hAnsi="Times New Roman"/>
          <w:sz w:val="24"/>
          <w:szCs w:val="24"/>
          <w:lang w:val="es-AR"/>
        </w:rPr>
        <w:t xml:space="preserve"> una ventaja el hecho de que casi la totalidad de quienes percib</w:t>
      </w:r>
      <w:r w:rsidR="00526072">
        <w:rPr>
          <w:rFonts w:ascii="Times New Roman" w:hAnsi="Times New Roman"/>
          <w:sz w:val="24"/>
          <w:szCs w:val="24"/>
          <w:lang w:val="es-AR"/>
        </w:rPr>
        <w:t>i</w:t>
      </w:r>
      <w:r>
        <w:rPr>
          <w:rFonts w:ascii="Times New Roman" w:hAnsi="Times New Roman"/>
          <w:sz w:val="24"/>
          <w:szCs w:val="24"/>
          <w:lang w:val="es-AR"/>
        </w:rPr>
        <w:t>e</w:t>
      </w:r>
      <w:r w:rsidR="00526072">
        <w:rPr>
          <w:rFonts w:ascii="Times New Roman" w:hAnsi="Times New Roman"/>
          <w:sz w:val="24"/>
          <w:szCs w:val="24"/>
          <w:lang w:val="es-AR"/>
        </w:rPr>
        <w:t>ran una prestación por viudez fuesen</w:t>
      </w:r>
      <w:r>
        <w:rPr>
          <w:rFonts w:ascii="Times New Roman" w:hAnsi="Times New Roman"/>
          <w:sz w:val="24"/>
          <w:szCs w:val="24"/>
          <w:lang w:val="es-AR"/>
        </w:rPr>
        <w:t xml:space="preserve"> efectivamente viudos </w:t>
      </w:r>
      <w:r w:rsidRPr="00E65ADA">
        <w:rPr>
          <w:rFonts w:ascii="Times New Roman" w:hAnsi="Times New Roman"/>
          <w:sz w:val="24"/>
          <w:szCs w:val="24"/>
          <w:lang w:val="es-AR"/>
        </w:rPr>
        <w:t>(el 96% de los viudos mayor</w:t>
      </w:r>
      <w:r>
        <w:rPr>
          <w:rFonts w:ascii="Times New Roman" w:hAnsi="Times New Roman"/>
          <w:sz w:val="24"/>
          <w:szCs w:val="24"/>
          <w:lang w:val="es-AR"/>
        </w:rPr>
        <w:t>e</w:t>
      </w:r>
      <w:r w:rsidR="00526072">
        <w:rPr>
          <w:rFonts w:ascii="Times New Roman" w:hAnsi="Times New Roman"/>
          <w:sz w:val="24"/>
          <w:szCs w:val="24"/>
          <w:lang w:val="es-AR"/>
        </w:rPr>
        <w:t>s de 65 años declaró</w:t>
      </w:r>
      <w:r w:rsidRPr="00E65ADA">
        <w:rPr>
          <w:rFonts w:ascii="Times New Roman" w:hAnsi="Times New Roman"/>
          <w:sz w:val="24"/>
          <w:szCs w:val="24"/>
          <w:lang w:val="es-AR"/>
        </w:rPr>
        <w:t xml:space="preserve"> estar percibiendo una prestación por viudez</w:t>
      </w:r>
      <w:r>
        <w:rPr>
          <w:rFonts w:ascii="Times New Roman" w:hAnsi="Times New Roman"/>
          <w:sz w:val="24"/>
          <w:szCs w:val="24"/>
          <w:lang w:val="es-AR"/>
        </w:rPr>
        <w:t xml:space="preserve"> a raíz de la pérdida de su cónyuge</w:t>
      </w:r>
      <w:r w:rsidRPr="00E65ADA">
        <w:rPr>
          <w:rFonts w:ascii="Times New Roman" w:hAnsi="Times New Roman"/>
          <w:sz w:val="24"/>
          <w:szCs w:val="24"/>
          <w:lang w:val="es-AR"/>
        </w:rPr>
        <w:t>, de acuerdo a la última Encuesta Nacional de Protección y Seg</w:t>
      </w:r>
      <w:r>
        <w:rPr>
          <w:rFonts w:ascii="Times New Roman" w:hAnsi="Times New Roman"/>
          <w:sz w:val="24"/>
          <w:szCs w:val="24"/>
          <w:lang w:val="es-AR"/>
        </w:rPr>
        <w:t>uridad Social - ENAPROSS</w:t>
      </w:r>
      <w:r>
        <w:rPr>
          <w:rStyle w:val="Refdenotaalpie"/>
          <w:rFonts w:ascii="Times New Roman" w:hAnsi="Times New Roman"/>
          <w:sz w:val="24"/>
          <w:szCs w:val="24"/>
          <w:lang w:val="en-US"/>
        </w:rPr>
        <w:footnoteReference w:id="3"/>
      </w:r>
      <w:r w:rsidRPr="00E65ADA">
        <w:rPr>
          <w:rFonts w:ascii="Times New Roman" w:hAnsi="Times New Roman"/>
          <w:sz w:val="24"/>
          <w:szCs w:val="24"/>
          <w:lang w:val="es-AR"/>
        </w:rPr>
        <w:t xml:space="preserve">) </w:t>
      </w:r>
    </w:p>
    <w:p w:rsidR="008C1EEC" w:rsidRDefault="00E65ADA" w:rsidP="00F60ADF">
      <w:pPr>
        <w:spacing w:line="360" w:lineRule="auto"/>
        <w:ind w:firstLine="708"/>
        <w:rPr>
          <w:rFonts w:ascii="Times New Roman" w:hAnsi="Times New Roman"/>
          <w:sz w:val="24"/>
          <w:szCs w:val="24"/>
          <w:lang w:val="es-AR"/>
        </w:rPr>
      </w:pPr>
      <w:r w:rsidRPr="00E65ADA">
        <w:rPr>
          <w:rFonts w:ascii="Times New Roman" w:hAnsi="Times New Roman"/>
          <w:sz w:val="24"/>
          <w:szCs w:val="24"/>
          <w:lang w:val="es-AR"/>
        </w:rPr>
        <w:t>La principal desventaja de e</w:t>
      </w:r>
      <w:r>
        <w:rPr>
          <w:rFonts w:ascii="Times New Roman" w:hAnsi="Times New Roman"/>
          <w:sz w:val="24"/>
          <w:szCs w:val="24"/>
          <w:lang w:val="es-AR"/>
        </w:rPr>
        <w:t xml:space="preserve">stimar el impacto de la viudez en la mortalidad basado solamente en registros de la seguridad social se basa en el hecho de que múltiples eventos pueden ocurrir a lo largo de la vida después de la pérdida del cónyuge y no se encuentran captados por los registros de pensiones: es posible que el viudo/viuda haya encontrado una nueva pareja y no haya renunciado a su beneficio </w:t>
      </w:r>
      <w:r w:rsidR="00F60ADF">
        <w:rPr>
          <w:rFonts w:ascii="Times New Roman" w:hAnsi="Times New Roman"/>
          <w:sz w:val="24"/>
          <w:szCs w:val="24"/>
          <w:lang w:val="es-AR"/>
        </w:rPr>
        <w:t>debido a su carácter permanente;</w:t>
      </w:r>
      <w:r>
        <w:rPr>
          <w:rFonts w:ascii="Times New Roman" w:hAnsi="Times New Roman"/>
          <w:sz w:val="24"/>
          <w:szCs w:val="24"/>
          <w:lang w:val="es-AR"/>
        </w:rPr>
        <w:t xml:space="preserve"> </w:t>
      </w:r>
      <w:r w:rsidR="00F60ADF">
        <w:rPr>
          <w:rFonts w:ascii="Times New Roman" w:hAnsi="Times New Roman"/>
          <w:sz w:val="24"/>
          <w:szCs w:val="24"/>
          <w:lang w:val="es-AR"/>
        </w:rPr>
        <w:t xml:space="preserve">que la pareja nunca haya estado casada y por lo tanto </w:t>
      </w:r>
      <w:r w:rsidR="00F60ADF">
        <w:rPr>
          <w:rFonts w:ascii="Times New Roman" w:hAnsi="Times New Roman"/>
          <w:sz w:val="24"/>
          <w:szCs w:val="24"/>
          <w:lang w:val="es-AR"/>
        </w:rPr>
        <w:lastRenderedPageBreak/>
        <w:t xml:space="preserve">el miembro fallecido no haya dejado beneficio previsional alguno a su sobreviviente, o que la pareja solamente se haya casado para otorgar una pensión por viudez como un </w:t>
      </w:r>
      <w:r w:rsidR="00F60ADF" w:rsidRPr="00526072">
        <w:rPr>
          <w:rFonts w:ascii="Times New Roman" w:hAnsi="Times New Roman"/>
          <w:i/>
          <w:sz w:val="24"/>
          <w:szCs w:val="24"/>
          <w:lang w:val="es-AR"/>
        </w:rPr>
        <w:t>“regalo”</w:t>
      </w:r>
      <w:r w:rsidR="00F60ADF">
        <w:rPr>
          <w:rFonts w:ascii="Times New Roman" w:hAnsi="Times New Roman"/>
          <w:sz w:val="24"/>
          <w:szCs w:val="24"/>
          <w:lang w:val="es-AR"/>
        </w:rPr>
        <w:t xml:space="preserve"> antes de la muerte del causante (una práctica que si bien es inusual, existe) hacia quien lo recibe (es decir, suponiendo que no hay un vínculo </w:t>
      </w:r>
      <w:r w:rsidR="00F60ADF" w:rsidRPr="00F60ADF">
        <w:rPr>
          <w:rFonts w:ascii="Times New Roman" w:hAnsi="Times New Roman"/>
          <w:i/>
          <w:sz w:val="24"/>
          <w:szCs w:val="24"/>
          <w:lang w:val="es-AR"/>
        </w:rPr>
        <w:t>“emocional/romántico</w:t>
      </w:r>
      <w:r w:rsidR="00F60ADF">
        <w:rPr>
          <w:rFonts w:ascii="Times New Roman" w:hAnsi="Times New Roman"/>
          <w:sz w:val="24"/>
          <w:szCs w:val="24"/>
          <w:lang w:val="es-AR"/>
        </w:rPr>
        <w:t>” entre los individuos).</w:t>
      </w:r>
      <w:r w:rsidR="00B5090F">
        <w:rPr>
          <w:rFonts w:ascii="Times New Roman" w:hAnsi="Times New Roman"/>
          <w:sz w:val="24"/>
          <w:szCs w:val="24"/>
          <w:lang w:val="es-AR"/>
        </w:rPr>
        <w:t xml:space="preserve"> </w:t>
      </w:r>
      <w:r w:rsidR="00F60ADF">
        <w:rPr>
          <w:rFonts w:ascii="Times New Roman" w:hAnsi="Times New Roman"/>
          <w:sz w:val="24"/>
          <w:szCs w:val="24"/>
          <w:lang w:val="es-AR"/>
        </w:rPr>
        <w:t xml:space="preserve"> </w:t>
      </w:r>
    </w:p>
    <w:p w:rsidR="00E65ADA" w:rsidRDefault="00F60ADF" w:rsidP="00F60ADF">
      <w:pPr>
        <w:spacing w:line="360" w:lineRule="auto"/>
        <w:ind w:firstLine="708"/>
        <w:rPr>
          <w:rFonts w:ascii="Times New Roman" w:hAnsi="Times New Roman"/>
          <w:sz w:val="24"/>
          <w:szCs w:val="24"/>
          <w:lang w:val="es-AR"/>
        </w:rPr>
      </w:pPr>
      <w:r w:rsidRPr="00F60ADF">
        <w:rPr>
          <w:rFonts w:ascii="Times New Roman" w:hAnsi="Times New Roman"/>
          <w:sz w:val="24"/>
          <w:szCs w:val="24"/>
          <w:lang w:val="es-AR"/>
        </w:rPr>
        <w:t>En adición, los registros no pueden estimar la situación</w:t>
      </w:r>
      <w:r>
        <w:rPr>
          <w:rFonts w:ascii="Times New Roman" w:hAnsi="Times New Roman"/>
          <w:sz w:val="24"/>
          <w:szCs w:val="24"/>
          <w:lang w:val="es-AR"/>
        </w:rPr>
        <w:t xml:space="preserve"> del hogar ni la composición familiar de los beneficiarios</w:t>
      </w:r>
      <w:r w:rsidR="00241C39">
        <w:rPr>
          <w:rFonts w:ascii="Times New Roman" w:hAnsi="Times New Roman"/>
          <w:sz w:val="24"/>
          <w:szCs w:val="24"/>
          <w:lang w:val="es-AR"/>
        </w:rPr>
        <w:t xml:space="preserve"> (ni podemos determinar a ciencia cierta el estado civil de los beneficiarios de grupos restantes)</w:t>
      </w:r>
      <w:r>
        <w:rPr>
          <w:rFonts w:ascii="Times New Roman" w:hAnsi="Times New Roman"/>
          <w:sz w:val="24"/>
          <w:szCs w:val="24"/>
          <w:lang w:val="es-AR"/>
        </w:rPr>
        <w:t xml:space="preserve">. </w:t>
      </w:r>
      <w:r w:rsidRPr="00F60ADF">
        <w:rPr>
          <w:rFonts w:ascii="Times New Roman" w:hAnsi="Times New Roman"/>
          <w:sz w:val="24"/>
          <w:szCs w:val="24"/>
          <w:lang w:val="es-AR"/>
        </w:rPr>
        <w:t>No es sencillo determinar el impacto de dichos aspectos en la relación de mortalidad PS/JO</w:t>
      </w:r>
      <w:r>
        <w:rPr>
          <w:rFonts w:ascii="Times New Roman" w:hAnsi="Times New Roman"/>
          <w:sz w:val="24"/>
          <w:szCs w:val="24"/>
          <w:lang w:val="es-AR"/>
        </w:rPr>
        <w:t>, debido a la falta de fuentes de datos complementarias en Argentina, particularmente considerando que no existen estudios previos en el país sobre este tópico en particular</w:t>
      </w:r>
      <w:r w:rsidR="00E65ADA" w:rsidRPr="00F60ADF">
        <w:rPr>
          <w:rFonts w:ascii="Times New Roman" w:hAnsi="Times New Roman"/>
          <w:sz w:val="24"/>
          <w:szCs w:val="24"/>
          <w:lang w:val="es-AR"/>
        </w:rPr>
        <w:t>.</w:t>
      </w:r>
      <w:r>
        <w:rPr>
          <w:rFonts w:ascii="Times New Roman" w:hAnsi="Times New Roman"/>
          <w:sz w:val="24"/>
          <w:szCs w:val="24"/>
          <w:lang w:val="es-AR"/>
        </w:rPr>
        <w:t xml:space="preserve"> </w:t>
      </w:r>
      <w:r w:rsidRPr="00F60ADF">
        <w:rPr>
          <w:rFonts w:ascii="Times New Roman" w:hAnsi="Times New Roman"/>
          <w:sz w:val="24"/>
          <w:szCs w:val="24"/>
          <w:lang w:val="es-AR"/>
        </w:rPr>
        <w:t xml:space="preserve">Sin embargo, </w:t>
      </w:r>
      <w:r w:rsidR="005E1EB0">
        <w:rPr>
          <w:rFonts w:ascii="Times New Roman" w:hAnsi="Times New Roman"/>
          <w:sz w:val="24"/>
          <w:szCs w:val="24"/>
          <w:lang w:val="es-AR"/>
        </w:rPr>
        <w:t>es razonable</w:t>
      </w:r>
      <w:r w:rsidRPr="00F60ADF">
        <w:rPr>
          <w:rFonts w:ascii="Times New Roman" w:hAnsi="Times New Roman"/>
          <w:sz w:val="24"/>
          <w:szCs w:val="24"/>
          <w:lang w:val="es-AR"/>
        </w:rPr>
        <w:t xml:space="preserve"> asumir que la suma de estos factores confusores indica que cualquier sesgo potenc</w:t>
      </w:r>
      <w:r w:rsidR="005E1EB0">
        <w:rPr>
          <w:rFonts w:ascii="Times New Roman" w:hAnsi="Times New Roman"/>
          <w:sz w:val="24"/>
          <w:szCs w:val="24"/>
          <w:lang w:val="es-AR"/>
        </w:rPr>
        <w:t>ial entre los grupos ha tendido</w:t>
      </w:r>
      <w:r w:rsidRPr="00F60ADF">
        <w:rPr>
          <w:rFonts w:ascii="Times New Roman" w:hAnsi="Times New Roman"/>
          <w:sz w:val="24"/>
          <w:szCs w:val="24"/>
          <w:lang w:val="es-AR"/>
        </w:rPr>
        <w:t xml:space="preserve"> a compensarse</w:t>
      </w:r>
      <w:r>
        <w:rPr>
          <w:rFonts w:ascii="Times New Roman" w:hAnsi="Times New Roman"/>
          <w:sz w:val="24"/>
          <w:szCs w:val="24"/>
          <w:lang w:val="es-AR"/>
        </w:rPr>
        <w:t xml:space="preserve"> (principalmente por la amplísima cantidad de años/persona de exposición</w:t>
      </w:r>
      <w:r w:rsidRPr="00F60ADF">
        <w:rPr>
          <w:rFonts w:ascii="Times New Roman" w:hAnsi="Times New Roman"/>
          <w:sz w:val="24"/>
          <w:szCs w:val="24"/>
          <w:lang w:val="es-AR"/>
        </w:rPr>
        <w:t xml:space="preserve"> o incluso concentrarse</w:t>
      </w:r>
      <w:r w:rsidR="005E1EB0">
        <w:rPr>
          <w:rFonts w:ascii="Times New Roman" w:hAnsi="Times New Roman"/>
          <w:sz w:val="24"/>
          <w:szCs w:val="24"/>
          <w:lang w:val="es-AR"/>
        </w:rPr>
        <w:t xml:space="preserve"> en el grupo de los que percibía</w:t>
      </w:r>
      <w:r>
        <w:rPr>
          <w:rFonts w:ascii="Times New Roman" w:hAnsi="Times New Roman"/>
          <w:sz w:val="24"/>
          <w:szCs w:val="24"/>
          <w:lang w:val="es-AR"/>
        </w:rPr>
        <w:t>n una JO (es decir, individuos que perdi</w:t>
      </w:r>
      <w:r w:rsidR="005E1EB0">
        <w:rPr>
          <w:rFonts w:ascii="Times New Roman" w:hAnsi="Times New Roman"/>
          <w:sz w:val="24"/>
          <w:szCs w:val="24"/>
          <w:lang w:val="es-AR"/>
        </w:rPr>
        <w:t>eron a su pareja pero no percibía</w:t>
      </w:r>
      <w:r>
        <w:rPr>
          <w:rFonts w:ascii="Times New Roman" w:hAnsi="Times New Roman"/>
          <w:sz w:val="24"/>
          <w:szCs w:val="24"/>
          <w:lang w:val="es-AR"/>
        </w:rPr>
        <w:t>n una prestación por viudez a causa de ello</w:t>
      </w:r>
      <w:r w:rsidR="00B5090F">
        <w:rPr>
          <w:rFonts w:ascii="Times New Roman" w:hAnsi="Times New Roman"/>
          <w:sz w:val="24"/>
          <w:szCs w:val="24"/>
          <w:lang w:val="es-AR"/>
        </w:rPr>
        <w:t xml:space="preserve"> o </w:t>
      </w:r>
      <w:r w:rsidR="005E1EB0">
        <w:rPr>
          <w:rFonts w:ascii="Times New Roman" w:hAnsi="Times New Roman"/>
          <w:sz w:val="24"/>
          <w:szCs w:val="24"/>
          <w:lang w:val="es-AR"/>
        </w:rPr>
        <w:t>el caso en que la pareja se hubiese</w:t>
      </w:r>
      <w:r w:rsidR="00B5090F">
        <w:rPr>
          <w:rFonts w:ascii="Times New Roman" w:hAnsi="Times New Roman"/>
          <w:sz w:val="24"/>
          <w:szCs w:val="24"/>
          <w:lang w:val="es-AR"/>
        </w:rPr>
        <w:t xml:space="preserve"> separado </w:t>
      </w:r>
      <w:r w:rsidR="00B5090F" w:rsidRPr="005E1EB0">
        <w:rPr>
          <w:rFonts w:ascii="Times New Roman" w:hAnsi="Times New Roman"/>
          <w:i/>
          <w:sz w:val="24"/>
          <w:szCs w:val="24"/>
          <w:lang w:val="es-AR"/>
        </w:rPr>
        <w:t>de facto</w:t>
      </w:r>
      <w:r w:rsidR="00B5090F">
        <w:rPr>
          <w:rFonts w:ascii="Times New Roman" w:hAnsi="Times New Roman"/>
          <w:sz w:val="24"/>
          <w:szCs w:val="24"/>
          <w:lang w:val="es-AR"/>
        </w:rPr>
        <w:t xml:space="preserve"> antes de que uno de sus miembros haya fallecido), por lo cual los sesgos podrían encubrir diferenciales aún mayores</w:t>
      </w:r>
      <w:r w:rsidR="00B5090F" w:rsidRPr="00B5090F">
        <w:rPr>
          <w:rFonts w:ascii="Times" w:hAnsi="Times" w:cs="Helvetica"/>
          <w:color w:val="333333"/>
          <w:sz w:val="24"/>
          <w:szCs w:val="24"/>
          <w:shd w:val="clear" w:color="auto" w:fill="FFFFFF"/>
          <w:lang w:val="es-AR"/>
        </w:rPr>
        <w:t xml:space="preserve">. </w:t>
      </w:r>
      <w:r w:rsidRPr="00B5090F">
        <w:rPr>
          <w:rFonts w:ascii="Times New Roman" w:hAnsi="Times New Roman"/>
          <w:sz w:val="24"/>
          <w:szCs w:val="24"/>
          <w:lang w:val="es-AR"/>
        </w:rPr>
        <w:t xml:space="preserve"> </w:t>
      </w:r>
      <w:r w:rsidR="005E1EB0">
        <w:rPr>
          <w:rFonts w:ascii="Times New Roman" w:hAnsi="Times New Roman"/>
          <w:sz w:val="24"/>
          <w:szCs w:val="24"/>
          <w:lang w:val="es-AR"/>
        </w:rPr>
        <w:t xml:space="preserve">Debido a esto, el principal </w:t>
      </w:r>
      <w:r w:rsidR="00241C39">
        <w:rPr>
          <w:rFonts w:ascii="Times New Roman" w:hAnsi="Times New Roman"/>
          <w:sz w:val="24"/>
          <w:szCs w:val="24"/>
          <w:lang w:val="es-AR"/>
        </w:rPr>
        <w:t>aporte</w:t>
      </w:r>
      <w:r w:rsidRPr="00F60ADF">
        <w:rPr>
          <w:rFonts w:ascii="Times New Roman" w:hAnsi="Times New Roman"/>
          <w:sz w:val="24"/>
          <w:szCs w:val="24"/>
          <w:lang w:val="es-AR"/>
        </w:rPr>
        <w:t xml:space="preserve"> de este </w:t>
      </w:r>
      <w:r w:rsidR="00241C39">
        <w:rPr>
          <w:rFonts w:ascii="Times New Roman" w:hAnsi="Times New Roman"/>
          <w:sz w:val="24"/>
          <w:szCs w:val="24"/>
          <w:lang w:val="es-AR"/>
        </w:rPr>
        <w:t>estudio no se bas</w:t>
      </w:r>
      <w:r w:rsidR="005E1EB0">
        <w:rPr>
          <w:rFonts w:ascii="Times New Roman" w:hAnsi="Times New Roman"/>
          <w:sz w:val="24"/>
          <w:szCs w:val="24"/>
          <w:lang w:val="es-AR"/>
        </w:rPr>
        <w:t xml:space="preserve">ó </w:t>
      </w:r>
      <w:r w:rsidR="00241C39">
        <w:rPr>
          <w:rFonts w:ascii="Times New Roman" w:hAnsi="Times New Roman"/>
          <w:sz w:val="24"/>
          <w:szCs w:val="24"/>
          <w:lang w:val="es-AR"/>
        </w:rPr>
        <w:t>en</w:t>
      </w:r>
      <w:r w:rsidRPr="00F60ADF">
        <w:rPr>
          <w:rFonts w:ascii="Times New Roman" w:hAnsi="Times New Roman"/>
          <w:sz w:val="24"/>
          <w:szCs w:val="24"/>
          <w:lang w:val="es-AR"/>
        </w:rPr>
        <w:t xml:space="preserve"> realizar una estimación de la mortalidad en </w:t>
      </w:r>
      <w:r>
        <w:rPr>
          <w:rFonts w:ascii="Times New Roman" w:hAnsi="Times New Roman"/>
          <w:sz w:val="24"/>
          <w:szCs w:val="24"/>
          <w:lang w:val="es-AR"/>
        </w:rPr>
        <w:t>término</w:t>
      </w:r>
      <w:r w:rsidRPr="00F60ADF">
        <w:rPr>
          <w:rFonts w:ascii="Times New Roman" w:hAnsi="Times New Roman"/>
          <w:sz w:val="24"/>
          <w:szCs w:val="24"/>
          <w:lang w:val="es-AR"/>
        </w:rPr>
        <w:t xml:space="preserve">s </w:t>
      </w:r>
      <w:r>
        <w:rPr>
          <w:rFonts w:ascii="Times New Roman" w:hAnsi="Times New Roman"/>
          <w:sz w:val="24"/>
          <w:szCs w:val="24"/>
          <w:lang w:val="es-AR"/>
        </w:rPr>
        <w:t>absoluto</w:t>
      </w:r>
      <w:r w:rsidRPr="00F60ADF">
        <w:rPr>
          <w:rFonts w:ascii="Times New Roman" w:hAnsi="Times New Roman"/>
          <w:sz w:val="24"/>
          <w:szCs w:val="24"/>
          <w:lang w:val="es-AR"/>
        </w:rPr>
        <w:t>s, sino encontrar diferenciales</w:t>
      </w:r>
      <w:r w:rsidR="005E1EB0">
        <w:rPr>
          <w:rFonts w:ascii="Times New Roman" w:hAnsi="Times New Roman"/>
          <w:sz w:val="24"/>
          <w:szCs w:val="24"/>
          <w:lang w:val="es-AR"/>
        </w:rPr>
        <w:t xml:space="preserve"> aproximados en el</w:t>
      </w:r>
      <w:r>
        <w:rPr>
          <w:rFonts w:ascii="Times New Roman" w:hAnsi="Times New Roman"/>
          <w:sz w:val="24"/>
          <w:szCs w:val="24"/>
          <w:lang w:val="es-AR"/>
        </w:rPr>
        <w:t xml:space="preserve"> riesgo</w:t>
      </w:r>
      <w:r w:rsidRPr="00F60ADF">
        <w:rPr>
          <w:rFonts w:ascii="Times New Roman" w:hAnsi="Times New Roman"/>
          <w:sz w:val="24"/>
          <w:szCs w:val="24"/>
          <w:lang w:val="es-AR"/>
        </w:rPr>
        <w:t xml:space="preserve"> entre lo</w:t>
      </w:r>
      <w:r>
        <w:rPr>
          <w:rFonts w:ascii="Times New Roman" w:hAnsi="Times New Roman"/>
          <w:sz w:val="24"/>
          <w:szCs w:val="24"/>
          <w:lang w:val="es-AR"/>
        </w:rPr>
        <w:t>s grupos</w:t>
      </w:r>
      <w:r w:rsidR="00241C39">
        <w:rPr>
          <w:rFonts w:ascii="Times New Roman" w:hAnsi="Times New Roman"/>
          <w:sz w:val="24"/>
          <w:szCs w:val="24"/>
          <w:lang w:val="es-AR"/>
        </w:rPr>
        <w:t xml:space="preserve"> de mayores de 65 años</w:t>
      </w:r>
      <w:r w:rsidR="00631CC3">
        <w:rPr>
          <w:rFonts w:ascii="Times New Roman" w:hAnsi="Times New Roman"/>
          <w:sz w:val="24"/>
          <w:szCs w:val="24"/>
          <w:lang w:val="es-AR"/>
        </w:rPr>
        <w:t xml:space="preserve"> (con particular énfasis en quienes perdieron a su cónyuge) a nivel nacional</w:t>
      </w:r>
      <w:r>
        <w:rPr>
          <w:rFonts w:ascii="Times New Roman" w:hAnsi="Times New Roman"/>
          <w:sz w:val="24"/>
          <w:szCs w:val="24"/>
          <w:lang w:val="es-AR"/>
        </w:rPr>
        <w:t xml:space="preserve">. </w:t>
      </w:r>
    </w:p>
    <w:p w:rsidR="00BC2A65" w:rsidRPr="00314E1B" w:rsidRDefault="00BC2A65" w:rsidP="00BC2A65">
      <w:pPr>
        <w:spacing w:line="360" w:lineRule="auto"/>
        <w:rPr>
          <w:rFonts w:ascii="Times New Roman" w:hAnsi="Times New Roman"/>
          <w:b/>
          <w:sz w:val="24"/>
          <w:szCs w:val="24"/>
          <w:u w:val="single"/>
          <w:lang w:val="es-AR"/>
        </w:rPr>
      </w:pPr>
    </w:p>
    <w:p w:rsidR="00BC2A65" w:rsidRPr="00BC2A65" w:rsidRDefault="00BC2A65" w:rsidP="00BC2A65">
      <w:pPr>
        <w:spacing w:line="360" w:lineRule="auto"/>
        <w:rPr>
          <w:rFonts w:ascii="Times New Roman" w:hAnsi="Times New Roman"/>
          <w:b/>
          <w:sz w:val="24"/>
          <w:szCs w:val="24"/>
          <w:u w:val="single"/>
          <w:lang w:val="es-AR"/>
        </w:rPr>
      </w:pPr>
      <w:r w:rsidRPr="00BC2A65">
        <w:rPr>
          <w:rFonts w:ascii="Times New Roman" w:hAnsi="Times New Roman"/>
          <w:b/>
          <w:sz w:val="24"/>
          <w:szCs w:val="24"/>
          <w:u w:val="single"/>
          <w:lang w:val="es-AR"/>
        </w:rPr>
        <w:t>Materiales y Métodos:</w:t>
      </w:r>
    </w:p>
    <w:p w:rsidR="00BC2A65" w:rsidRDefault="00BC2A65" w:rsidP="00BC2A65">
      <w:pPr>
        <w:spacing w:line="360" w:lineRule="auto"/>
        <w:ind w:firstLine="708"/>
        <w:rPr>
          <w:rFonts w:ascii="Times New Roman" w:hAnsi="Times New Roman"/>
          <w:sz w:val="24"/>
          <w:szCs w:val="24"/>
          <w:lang w:val="en-US"/>
        </w:rPr>
      </w:pPr>
      <w:r w:rsidRPr="00BC2A65">
        <w:rPr>
          <w:rFonts w:ascii="Times New Roman" w:hAnsi="Times New Roman"/>
          <w:sz w:val="24"/>
          <w:szCs w:val="24"/>
          <w:lang w:val="es-AR"/>
        </w:rPr>
        <w:t>Para e</w:t>
      </w:r>
      <w:r>
        <w:rPr>
          <w:rFonts w:ascii="Times New Roman" w:hAnsi="Times New Roman"/>
          <w:sz w:val="24"/>
          <w:szCs w:val="24"/>
          <w:lang w:val="es-AR"/>
        </w:rPr>
        <w:t xml:space="preserve">ste estudio se analiza el registro anual de beneficiarios provisto por ANSES. </w:t>
      </w:r>
      <w:r w:rsidRPr="00BC2A65">
        <w:rPr>
          <w:rFonts w:ascii="Times New Roman" w:hAnsi="Times New Roman"/>
          <w:sz w:val="24"/>
          <w:szCs w:val="24"/>
          <w:lang w:val="es-AR"/>
        </w:rPr>
        <w:t xml:space="preserve">Dicho registro </w:t>
      </w:r>
      <w:r>
        <w:rPr>
          <w:rFonts w:ascii="Times New Roman" w:hAnsi="Times New Roman"/>
          <w:sz w:val="24"/>
          <w:szCs w:val="24"/>
          <w:lang w:val="es-AR"/>
        </w:rPr>
        <w:t xml:space="preserve">refiere a una fecha específica (1 de Julio) y presenta información sociodemográfica básica sobre los beneficiarios. </w:t>
      </w:r>
      <w:r w:rsidRPr="00BC2A65">
        <w:rPr>
          <w:rFonts w:ascii="Times New Roman" w:hAnsi="Times New Roman"/>
          <w:sz w:val="24"/>
          <w:szCs w:val="24"/>
          <w:lang w:val="es-AR"/>
        </w:rPr>
        <w:t>Tras unir el CUIL (código único de identificación con u</w:t>
      </w:r>
      <w:r>
        <w:rPr>
          <w:rFonts w:ascii="Times New Roman" w:hAnsi="Times New Roman"/>
          <w:sz w:val="24"/>
          <w:szCs w:val="24"/>
          <w:lang w:val="es-AR"/>
        </w:rPr>
        <w:t xml:space="preserve">na (también provista por el organismo) se puede establecer que beneficiarios que se encontraban vivos al 1 de Julio fallecieron a lo largo de un período de 365 días. </w:t>
      </w:r>
    </w:p>
    <w:p w:rsidR="00BC2A65" w:rsidRPr="005E1EB0" w:rsidRDefault="00BC2A65" w:rsidP="00262E75">
      <w:pPr>
        <w:spacing w:line="360" w:lineRule="auto"/>
        <w:ind w:firstLine="708"/>
        <w:rPr>
          <w:rFonts w:ascii="Times New Roman" w:hAnsi="Times New Roman"/>
          <w:sz w:val="24"/>
          <w:szCs w:val="24"/>
          <w:lang w:val="es-AR"/>
        </w:rPr>
      </w:pPr>
      <w:r w:rsidRPr="00BC2A65">
        <w:rPr>
          <w:rFonts w:ascii="Times New Roman" w:hAnsi="Times New Roman"/>
          <w:sz w:val="24"/>
          <w:szCs w:val="24"/>
          <w:lang w:val="es-AR"/>
        </w:rPr>
        <w:t>En Argentina, como se m</w:t>
      </w:r>
      <w:r>
        <w:rPr>
          <w:rFonts w:ascii="Times New Roman" w:hAnsi="Times New Roman"/>
          <w:sz w:val="24"/>
          <w:szCs w:val="24"/>
          <w:lang w:val="es-AR"/>
        </w:rPr>
        <w:t xml:space="preserve">encionó, los individuos pueden gozar más de un beneficio previsional. </w:t>
      </w:r>
      <w:r w:rsidRPr="00BC2A65">
        <w:rPr>
          <w:rFonts w:ascii="Times New Roman" w:hAnsi="Times New Roman"/>
          <w:sz w:val="24"/>
          <w:szCs w:val="24"/>
          <w:lang w:val="es-AR"/>
        </w:rPr>
        <w:t>Por ejemplo, una persona puede percibir una</w:t>
      </w:r>
      <w:r>
        <w:rPr>
          <w:rFonts w:ascii="Times New Roman" w:hAnsi="Times New Roman"/>
          <w:sz w:val="24"/>
          <w:szCs w:val="24"/>
          <w:lang w:val="es-AR"/>
        </w:rPr>
        <w:t xml:space="preserve"> PS pero también u</w:t>
      </w:r>
      <w:r w:rsidR="00262E75">
        <w:rPr>
          <w:rFonts w:ascii="Times New Roman" w:hAnsi="Times New Roman"/>
          <w:sz w:val="24"/>
          <w:szCs w:val="24"/>
          <w:lang w:val="es-AR"/>
        </w:rPr>
        <w:t xml:space="preserve">n beneficio por Moratoria debido a que satisfizo los requisitos de edad necesarios pero no </w:t>
      </w:r>
      <w:r w:rsidR="00262E75">
        <w:rPr>
          <w:rFonts w:ascii="Times New Roman" w:hAnsi="Times New Roman"/>
          <w:sz w:val="24"/>
          <w:szCs w:val="24"/>
          <w:lang w:val="es-AR"/>
        </w:rPr>
        <w:lastRenderedPageBreak/>
        <w:t>de tiempo de contribución para disfrutar de una JO. Para los propósitos de este estudio, en</w:t>
      </w:r>
      <w:r w:rsidR="005E1EB0">
        <w:rPr>
          <w:rFonts w:ascii="Times New Roman" w:hAnsi="Times New Roman"/>
          <w:sz w:val="24"/>
          <w:szCs w:val="24"/>
          <w:lang w:val="es-AR"/>
        </w:rPr>
        <w:t>tonces, toda persona que reportó percibir una PS fue</w:t>
      </w:r>
      <w:r w:rsidR="00262E75">
        <w:rPr>
          <w:rFonts w:ascii="Times New Roman" w:hAnsi="Times New Roman"/>
          <w:sz w:val="24"/>
          <w:szCs w:val="24"/>
          <w:lang w:val="es-AR"/>
        </w:rPr>
        <w:t xml:space="preserve"> considerado un viudo/viuda, independientemente de si se trata de su beneficio principal (en términos mone</w:t>
      </w:r>
      <w:r w:rsidR="005E1EB0">
        <w:rPr>
          <w:rFonts w:ascii="Times New Roman" w:hAnsi="Times New Roman"/>
          <w:sz w:val="24"/>
          <w:szCs w:val="24"/>
          <w:lang w:val="es-AR"/>
        </w:rPr>
        <w:t>tarios). En caso de que percibieran</w:t>
      </w:r>
      <w:r w:rsidR="00262E75">
        <w:rPr>
          <w:rFonts w:ascii="Times New Roman" w:hAnsi="Times New Roman"/>
          <w:sz w:val="24"/>
          <w:szCs w:val="24"/>
          <w:lang w:val="es-AR"/>
        </w:rPr>
        <w:t xml:space="preserve"> más de un beneficio, se sumará para obtener el monto total. Esto significa que si bien es cierto que los beneficiarios de PS nominalmente perciben un monto menor al de una JO, los beneficiarios de PS (que perciben más de un beneficio) nominalmente presentan un mayor ingreso previsional que </w:t>
      </w:r>
      <w:r w:rsidR="00187261">
        <w:rPr>
          <w:rFonts w:ascii="Times New Roman" w:hAnsi="Times New Roman"/>
          <w:sz w:val="24"/>
          <w:szCs w:val="24"/>
          <w:lang w:val="es-AR"/>
        </w:rPr>
        <w:t xml:space="preserve">quienes perciben una JO, </w:t>
      </w:r>
      <w:r w:rsidR="00262E75">
        <w:rPr>
          <w:rFonts w:ascii="Times New Roman" w:hAnsi="Times New Roman"/>
          <w:sz w:val="24"/>
          <w:szCs w:val="24"/>
          <w:lang w:val="es-AR"/>
        </w:rPr>
        <w:t xml:space="preserve">que </w:t>
      </w:r>
      <w:r w:rsidR="005E1EB0">
        <w:rPr>
          <w:rFonts w:ascii="Times New Roman" w:hAnsi="Times New Roman"/>
          <w:sz w:val="24"/>
          <w:szCs w:val="24"/>
          <w:lang w:val="es-AR"/>
        </w:rPr>
        <w:t>para este trabajo sólo se limitó</w:t>
      </w:r>
      <w:r w:rsidR="00262E75">
        <w:rPr>
          <w:rFonts w:ascii="Times New Roman" w:hAnsi="Times New Roman"/>
          <w:sz w:val="24"/>
          <w:szCs w:val="24"/>
          <w:lang w:val="es-AR"/>
        </w:rPr>
        <w:t xml:space="preserve"> a quien</w:t>
      </w:r>
      <w:r w:rsidR="005E1EB0">
        <w:rPr>
          <w:rFonts w:ascii="Times New Roman" w:hAnsi="Times New Roman"/>
          <w:sz w:val="24"/>
          <w:szCs w:val="24"/>
          <w:lang w:val="es-AR"/>
        </w:rPr>
        <w:t xml:space="preserve">es gozaban de </w:t>
      </w:r>
      <w:r w:rsidR="00187261">
        <w:rPr>
          <w:rFonts w:ascii="Times New Roman" w:hAnsi="Times New Roman"/>
          <w:sz w:val="24"/>
          <w:szCs w:val="24"/>
          <w:lang w:val="es-AR"/>
        </w:rPr>
        <w:t>uno o más beneficios, sean provenientes del Sistema Integrado de Previsión Argentino (SIPA) o de provincias no transferidas</w:t>
      </w:r>
      <w:r w:rsidR="00262E75">
        <w:rPr>
          <w:rFonts w:ascii="Times New Roman" w:hAnsi="Times New Roman"/>
          <w:sz w:val="24"/>
          <w:szCs w:val="24"/>
          <w:lang w:val="es-AR"/>
        </w:rPr>
        <w:t xml:space="preserve"> </w:t>
      </w:r>
      <w:r w:rsidR="00187261">
        <w:rPr>
          <w:rFonts w:ascii="Times New Roman" w:hAnsi="Times New Roman"/>
          <w:sz w:val="24"/>
          <w:szCs w:val="24"/>
          <w:lang w:val="es-AR"/>
        </w:rPr>
        <w:t>(</w:t>
      </w:r>
      <w:r w:rsidR="00262E75">
        <w:rPr>
          <w:rFonts w:ascii="Times New Roman" w:hAnsi="Times New Roman"/>
          <w:sz w:val="24"/>
          <w:szCs w:val="24"/>
          <w:lang w:val="es-AR"/>
        </w:rPr>
        <w:t>siempre y cuando no correspondan a una PS)</w:t>
      </w:r>
      <w:r w:rsidRPr="00262E75">
        <w:rPr>
          <w:rFonts w:ascii="Times New Roman" w:hAnsi="Times New Roman"/>
          <w:sz w:val="24"/>
          <w:szCs w:val="24"/>
          <w:lang w:val="es-AR"/>
        </w:rPr>
        <w:t>.</w:t>
      </w:r>
      <w:r w:rsidR="00262E75">
        <w:rPr>
          <w:rFonts w:ascii="Times New Roman" w:hAnsi="Times New Roman"/>
          <w:sz w:val="24"/>
          <w:szCs w:val="24"/>
          <w:lang w:val="es-AR"/>
        </w:rPr>
        <w:t xml:space="preserve"> </w:t>
      </w:r>
      <w:r w:rsidR="00262E75" w:rsidRPr="00262E75">
        <w:rPr>
          <w:rFonts w:ascii="Times New Roman" w:hAnsi="Times New Roman"/>
          <w:sz w:val="24"/>
          <w:szCs w:val="24"/>
          <w:lang w:val="es-AR"/>
        </w:rPr>
        <w:t xml:space="preserve">Por lo tanto, </w:t>
      </w:r>
      <w:r w:rsidR="0041467F">
        <w:rPr>
          <w:rFonts w:ascii="Times New Roman" w:hAnsi="Times New Roman"/>
          <w:sz w:val="24"/>
          <w:szCs w:val="24"/>
          <w:lang w:val="es-AR"/>
        </w:rPr>
        <w:t>se consideraron</w:t>
      </w:r>
      <w:r w:rsidR="00262E75" w:rsidRPr="00262E75">
        <w:rPr>
          <w:rFonts w:ascii="Times New Roman" w:hAnsi="Times New Roman"/>
          <w:sz w:val="24"/>
          <w:szCs w:val="24"/>
          <w:lang w:val="es-AR"/>
        </w:rPr>
        <w:t xml:space="preserve"> los siguien</w:t>
      </w:r>
      <w:r w:rsidR="005E1EB0">
        <w:rPr>
          <w:rFonts w:ascii="Times New Roman" w:hAnsi="Times New Roman"/>
          <w:sz w:val="24"/>
          <w:szCs w:val="24"/>
          <w:lang w:val="es-AR"/>
        </w:rPr>
        <w:t>tes tres grupos: quienes gozaban de</w:t>
      </w:r>
      <w:r w:rsidR="00262E75" w:rsidRPr="00262E75">
        <w:rPr>
          <w:rFonts w:ascii="Times New Roman" w:hAnsi="Times New Roman"/>
          <w:sz w:val="24"/>
          <w:szCs w:val="24"/>
          <w:lang w:val="es-AR"/>
        </w:rPr>
        <w:t xml:space="preserve"> una PS (y pueden percibir o no algún beneficio adicional),</w:t>
      </w:r>
      <w:r w:rsidR="005E1EB0">
        <w:rPr>
          <w:rFonts w:ascii="Times New Roman" w:hAnsi="Times New Roman"/>
          <w:sz w:val="24"/>
          <w:szCs w:val="24"/>
          <w:lang w:val="es-AR"/>
        </w:rPr>
        <w:t xml:space="preserve"> quienes percibían</w:t>
      </w:r>
      <w:r w:rsidR="00262E75">
        <w:rPr>
          <w:rFonts w:ascii="Times New Roman" w:hAnsi="Times New Roman"/>
          <w:sz w:val="24"/>
          <w:szCs w:val="24"/>
          <w:lang w:val="es-AR"/>
        </w:rPr>
        <w:t xml:space="preserve"> exclusivamente una JO y</w:t>
      </w:r>
      <w:r w:rsidR="005E1EB0">
        <w:rPr>
          <w:rFonts w:ascii="Times New Roman" w:hAnsi="Times New Roman"/>
          <w:sz w:val="24"/>
          <w:szCs w:val="24"/>
          <w:lang w:val="es-AR"/>
        </w:rPr>
        <w:t xml:space="preserve"> quienes percibían</w:t>
      </w:r>
      <w:r w:rsidR="00262E75" w:rsidRPr="00262E75">
        <w:rPr>
          <w:rFonts w:ascii="Times New Roman" w:hAnsi="Times New Roman"/>
          <w:sz w:val="24"/>
          <w:szCs w:val="24"/>
          <w:lang w:val="es-AR"/>
        </w:rPr>
        <w:t xml:space="preserve"> una prestación no contributiva</w:t>
      </w:r>
      <w:r w:rsidR="00262E75">
        <w:rPr>
          <w:rFonts w:ascii="Times New Roman" w:hAnsi="Times New Roman"/>
          <w:sz w:val="24"/>
          <w:szCs w:val="24"/>
          <w:lang w:val="es-AR"/>
        </w:rPr>
        <w:t xml:space="preserve"> o de moratoria (MOR/PNC)</w:t>
      </w:r>
      <w:r w:rsidR="00241C39">
        <w:rPr>
          <w:rFonts w:ascii="Times New Roman" w:hAnsi="Times New Roman"/>
          <w:sz w:val="24"/>
          <w:szCs w:val="24"/>
          <w:lang w:val="es-AR"/>
        </w:rPr>
        <w:t xml:space="preserve">. </w:t>
      </w:r>
      <w:r w:rsidR="00262E75" w:rsidRPr="00262E75">
        <w:rPr>
          <w:rFonts w:ascii="Times New Roman" w:hAnsi="Times New Roman"/>
          <w:sz w:val="24"/>
          <w:szCs w:val="24"/>
          <w:lang w:val="es-AR"/>
        </w:rPr>
        <w:t>Para el tiempo estimado, se trabaj</w:t>
      </w:r>
      <w:r w:rsidR="005E1EB0">
        <w:rPr>
          <w:rFonts w:ascii="Times New Roman" w:hAnsi="Times New Roman"/>
          <w:sz w:val="24"/>
          <w:szCs w:val="24"/>
          <w:lang w:val="es-AR"/>
        </w:rPr>
        <w:t>ó bajo el supuesto de que no hubo</w:t>
      </w:r>
      <w:r w:rsidR="00262E75" w:rsidRPr="00262E75">
        <w:rPr>
          <w:rFonts w:ascii="Times New Roman" w:hAnsi="Times New Roman"/>
          <w:sz w:val="24"/>
          <w:szCs w:val="24"/>
          <w:lang w:val="es-AR"/>
        </w:rPr>
        <w:t xml:space="preserve"> cambios de estado</w:t>
      </w:r>
      <w:r w:rsidR="00262E75">
        <w:rPr>
          <w:rFonts w:ascii="Times New Roman" w:hAnsi="Times New Roman"/>
          <w:sz w:val="24"/>
          <w:szCs w:val="24"/>
          <w:lang w:val="es-AR"/>
        </w:rPr>
        <w:t xml:space="preserve"> entre los grupos</w:t>
      </w:r>
      <w:r w:rsidR="00262E75" w:rsidRPr="00262E75">
        <w:rPr>
          <w:rFonts w:ascii="Times New Roman" w:hAnsi="Times New Roman"/>
          <w:sz w:val="24"/>
          <w:szCs w:val="24"/>
          <w:lang w:val="es-AR"/>
        </w:rPr>
        <w:t xml:space="preserve"> durante </w:t>
      </w:r>
      <w:r w:rsidR="00262E75">
        <w:rPr>
          <w:rFonts w:ascii="Times New Roman" w:hAnsi="Times New Roman"/>
          <w:sz w:val="24"/>
          <w:szCs w:val="24"/>
          <w:lang w:val="es-AR"/>
        </w:rPr>
        <w:t xml:space="preserve">el período de exposición.  </w:t>
      </w:r>
    </w:p>
    <w:p w:rsidR="00BC2A65" w:rsidRPr="00241C39" w:rsidRDefault="00262E75" w:rsidP="00241C39">
      <w:pPr>
        <w:spacing w:line="360" w:lineRule="auto"/>
        <w:ind w:firstLine="708"/>
        <w:rPr>
          <w:rFonts w:ascii="Times New Roman" w:hAnsi="Times New Roman"/>
          <w:color w:val="000000"/>
          <w:sz w:val="24"/>
          <w:szCs w:val="24"/>
          <w:shd w:val="clear" w:color="auto" w:fill="FFFFFF"/>
          <w:lang w:val="es-AR"/>
        </w:rPr>
      </w:pPr>
      <w:r w:rsidRPr="00262E75">
        <w:rPr>
          <w:rFonts w:ascii="Times New Roman" w:hAnsi="Times New Roman"/>
          <w:color w:val="000000"/>
          <w:sz w:val="24"/>
          <w:szCs w:val="24"/>
          <w:shd w:val="clear" w:color="auto" w:fill="FFFFFF"/>
          <w:lang w:val="es-AR"/>
        </w:rPr>
        <w:t>Las medidas principales para visualizar la mortalidad a niv</w:t>
      </w:r>
      <w:r w:rsidR="005E1EB0">
        <w:rPr>
          <w:rFonts w:ascii="Times New Roman" w:hAnsi="Times New Roman"/>
          <w:color w:val="000000"/>
          <w:sz w:val="24"/>
          <w:szCs w:val="24"/>
          <w:shd w:val="clear" w:color="auto" w:fill="FFFFFF"/>
          <w:lang w:val="es-AR"/>
        </w:rPr>
        <w:t>el agregado entre los grupos fueron</w:t>
      </w:r>
      <w:r w:rsidR="0041467F">
        <w:rPr>
          <w:rFonts w:ascii="Times New Roman" w:hAnsi="Times New Roman"/>
          <w:color w:val="000000"/>
          <w:sz w:val="24"/>
          <w:szCs w:val="24"/>
          <w:shd w:val="clear" w:color="auto" w:fill="FFFFFF"/>
          <w:lang w:val="es-AR"/>
        </w:rPr>
        <w:t xml:space="preserve"> tres</w:t>
      </w:r>
      <w:r w:rsidRPr="00262E75">
        <w:rPr>
          <w:rFonts w:ascii="Times New Roman" w:hAnsi="Times New Roman"/>
          <w:color w:val="000000"/>
          <w:sz w:val="24"/>
          <w:szCs w:val="24"/>
          <w:shd w:val="clear" w:color="auto" w:fill="FFFFFF"/>
          <w:lang w:val="es-AR"/>
        </w:rPr>
        <w:t xml:space="preserve">: </w:t>
      </w:r>
      <w:r w:rsidR="005E1EB0">
        <w:rPr>
          <w:rFonts w:ascii="Times New Roman" w:hAnsi="Times New Roman"/>
          <w:color w:val="000000"/>
          <w:sz w:val="24"/>
          <w:szCs w:val="24"/>
          <w:shd w:val="clear" w:color="auto" w:fill="FFFFFF"/>
          <w:lang w:val="es-AR"/>
        </w:rPr>
        <w:t>La primera consistió</w:t>
      </w:r>
      <w:r>
        <w:rPr>
          <w:rFonts w:ascii="Times New Roman" w:hAnsi="Times New Roman"/>
          <w:color w:val="000000"/>
          <w:sz w:val="24"/>
          <w:szCs w:val="24"/>
          <w:shd w:val="clear" w:color="auto" w:fill="FFFFFF"/>
          <w:lang w:val="es-AR"/>
        </w:rPr>
        <w:t xml:space="preserve"> en estimar las tasas de mortalidad (entendidas en este caso como el cociente de eventos sobre la población expuesta) estandarizadas para la población entre los 65 y 99 años</w:t>
      </w:r>
      <w:r w:rsidR="00BC2A65" w:rsidRPr="00262E75">
        <w:rPr>
          <w:rFonts w:ascii="Times New Roman" w:hAnsi="Times New Roman"/>
          <w:color w:val="000000"/>
          <w:sz w:val="24"/>
          <w:szCs w:val="24"/>
          <w:shd w:val="clear" w:color="auto" w:fill="FFFFFF"/>
          <w:lang w:val="es-AR"/>
        </w:rPr>
        <w:t xml:space="preserve"> </w:t>
      </w:r>
      <w:r w:rsidR="00ED02BD">
        <w:rPr>
          <w:rFonts w:ascii="Times New Roman" w:hAnsi="Times New Roman"/>
          <w:color w:val="000000"/>
          <w:sz w:val="24"/>
          <w:szCs w:val="24"/>
          <w:shd w:val="clear" w:color="auto" w:fill="FFFFFF"/>
          <w:lang w:val="es-AR"/>
        </w:rPr>
        <w:t xml:space="preserve">(los centenarios fueron excluidos de este estudio debido a ciertos problemas de consistencia con los datos). </w:t>
      </w:r>
      <w:r w:rsidR="00ED02BD" w:rsidRPr="00ED02BD">
        <w:rPr>
          <w:rFonts w:ascii="Times New Roman" w:hAnsi="Times New Roman"/>
          <w:color w:val="000000"/>
          <w:sz w:val="24"/>
          <w:szCs w:val="24"/>
          <w:shd w:val="clear" w:color="auto" w:fill="FFFFFF"/>
          <w:lang w:val="es-AR"/>
        </w:rPr>
        <w:t>Debido a que cada grupo presenta distintas composiciones por</w:t>
      </w:r>
      <w:r w:rsidR="00241C39">
        <w:rPr>
          <w:rFonts w:ascii="Times New Roman" w:hAnsi="Times New Roman"/>
          <w:color w:val="000000"/>
          <w:sz w:val="24"/>
          <w:szCs w:val="24"/>
          <w:shd w:val="clear" w:color="auto" w:fill="FFFFFF"/>
          <w:lang w:val="es-AR"/>
        </w:rPr>
        <w:t xml:space="preserve"> e</w:t>
      </w:r>
      <w:r w:rsidR="00ED02BD" w:rsidRPr="00ED02BD">
        <w:rPr>
          <w:rFonts w:ascii="Times New Roman" w:hAnsi="Times New Roman"/>
          <w:color w:val="000000"/>
          <w:sz w:val="24"/>
          <w:szCs w:val="24"/>
          <w:shd w:val="clear" w:color="auto" w:fill="FFFFFF"/>
          <w:lang w:val="es-AR"/>
        </w:rPr>
        <w:t>dad y sexo (como ilustra la Tabla 1) cada grupo</w:t>
      </w:r>
      <w:r w:rsidR="00241C39">
        <w:rPr>
          <w:rFonts w:ascii="Times New Roman" w:hAnsi="Times New Roman"/>
          <w:color w:val="000000"/>
          <w:sz w:val="24"/>
          <w:szCs w:val="24"/>
          <w:shd w:val="clear" w:color="auto" w:fill="FFFFFF"/>
          <w:lang w:val="es-AR"/>
        </w:rPr>
        <w:t xml:space="preserve">, </w:t>
      </w:r>
      <w:r w:rsidR="00ED02BD">
        <w:rPr>
          <w:rFonts w:ascii="Times New Roman" w:hAnsi="Times New Roman"/>
          <w:color w:val="000000"/>
          <w:sz w:val="24"/>
          <w:szCs w:val="24"/>
          <w:shd w:val="clear" w:color="auto" w:fill="FFFFFF"/>
          <w:lang w:val="es-AR"/>
        </w:rPr>
        <w:t>el método directo</w:t>
      </w:r>
      <w:r w:rsidR="00241C39">
        <w:rPr>
          <w:rFonts w:ascii="Times New Roman" w:hAnsi="Times New Roman"/>
          <w:color w:val="000000"/>
          <w:sz w:val="24"/>
          <w:szCs w:val="24"/>
          <w:shd w:val="clear" w:color="auto" w:fill="FFFFFF"/>
          <w:lang w:val="es-AR"/>
        </w:rPr>
        <w:t xml:space="preserve"> de estandarización</w:t>
      </w:r>
      <w:r w:rsidR="00493A36">
        <w:rPr>
          <w:rFonts w:ascii="Times New Roman" w:hAnsi="Times New Roman"/>
          <w:color w:val="000000"/>
          <w:sz w:val="24"/>
          <w:szCs w:val="24"/>
          <w:shd w:val="clear" w:color="auto" w:fill="FFFFFF"/>
          <w:lang w:val="es-AR"/>
        </w:rPr>
        <w:t xml:space="preserve"> (1</w:t>
      </w:r>
      <w:r w:rsidR="00531CBA">
        <w:rPr>
          <w:rFonts w:ascii="Times New Roman" w:hAnsi="Times New Roman"/>
          <w:color w:val="000000"/>
          <w:sz w:val="24"/>
          <w:szCs w:val="24"/>
          <w:shd w:val="clear" w:color="auto" w:fill="FFFFFF"/>
          <w:lang w:val="es-AR"/>
        </w:rPr>
        <w:t>4</w:t>
      </w:r>
      <w:r w:rsidR="00493A36">
        <w:rPr>
          <w:rFonts w:ascii="Times New Roman" w:hAnsi="Times New Roman"/>
          <w:color w:val="000000"/>
          <w:sz w:val="24"/>
          <w:szCs w:val="24"/>
          <w:shd w:val="clear" w:color="auto" w:fill="FFFFFF"/>
          <w:lang w:val="es-AR"/>
        </w:rPr>
        <w:t>, 1</w:t>
      </w:r>
      <w:r w:rsidR="00531CBA">
        <w:rPr>
          <w:rFonts w:ascii="Times New Roman" w:hAnsi="Times New Roman"/>
          <w:color w:val="000000"/>
          <w:sz w:val="24"/>
          <w:szCs w:val="24"/>
          <w:shd w:val="clear" w:color="auto" w:fill="FFFFFF"/>
          <w:lang w:val="es-AR"/>
        </w:rPr>
        <w:t>5</w:t>
      </w:r>
      <w:r w:rsidR="002726C1">
        <w:rPr>
          <w:rFonts w:ascii="Times New Roman" w:hAnsi="Times New Roman"/>
          <w:color w:val="000000"/>
          <w:sz w:val="24"/>
          <w:szCs w:val="24"/>
          <w:shd w:val="clear" w:color="auto" w:fill="FFFFFF"/>
          <w:lang w:val="es-AR"/>
        </w:rPr>
        <w:t>), resulta</w:t>
      </w:r>
      <w:r w:rsidR="00ED02BD">
        <w:rPr>
          <w:rFonts w:ascii="Times New Roman" w:hAnsi="Times New Roman"/>
          <w:color w:val="000000"/>
          <w:sz w:val="24"/>
          <w:szCs w:val="24"/>
          <w:shd w:val="clear" w:color="auto" w:fill="FFFFFF"/>
          <w:lang w:val="es-AR"/>
        </w:rPr>
        <w:t xml:space="preserve"> una medid</w:t>
      </w:r>
      <w:r w:rsidR="005E1EB0">
        <w:rPr>
          <w:rFonts w:ascii="Times New Roman" w:hAnsi="Times New Roman"/>
          <w:color w:val="000000"/>
          <w:sz w:val="24"/>
          <w:szCs w:val="24"/>
          <w:shd w:val="clear" w:color="auto" w:fill="FFFFFF"/>
          <w:lang w:val="es-AR"/>
        </w:rPr>
        <w:t>a</w:t>
      </w:r>
      <w:r w:rsidR="0041467F">
        <w:rPr>
          <w:rFonts w:ascii="Times New Roman" w:hAnsi="Times New Roman"/>
          <w:color w:val="000000"/>
          <w:sz w:val="24"/>
          <w:szCs w:val="24"/>
          <w:shd w:val="clear" w:color="auto" w:fill="FFFFFF"/>
          <w:lang w:val="es-AR"/>
        </w:rPr>
        <w:t xml:space="preserve"> sencilla</w:t>
      </w:r>
      <w:r w:rsidR="005E1EB0">
        <w:rPr>
          <w:rFonts w:ascii="Times New Roman" w:hAnsi="Times New Roman"/>
          <w:color w:val="000000"/>
          <w:sz w:val="24"/>
          <w:szCs w:val="24"/>
          <w:shd w:val="clear" w:color="auto" w:fill="FFFFFF"/>
          <w:lang w:val="es-AR"/>
        </w:rPr>
        <w:t xml:space="preserve"> pero </w:t>
      </w:r>
      <w:r w:rsidR="00ED02BD">
        <w:rPr>
          <w:rFonts w:ascii="Times New Roman" w:hAnsi="Times New Roman"/>
          <w:color w:val="000000"/>
          <w:sz w:val="24"/>
          <w:szCs w:val="24"/>
          <w:shd w:val="clear" w:color="auto" w:fill="FFFFFF"/>
          <w:lang w:val="es-AR"/>
        </w:rPr>
        <w:t>apropiada para estimar</w:t>
      </w:r>
      <w:r w:rsidR="00241C39">
        <w:rPr>
          <w:rFonts w:ascii="Times New Roman" w:hAnsi="Times New Roman"/>
          <w:color w:val="000000"/>
          <w:sz w:val="24"/>
          <w:szCs w:val="24"/>
          <w:shd w:val="clear" w:color="auto" w:fill="FFFFFF"/>
          <w:lang w:val="es-AR"/>
        </w:rPr>
        <w:t xml:space="preserve"> diferenciales en primera instancia</w:t>
      </w:r>
      <w:r w:rsidR="00BC2A65" w:rsidRPr="00241C39">
        <w:rPr>
          <w:rFonts w:ascii="Times New Roman" w:hAnsi="Times New Roman"/>
          <w:color w:val="000000"/>
          <w:sz w:val="24"/>
          <w:szCs w:val="24"/>
          <w:shd w:val="clear" w:color="auto" w:fill="FFFFFF"/>
          <w:lang w:val="es-AR"/>
        </w:rPr>
        <w:t xml:space="preserve">. </w:t>
      </w:r>
      <w:r w:rsidR="005E1EB0">
        <w:rPr>
          <w:rFonts w:ascii="Times New Roman" w:hAnsi="Times New Roman"/>
          <w:color w:val="000000"/>
          <w:sz w:val="24"/>
          <w:szCs w:val="24"/>
          <w:shd w:val="clear" w:color="auto" w:fill="FFFFFF"/>
          <w:lang w:val="es-AR"/>
        </w:rPr>
        <w:t>Se utilizó</w:t>
      </w:r>
      <w:r w:rsidR="00ED02BD" w:rsidRPr="00ED02BD">
        <w:rPr>
          <w:rFonts w:ascii="Times New Roman" w:hAnsi="Times New Roman"/>
          <w:color w:val="000000"/>
          <w:sz w:val="24"/>
          <w:szCs w:val="24"/>
          <w:shd w:val="clear" w:color="auto" w:fill="FFFFFF"/>
          <w:lang w:val="es-AR"/>
        </w:rPr>
        <w:t xml:space="preserve"> el número total de años persona del per</w:t>
      </w:r>
      <w:r w:rsidR="00241C39">
        <w:rPr>
          <w:rFonts w:ascii="Times New Roman" w:hAnsi="Times New Roman"/>
          <w:color w:val="000000"/>
          <w:sz w:val="24"/>
          <w:szCs w:val="24"/>
          <w:shd w:val="clear" w:color="auto" w:fill="FFFFFF"/>
          <w:lang w:val="es-AR"/>
        </w:rPr>
        <w:t>í</w:t>
      </w:r>
      <w:r w:rsidR="00ED02BD" w:rsidRPr="00ED02BD">
        <w:rPr>
          <w:rFonts w:ascii="Times New Roman" w:hAnsi="Times New Roman"/>
          <w:color w:val="000000"/>
          <w:sz w:val="24"/>
          <w:szCs w:val="24"/>
          <w:shd w:val="clear" w:color="auto" w:fill="FFFFFF"/>
          <w:lang w:val="es-AR"/>
        </w:rPr>
        <w:t>od</w:t>
      </w:r>
      <w:r w:rsidR="00241C39">
        <w:rPr>
          <w:rFonts w:ascii="Times New Roman" w:hAnsi="Times New Roman"/>
          <w:color w:val="000000"/>
          <w:sz w:val="24"/>
          <w:szCs w:val="24"/>
          <w:shd w:val="clear" w:color="auto" w:fill="FFFFFF"/>
          <w:lang w:val="es-AR"/>
        </w:rPr>
        <w:t>o</w:t>
      </w:r>
      <w:r w:rsidR="00ED02BD" w:rsidRPr="00ED02BD">
        <w:rPr>
          <w:rFonts w:ascii="Times New Roman" w:hAnsi="Times New Roman"/>
          <w:color w:val="000000"/>
          <w:sz w:val="24"/>
          <w:szCs w:val="24"/>
          <w:shd w:val="clear" w:color="auto" w:fill="FFFFFF"/>
          <w:lang w:val="es-AR"/>
        </w:rPr>
        <w:t xml:space="preserve"> en el registro, dividido por grupos de edad de 5 años. </w:t>
      </w:r>
    </w:p>
    <w:p w:rsidR="00BC2A65" w:rsidRDefault="00262E75" w:rsidP="000F11F8">
      <w:pPr>
        <w:spacing w:line="360" w:lineRule="auto"/>
        <w:ind w:firstLine="708"/>
        <w:rPr>
          <w:rFonts w:ascii="Times New Roman" w:hAnsi="Times New Roman"/>
          <w:sz w:val="24"/>
          <w:szCs w:val="24"/>
          <w:lang w:val="es-AR"/>
        </w:rPr>
      </w:pPr>
      <w:r w:rsidRPr="00262E75">
        <w:rPr>
          <w:rFonts w:ascii="Times New Roman" w:hAnsi="Times New Roman"/>
          <w:sz w:val="24"/>
          <w:szCs w:val="24"/>
          <w:lang w:val="es-AR"/>
        </w:rPr>
        <w:t>Sin embargo, las tasas e</w:t>
      </w:r>
      <w:r w:rsidR="005E1EB0">
        <w:rPr>
          <w:rFonts w:ascii="Times New Roman" w:hAnsi="Times New Roman"/>
          <w:sz w:val="24"/>
          <w:szCs w:val="24"/>
          <w:lang w:val="es-AR"/>
        </w:rPr>
        <w:t>standarizadas</w:t>
      </w:r>
      <w:r>
        <w:rPr>
          <w:rFonts w:ascii="Times New Roman" w:hAnsi="Times New Roman"/>
          <w:sz w:val="24"/>
          <w:szCs w:val="24"/>
          <w:lang w:val="es-AR"/>
        </w:rPr>
        <w:t xml:space="preserve"> </w:t>
      </w:r>
      <w:r w:rsidR="00ED02BD">
        <w:rPr>
          <w:rFonts w:ascii="Times New Roman" w:hAnsi="Times New Roman"/>
          <w:sz w:val="24"/>
          <w:szCs w:val="24"/>
          <w:lang w:val="es-AR"/>
        </w:rPr>
        <w:t>pueden variar</w:t>
      </w:r>
      <w:r>
        <w:rPr>
          <w:rFonts w:ascii="Times New Roman" w:hAnsi="Times New Roman"/>
          <w:sz w:val="24"/>
          <w:szCs w:val="24"/>
          <w:lang w:val="es-AR"/>
        </w:rPr>
        <w:t xml:space="preserve"> según el estándar elegido</w:t>
      </w:r>
      <w:r w:rsidR="005E1EB0">
        <w:rPr>
          <w:rFonts w:ascii="Times New Roman" w:hAnsi="Times New Roman"/>
          <w:sz w:val="24"/>
          <w:szCs w:val="24"/>
          <w:lang w:val="es-AR"/>
        </w:rPr>
        <w:t xml:space="preserve"> de manera arbitraria</w:t>
      </w:r>
      <w:r w:rsidR="00493A36">
        <w:rPr>
          <w:rFonts w:ascii="Times New Roman" w:hAnsi="Times New Roman"/>
          <w:sz w:val="24"/>
          <w:szCs w:val="24"/>
          <w:lang w:val="es-AR"/>
        </w:rPr>
        <w:t xml:space="preserve"> (1</w:t>
      </w:r>
      <w:r w:rsidR="00531CBA">
        <w:rPr>
          <w:rFonts w:ascii="Times New Roman" w:hAnsi="Times New Roman"/>
          <w:sz w:val="24"/>
          <w:szCs w:val="24"/>
          <w:lang w:val="es-AR"/>
        </w:rPr>
        <w:t>6</w:t>
      </w:r>
      <w:r w:rsidR="00ED02BD">
        <w:rPr>
          <w:rFonts w:ascii="Times New Roman" w:hAnsi="Times New Roman"/>
          <w:sz w:val="24"/>
          <w:szCs w:val="24"/>
          <w:lang w:val="es-AR"/>
        </w:rPr>
        <w:t>)</w:t>
      </w:r>
      <w:r>
        <w:rPr>
          <w:rFonts w:ascii="Times New Roman" w:hAnsi="Times New Roman"/>
          <w:sz w:val="24"/>
          <w:szCs w:val="24"/>
          <w:lang w:val="es-AR"/>
        </w:rPr>
        <w:t>. Es por eso que complementariamente para estimar a nivel agregado</w:t>
      </w:r>
      <w:r w:rsidR="00D60022">
        <w:rPr>
          <w:rFonts w:ascii="Times New Roman" w:hAnsi="Times New Roman"/>
          <w:sz w:val="24"/>
          <w:szCs w:val="24"/>
          <w:lang w:val="es-AR"/>
        </w:rPr>
        <w:t xml:space="preserve"> la mortalidad</w:t>
      </w:r>
      <w:r>
        <w:rPr>
          <w:rFonts w:ascii="Times New Roman" w:hAnsi="Times New Roman"/>
          <w:sz w:val="24"/>
          <w:szCs w:val="24"/>
          <w:lang w:val="es-AR"/>
        </w:rPr>
        <w:t xml:space="preserve"> </w:t>
      </w:r>
      <w:r w:rsidR="005E1EB0">
        <w:rPr>
          <w:rFonts w:ascii="Times New Roman" w:hAnsi="Times New Roman"/>
          <w:sz w:val="24"/>
          <w:szCs w:val="24"/>
          <w:lang w:val="es-AR"/>
        </w:rPr>
        <w:t>se utilizó</w:t>
      </w:r>
      <w:r w:rsidR="00ED02BD">
        <w:rPr>
          <w:rFonts w:ascii="Times New Roman" w:hAnsi="Times New Roman"/>
          <w:sz w:val="24"/>
          <w:szCs w:val="24"/>
          <w:lang w:val="es-AR"/>
        </w:rPr>
        <w:t xml:space="preserve"> el procedimiento</w:t>
      </w:r>
      <w:r w:rsidR="00493A36">
        <w:rPr>
          <w:rFonts w:ascii="Times New Roman" w:hAnsi="Times New Roman"/>
          <w:sz w:val="24"/>
          <w:szCs w:val="24"/>
          <w:lang w:val="es-AR"/>
        </w:rPr>
        <w:t xml:space="preserve"> de Kitagawa (1</w:t>
      </w:r>
      <w:r w:rsidR="00531CBA">
        <w:rPr>
          <w:rFonts w:ascii="Times New Roman" w:hAnsi="Times New Roman"/>
          <w:sz w:val="24"/>
          <w:szCs w:val="24"/>
          <w:lang w:val="es-AR"/>
        </w:rPr>
        <w:t>7</w:t>
      </w:r>
      <w:r>
        <w:rPr>
          <w:rFonts w:ascii="Times New Roman" w:hAnsi="Times New Roman"/>
          <w:sz w:val="24"/>
          <w:szCs w:val="24"/>
          <w:lang w:val="es-AR"/>
        </w:rPr>
        <w:t>) para descomponer las tasas entre los grupos y separar</w:t>
      </w:r>
      <w:r w:rsidR="00115BD2">
        <w:rPr>
          <w:rFonts w:ascii="Times New Roman" w:hAnsi="Times New Roman"/>
          <w:sz w:val="24"/>
          <w:szCs w:val="24"/>
          <w:lang w:val="es-AR"/>
        </w:rPr>
        <w:t xml:space="preserve"> sencillamente</w:t>
      </w:r>
      <w:r>
        <w:rPr>
          <w:rFonts w:ascii="Times New Roman" w:hAnsi="Times New Roman"/>
          <w:sz w:val="24"/>
          <w:szCs w:val="24"/>
          <w:lang w:val="es-AR"/>
        </w:rPr>
        <w:t xml:space="preserve"> el efecto edad del fenómeno en cuestión</w:t>
      </w:r>
      <w:r w:rsidR="00ED02BD">
        <w:rPr>
          <w:rFonts w:ascii="Times New Roman" w:hAnsi="Times New Roman"/>
          <w:sz w:val="24"/>
          <w:szCs w:val="24"/>
          <w:lang w:val="es-AR"/>
        </w:rPr>
        <w:t xml:space="preserve"> </w:t>
      </w:r>
      <w:r w:rsidR="00D60022">
        <w:rPr>
          <w:rFonts w:ascii="Times New Roman" w:hAnsi="Times New Roman"/>
          <w:sz w:val="24"/>
          <w:szCs w:val="24"/>
          <w:lang w:val="es-AR"/>
        </w:rPr>
        <w:t>(sin que los resultados dependieran</w:t>
      </w:r>
      <w:r w:rsidR="00ED02BD">
        <w:rPr>
          <w:rFonts w:ascii="Times New Roman" w:hAnsi="Times New Roman"/>
          <w:sz w:val="24"/>
          <w:szCs w:val="24"/>
          <w:lang w:val="es-AR"/>
        </w:rPr>
        <w:t xml:space="preserve"> de la estandarización </w:t>
      </w:r>
      <w:r w:rsidR="00834A37">
        <w:rPr>
          <w:rFonts w:ascii="Times New Roman" w:hAnsi="Times New Roman"/>
          <w:sz w:val="24"/>
          <w:szCs w:val="24"/>
          <w:lang w:val="es-AR"/>
        </w:rPr>
        <w:t>escogida</w:t>
      </w:r>
      <w:r w:rsidR="00ED02BD">
        <w:rPr>
          <w:rFonts w:ascii="Times New Roman" w:hAnsi="Times New Roman"/>
          <w:sz w:val="24"/>
          <w:szCs w:val="24"/>
          <w:lang w:val="es-AR"/>
        </w:rPr>
        <w:t>)</w:t>
      </w:r>
      <w:r>
        <w:rPr>
          <w:rFonts w:ascii="Times New Roman" w:hAnsi="Times New Roman"/>
          <w:sz w:val="24"/>
          <w:szCs w:val="24"/>
          <w:lang w:val="es-AR"/>
        </w:rPr>
        <w:t xml:space="preserve">. </w:t>
      </w:r>
      <w:r w:rsidR="00ED02BD">
        <w:rPr>
          <w:rFonts w:ascii="Times New Roman" w:hAnsi="Times New Roman"/>
          <w:sz w:val="24"/>
          <w:szCs w:val="24"/>
          <w:lang w:val="es-AR"/>
        </w:rPr>
        <w:t xml:space="preserve">Este método </w:t>
      </w:r>
      <w:r w:rsidR="00D60022">
        <w:rPr>
          <w:rFonts w:ascii="Times New Roman" w:hAnsi="Times New Roman"/>
          <w:sz w:val="24"/>
          <w:szCs w:val="24"/>
          <w:lang w:val="es-AR"/>
        </w:rPr>
        <w:t>es particularmente útil</w:t>
      </w:r>
      <w:r w:rsidR="00ED02BD">
        <w:rPr>
          <w:rFonts w:ascii="Times New Roman" w:hAnsi="Times New Roman"/>
          <w:sz w:val="24"/>
          <w:szCs w:val="24"/>
          <w:lang w:val="es-AR"/>
        </w:rPr>
        <w:t xml:space="preserve"> para descomponer entre grupos/poblaciones cuando sólo se dispone de un año de exposición, como es el caso.  </w:t>
      </w:r>
    </w:p>
    <w:p w:rsidR="00115BD2" w:rsidRDefault="005E1EB0" w:rsidP="00834A37">
      <w:pPr>
        <w:spacing w:line="360" w:lineRule="auto"/>
        <w:ind w:firstLine="708"/>
        <w:rPr>
          <w:rFonts w:ascii="Times New Roman" w:hAnsi="Times New Roman"/>
          <w:sz w:val="24"/>
          <w:szCs w:val="24"/>
          <w:lang w:val="es-AR"/>
        </w:rPr>
      </w:pPr>
      <w:r>
        <w:rPr>
          <w:rFonts w:ascii="Times New Roman" w:hAnsi="Times New Roman"/>
          <w:sz w:val="24"/>
          <w:szCs w:val="24"/>
          <w:lang w:val="es-AR"/>
        </w:rPr>
        <w:t xml:space="preserve">El método </w:t>
      </w:r>
      <w:r w:rsidR="0041467F">
        <w:rPr>
          <w:rFonts w:ascii="Times New Roman" w:hAnsi="Times New Roman"/>
          <w:sz w:val="24"/>
          <w:szCs w:val="24"/>
          <w:lang w:val="es-AR"/>
        </w:rPr>
        <w:t xml:space="preserve">matemático </w:t>
      </w:r>
      <w:r>
        <w:rPr>
          <w:rFonts w:ascii="Times New Roman" w:hAnsi="Times New Roman"/>
          <w:sz w:val="24"/>
          <w:szCs w:val="24"/>
          <w:lang w:val="es-AR"/>
        </w:rPr>
        <w:t>de Kitagawa permitió</w:t>
      </w:r>
      <w:r w:rsidR="00115BD2">
        <w:rPr>
          <w:rFonts w:ascii="Times New Roman" w:hAnsi="Times New Roman"/>
          <w:sz w:val="24"/>
          <w:szCs w:val="24"/>
          <w:lang w:val="es-AR"/>
        </w:rPr>
        <w:t xml:space="preserve"> </w:t>
      </w:r>
      <w:r w:rsidR="00834A37">
        <w:rPr>
          <w:rFonts w:ascii="Times New Roman" w:hAnsi="Times New Roman"/>
          <w:sz w:val="24"/>
          <w:szCs w:val="24"/>
          <w:lang w:val="es-AR"/>
        </w:rPr>
        <w:t>descomponer la diferencia entre dos tasas</w:t>
      </w:r>
      <w:r w:rsidR="00115BD2">
        <w:rPr>
          <w:rFonts w:ascii="Times New Roman" w:hAnsi="Times New Roman"/>
          <w:sz w:val="24"/>
          <w:szCs w:val="24"/>
          <w:lang w:val="es-AR"/>
        </w:rPr>
        <w:t xml:space="preserve"> </w:t>
      </w:r>
      <w:r w:rsidR="00834A37">
        <w:rPr>
          <w:rFonts w:ascii="Times New Roman" w:hAnsi="Times New Roman"/>
          <w:sz w:val="24"/>
          <w:szCs w:val="24"/>
          <w:lang w:val="es-AR"/>
        </w:rPr>
        <w:t>de mortalidad</w:t>
      </w:r>
      <w:r w:rsidR="00115BD2">
        <w:rPr>
          <w:rFonts w:ascii="Times New Roman" w:hAnsi="Times New Roman"/>
          <w:sz w:val="24"/>
          <w:szCs w:val="24"/>
          <w:lang w:val="es-AR"/>
        </w:rPr>
        <w:t xml:space="preserve"> de la siguiente manera</w:t>
      </w:r>
      <w:r w:rsidR="00834A37">
        <w:rPr>
          <w:rFonts w:ascii="Times New Roman" w:hAnsi="Times New Roman"/>
          <w:sz w:val="24"/>
          <w:szCs w:val="24"/>
          <w:lang w:val="es-AR"/>
        </w:rPr>
        <w:t xml:space="preserve">: </w:t>
      </w:r>
    </w:p>
    <w:p w:rsidR="00834A37" w:rsidRDefault="00115BD2" w:rsidP="00834A37">
      <w:pPr>
        <w:spacing w:line="360" w:lineRule="auto"/>
        <w:ind w:firstLine="708"/>
        <w:jc w:val="left"/>
        <w:rPr>
          <w:position w:val="-56"/>
          <w:sz w:val="20"/>
          <w:szCs w:val="20"/>
        </w:rPr>
      </w:pPr>
      <w:r w:rsidRPr="005E1EB0">
        <w:rPr>
          <w:rFonts w:ascii="CMEX10" w:hAnsi="CMEX10"/>
          <w:color w:val="000000"/>
          <w:lang w:val="es-AR"/>
        </w:rPr>
        <w:lastRenderedPageBreak/>
        <w:br/>
      </w:r>
      <w:r w:rsidR="00834A37" w:rsidRPr="00D357C4">
        <w:rPr>
          <w:position w:val="-32"/>
          <w:sz w:val="20"/>
          <w:szCs w:val="20"/>
        </w:rPr>
        <w:object w:dxaOrig="49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8.75pt" o:ole="">
            <v:imagedata r:id="rId8" o:title=""/>
          </v:shape>
          <o:OLEObject Type="Embed" ProgID="Equation.3" ShapeID="_x0000_i1025" DrawAspect="Content" ObjectID="_1653982933" r:id="rId9"/>
        </w:object>
      </w:r>
    </w:p>
    <w:p w:rsidR="00187261" w:rsidRPr="00115BD2" w:rsidRDefault="00834A37" w:rsidP="00834A37">
      <w:pPr>
        <w:spacing w:line="360" w:lineRule="auto"/>
        <w:jc w:val="left"/>
        <w:rPr>
          <w:rFonts w:ascii="Times New Roman" w:hAnsi="Times New Roman"/>
          <w:b/>
          <w:sz w:val="24"/>
          <w:szCs w:val="24"/>
          <w:lang w:val="en-US"/>
        </w:rPr>
      </w:pPr>
      <w:r w:rsidRPr="00834A37">
        <w:rPr>
          <w:position w:val="-62"/>
          <w:sz w:val="20"/>
          <w:szCs w:val="20"/>
        </w:rPr>
        <w:object w:dxaOrig="4740" w:dyaOrig="1359">
          <v:shape id="_x0000_i1026" type="#_x0000_t75" style="width:375pt;height:87.75pt" o:ole="">
            <v:imagedata r:id="rId10" o:title=""/>
          </v:shape>
          <o:OLEObject Type="Embed" ProgID="Equation.3" ShapeID="_x0000_i1026" DrawAspect="Content" ObjectID="_1653982934" r:id="rId11"/>
        </w:object>
      </w:r>
    </w:p>
    <w:p w:rsidR="00834A37" w:rsidRDefault="00834A37" w:rsidP="00637ECF">
      <w:pPr>
        <w:spacing w:line="360" w:lineRule="auto"/>
        <w:rPr>
          <w:rFonts w:ascii="Times New Roman" w:hAnsi="Times New Roman"/>
          <w:b/>
          <w:sz w:val="24"/>
          <w:szCs w:val="24"/>
        </w:rPr>
      </w:pPr>
      <w:r w:rsidRPr="00834A37">
        <w:rPr>
          <w:position w:val="-10"/>
          <w:sz w:val="20"/>
          <w:szCs w:val="20"/>
        </w:rPr>
        <w:object w:dxaOrig="1640" w:dyaOrig="320">
          <v:shape id="_x0000_i1027" type="#_x0000_t75" style="width:129.75pt;height:21pt" o:ole="">
            <v:imagedata r:id="rId12" o:title=""/>
          </v:shape>
          <o:OLEObject Type="Embed" ProgID="Equation.3" ShapeID="_x0000_i1027" DrawAspect="Content" ObjectID="_1653982935" r:id="rId13"/>
        </w:object>
      </w:r>
    </w:p>
    <w:p w:rsidR="0041467F" w:rsidRDefault="0041467F" w:rsidP="00637ECF">
      <w:pPr>
        <w:spacing w:line="360" w:lineRule="auto"/>
        <w:rPr>
          <w:rFonts w:ascii="Times New Roman" w:hAnsi="Times New Roman"/>
          <w:sz w:val="24"/>
          <w:szCs w:val="24"/>
        </w:rPr>
      </w:pPr>
    </w:p>
    <w:p w:rsidR="00834A37" w:rsidRDefault="00834A37" w:rsidP="0041467F">
      <w:pPr>
        <w:spacing w:line="360" w:lineRule="auto"/>
        <w:ind w:firstLine="708"/>
        <w:rPr>
          <w:rFonts w:ascii="Times New Roman" w:hAnsi="Times New Roman"/>
          <w:sz w:val="24"/>
          <w:szCs w:val="24"/>
        </w:rPr>
      </w:pPr>
      <w:r>
        <w:rPr>
          <w:rFonts w:ascii="Times New Roman" w:hAnsi="Times New Roman"/>
          <w:sz w:val="24"/>
          <w:szCs w:val="24"/>
        </w:rPr>
        <w:t>Siendo</w:t>
      </w:r>
      <w:r w:rsidR="00C05D40">
        <w:rPr>
          <w:rFonts w:ascii="Times New Roman" w:hAnsi="Times New Roman"/>
          <w:sz w:val="24"/>
          <w:szCs w:val="24"/>
        </w:rPr>
        <w:t xml:space="preserve"> CE el componente edad entre la sumatoria por grupos de edad de</w:t>
      </w:r>
      <w:r>
        <w:rPr>
          <w:rFonts w:ascii="Times New Roman" w:hAnsi="Times New Roman"/>
          <w:sz w:val="24"/>
          <w:szCs w:val="24"/>
        </w:rPr>
        <w:t xml:space="preserve"> t</w:t>
      </w:r>
      <w:r w:rsidR="00C05D40">
        <w:rPr>
          <w:rFonts w:ascii="Times New Roman" w:hAnsi="Times New Roman"/>
          <w:sz w:val="24"/>
          <w:szCs w:val="24"/>
        </w:rPr>
        <w:t>asas de mortalidad de dos poblaciones</w:t>
      </w:r>
      <w:r>
        <w:rPr>
          <w:rFonts w:ascii="Times New Roman" w:hAnsi="Times New Roman"/>
          <w:sz w:val="24"/>
          <w:szCs w:val="24"/>
        </w:rPr>
        <w:t xml:space="preserve"> G1 y G2, siendo M la mortalidad observada y N la exposición, mientras que CT el componente atribuible a las tasas de mortalidad (con el efecto edad ya separado) y</w:t>
      </w:r>
      <w:r w:rsidR="00D60022">
        <w:rPr>
          <w:rFonts w:ascii="Times New Roman" w:hAnsi="Times New Roman"/>
          <w:sz w:val="24"/>
          <w:szCs w:val="24"/>
        </w:rPr>
        <w:t xml:space="preserve"> la suma de estos componentes es</w:t>
      </w:r>
      <w:r>
        <w:rPr>
          <w:rFonts w:ascii="Times New Roman" w:hAnsi="Times New Roman"/>
          <w:sz w:val="24"/>
          <w:szCs w:val="24"/>
        </w:rPr>
        <w:t xml:space="preserve"> la diferencia de tasas de mortalidad entre los grupos. </w:t>
      </w:r>
    </w:p>
    <w:p w:rsidR="00432665" w:rsidRDefault="00D60022" w:rsidP="00637ECF">
      <w:pPr>
        <w:spacing w:line="360" w:lineRule="auto"/>
        <w:rPr>
          <w:rFonts w:ascii="Times New Roman" w:hAnsi="Times New Roman"/>
          <w:sz w:val="24"/>
          <w:szCs w:val="24"/>
        </w:rPr>
      </w:pPr>
      <w:r>
        <w:rPr>
          <w:rFonts w:ascii="Times New Roman" w:hAnsi="Times New Roman"/>
          <w:sz w:val="24"/>
          <w:szCs w:val="24"/>
        </w:rPr>
        <w:tab/>
        <w:t>Por último, una te</w:t>
      </w:r>
      <w:r w:rsidR="00A27B24">
        <w:rPr>
          <w:rFonts w:ascii="Times New Roman" w:hAnsi="Times New Roman"/>
          <w:sz w:val="24"/>
          <w:szCs w:val="24"/>
        </w:rPr>
        <w:t>rcera manera de descomponer los efectos de la edad en la estimación de la mortalidad es</w:t>
      </w:r>
      <w:r>
        <w:rPr>
          <w:rFonts w:ascii="Times New Roman" w:hAnsi="Times New Roman"/>
          <w:sz w:val="24"/>
          <w:szCs w:val="24"/>
        </w:rPr>
        <w:t xml:space="preserve"> el</w:t>
      </w:r>
      <w:r w:rsidR="00A27B24">
        <w:rPr>
          <w:rFonts w:ascii="Times New Roman" w:hAnsi="Times New Roman"/>
          <w:sz w:val="24"/>
          <w:szCs w:val="24"/>
        </w:rPr>
        <w:t xml:space="preserve"> clásico</w:t>
      </w:r>
      <w:r>
        <w:rPr>
          <w:rFonts w:ascii="Times New Roman" w:hAnsi="Times New Roman"/>
          <w:sz w:val="24"/>
          <w:szCs w:val="24"/>
        </w:rPr>
        <w:t xml:space="preserve"> método de</w:t>
      </w:r>
      <w:r w:rsidR="00A27B24">
        <w:rPr>
          <w:rFonts w:ascii="Times New Roman" w:hAnsi="Times New Roman"/>
          <w:sz w:val="24"/>
          <w:szCs w:val="24"/>
        </w:rPr>
        <w:t>mográfico de las tablas de mortalidad/tablas de vida</w:t>
      </w:r>
      <w:r>
        <w:rPr>
          <w:rFonts w:ascii="Times New Roman" w:hAnsi="Times New Roman"/>
          <w:sz w:val="24"/>
          <w:szCs w:val="24"/>
        </w:rPr>
        <w:t xml:space="preserve">. Por lo cual se calcularon tablas de vida utilizando el procedimiento clásico </w:t>
      </w:r>
      <w:r w:rsidR="00A27B24">
        <w:rPr>
          <w:rFonts w:ascii="Times New Roman" w:hAnsi="Times New Roman"/>
          <w:sz w:val="24"/>
          <w:szCs w:val="24"/>
        </w:rPr>
        <w:t>para grupos de 5 años de edad (1</w:t>
      </w:r>
      <w:r w:rsidR="00531CBA">
        <w:rPr>
          <w:rFonts w:ascii="Times New Roman" w:hAnsi="Times New Roman"/>
          <w:sz w:val="24"/>
          <w:szCs w:val="24"/>
        </w:rPr>
        <w:t>8</w:t>
      </w:r>
      <w:r>
        <w:rPr>
          <w:rFonts w:ascii="Times New Roman" w:hAnsi="Times New Roman"/>
          <w:sz w:val="24"/>
          <w:szCs w:val="24"/>
        </w:rPr>
        <w:t>)</w:t>
      </w:r>
      <w:r w:rsidR="00A27B24">
        <w:rPr>
          <w:rFonts w:ascii="Times New Roman" w:hAnsi="Times New Roman"/>
          <w:sz w:val="24"/>
          <w:szCs w:val="24"/>
        </w:rPr>
        <w:t>, utilizando la esperanza de vida a los 65 años</w:t>
      </w:r>
      <w:r w:rsidR="00036D52">
        <w:rPr>
          <w:rFonts w:ascii="Times New Roman" w:hAnsi="Times New Roman"/>
          <w:sz w:val="24"/>
          <w:szCs w:val="24"/>
        </w:rPr>
        <w:t xml:space="preserve"> </w:t>
      </w:r>
      <w:r w:rsidR="00A27B24">
        <w:rPr>
          <w:rFonts w:ascii="Times New Roman" w:hAnsi="Times New Roman"/>
          <w:sz w:val="24"/>
          <w:szCs w:val="24"/>
        </w:rPr>
        <w:t>como indicador resumen de la mortalidad entre los grupos</w:t>
      </w:r>
      <w:r w:rsidR="002726C1">
        <w:rPr>
          <w:rFonts w:ascii="Times New Roman" w:hAnsi="Times New Roman"/>
          <w:sz w:val="24"/>
          <w:szCs w:val="24"/>
        </w:rPr>
        <w:t xml:space="preserve"> y el último grupo de edad (de 95 a 99 como el intervalo de cierre para las estimaciones de la tabla de mortalidad)</w:t>
      </w:r>
      <w:r w:rsidR="00A27B24">
        <w:rPr>
          <w:rFonts w:ascii="Times New Roman" w:hAnsi="Times New Roman"/>
          <w:sz w:val="24"/>
          <w:szCs w:val="24"/>
        </w:rPr>
        <w:t>.</w:t>
      </w:r>
      <w:r w:rsidR="00036D52">
        <w:rPr>
          <w:rFonts w:ascii="Times New Roman" w:hAnsi="Times New Roman"/>
          <w:sz w:val="24"/>
          <w:szCs w:val="24"/>
        </w:rPr>
        <w:t xml:space="preserve"> Además, la tabla de vida permite obtener fácilmente la variación en el tiempo vivido (lifesp</w:t>
      </w:r>
      <w:r w:rsidR="00EE53A3">
        <w:rPr>
          <w:rFonts w:ascii="Times New Roman" w:hAnsi="Times New Roman"/>
          <w:sz w:val="24"/>
          <w:szCs w:val="24"/>
        </w:rPr>
        <w:t>an variation), expresada también en años (e-dagger en este caso)</w:t>
      </w:r>
      <w:r w:rsidR="00036D52">
        <w:rPr>
          <w:rFonts w:ascii="Times New Roman" w:hAnsi="Times New Roman"/>
          <w:sz w:val="24"/>
          <w:szCs w:val="24"/>
        </w:rPr>
        <w:t>, como la esperanza de vida. A mayor dispersión, mayor es la incertidumbre con respecto al momento de la muerte, lo cual se refleja en una mayor vulnerabilidad de la población (19,20,21).</w:t>
      </w:r>
      <w:r w:rsidR="00432665">
        <w:rPr>
          <w:rFonts w:ascii="Times New Roman" w:hAnsi="Times New Roman"/>
          <w:sz w:val="24"/>
          <w:szCs w:val="24"/>
        </w:rPr>
        <w:t xml:space="preserve">  </w:t>
      </w:r>
      <w:r w:rsidR="00A27B24">
        <w:rPr>
          <w:rFonts w:ascii="Times New Roman" w:hAnsi="Times New Roman"/>
          <w:sz w:val="24"/>
          <w:szCs w:val="24"/>
        </w:rPr>
        <w:t xml:space="preserve"> </w:t>
      </w:r>
    </w:p>
    <w:p w:rsidR="00D60022" w:rsidRPr="00834A37" w:rsidRDefault="002726C1" w:rsidP="00637ECF">
      <w:pPr>
        <w:spacing w:line="360" w:lineRule="auto"/>
        <w:rPr>
          <w:rFonts w:ascii="Times New Roman" w:hAnsi="Times New Roman"/>
          <w:sz w:val="24"/>
          <w:szCs w:val="24"/>
        </w:rPr>
      </w:pPr>
      <w:r>
        <w:rPr>
          <w:rFonts w:ascii="Times New Roman" w:hAnsi="Times New Roman"/>
          <w:sz w:val="24"/>
          <w:szCs w:val="24"/>
        </w:rPr>
        <w:t>Todos los procesamientos se hici</w:t>
      </w:r>
      <w:r w:rsidR="00036D52">
        <w:rPr>
          <w:rFonts w:ascii="Times New Roman" w:hAnsi="Times New Roman"/>
          <w:sz w:val="24"/>
          <w:szCs w:val="24"/>
        </w:rPr>
        <w:t>eron con el software libre R (22</w:t>
      </w:r>
      <w:r>
        <w:rPr>
          <w:rFonts w:ascii="Times New Roman" w:hAnsi="Times New Roman"/>
          <w:sz w:val="24"/>
          <w:szCs w:val="24"/>
        </w:rPr>
        <w:t>)</w:t>
      </w:r>
      <w:r w:rsidR="00432665">
        <w:rPr>
          <w:rFonts w:ascii="Times New Roman" w:hAnsi="Times New Roman"/>
          <w:sz w:val="24"/>
          <w:szCs w:val="24"/>
        </w:rPr>
        <w:t xml:space="preserve"> y tanto las defunciones como los tiempos de exposición se presentan en el anexo estadístico. </w:t>
      </w:r>
    </w:p>
    <w:p w:rsidR="00432665" w:rsidRDefault="00432665">
      <w:pPr>
        <w:rPr>
          <w:rFonts w:ascii="Times New Roman" w:hAnsi="Times New Roman"/>
          <w:b/>
          <w:sz w:val="24"/>
          <w:szCs w:val="24"/>
        </w:rPr>
      </w:pPr>
      <w:r>
        <w:rPr>
          <w:rFonts w:ascii="Times New Roman" w:hAnsi="Times New Roman"/>
          <w:b/>
          <w:sz w:val="24"/>
          <w:szCs w:val="24"/>
        </w:rPr>
        <w:br w:type="page"/>
      </w:r>
    </w:p>
    <w:p w:rsidR="00637ECF" w:rsidRPr="00D8169E" w:rsidRDefault="001A436C" w:rsidP="00637ECF">
      <w:pPr>
        <w:spacing w:line="360" w:lineRule="auto"/>
        <w:rPr>
          <w:rFonts w:ascii="Times New Roman" w:hAnsi="Times New Roman"/>
          <w:b/>
          <w:sz w:val="24"/>
          <w:szCs w:val="24"/>
        </w:rPr>
      </w:pPr>
      <w:r>
        <w:rPr>
          <w:rFonts w:ascii="Times New Roman" w:hAnsi="Times New Roman"/>
          <w:b/>
          <w:sz w:val="24"/>
          <w:szCs w:val="24"/>
        </w:rPr>
        <w:lastRenderedPageBreak/>
        <w:t>4</w:t>
      </w:r>
      <w:r w:rsidR="00637ECF" w:rsidRPr="00D8169E">
        <w:rPr>
          <w:rFonts w:ascii="Times New Roman" w:hAnsi="Times New Roman"/>
          <w:b/>
          <w:sz w:val="24"/>
          <w:szCs w:val="24"/>
        </w:rPr>
        <w:t>)</w:t>
      </w:r>
      <w:r w:rsidR="00637ECF">
        <w:rPr>
          <w:rFonts w:ascii="Times New Roman" w:hAnsi="Times New Roman"/>
          <w:b/>
          <w:sz w:val="24"/>
          <w:szCs w:val="24"/>
        </w:rPr>
        <w:t xml:space="preserve"> </w:t>
      </w:r>
      <w:r w:rsidR="00637ECF" w:rsidRPr="00D8169E">
        <w:rPr>
          <w:rFonts w:ascii="Times New Roman" w:hAnsi="Times New Roman"/>
          <w:b/>
          <w:sz w:val="24"/>
          <w:szCs w:val="24"/>
          <w:u w:val="single"/>
        </w:rPr>
        <w:t>Resultados</w:t>
      </w:r>
    </w:p>
    <w:p w:rsidR="00A83149" w:rsidRDefault="001A436C" w:rsidP="00A83149">
      <w:pPr>
        <w:spacing w:line="360" w:lineRule="auto"/>
        <w:rPr>
          <w:rFonts w:ascii="Times New Roman" w:hAnsi="Times New Roman"/>
          <w:b/>
          <w:sz w:val="24"/>
          <w:szCs w:val="24"/>
          <w:u w:val="single"/>
        </w:rPr>
      </w:pPr>
      <w:r>
        <w:rPr>
          <w:rFonts w:ascii="Times New Roman" w:hAnsi="Times New Roman"/>
          <w:b/>
          <w:sz w:val="24"/>
          <w:szCs w:val="24"/>
        </w:rPr>
        <w:t>4</w:t>
      </w:r>
      <w:r w:rsidR="00A83149" w:rsidRPr="00D8169E">
        <w:rPr>
          <w:rFonts w:ascii="Times New Roman" w:hAnsi="Times New Roman"/>
          <w:b/>
          <w:sz w:val="24"/>
          <w:szCs w:val="24"/>
        </w:rPr>
        <w:t>.</w:t>
      </w:r>
      <w:r w:rsidR="00A83149">
        <w:rPr>
          <w:rFonts w:ascii="Times New Roman" w:hAnsi="Times New Roman"/>
          <w:b/>
          <w:sz w:val="24"/>
          <w:szCs w:val="24"/>
        </w:rPr>
        <w:t>1</w:t>
      </w:r>
      <w:r w:rsidR="00A83149" w:rsidRPr="00D8169E">
        <w:rPr>
          <w:rFonts w:ascii="Times New Roman" w:hAnsi="Times New Roman"/>
          <w:b/>
          <w:sz w:val="24"/>
          <w:szCs w:val="24"/>
        </w:rPr>
        <w:t>)</w:t>
      </w:r>
      <w:r w:rsidR="00A83149" w:rsidRPr="00D8169E">
        <w:rPr>
          <w:rFonts w:ascii="Times New Roman" w:hAnsi="Times New Roman"/>
          <w:b/>
          <w:sz w:val="24"/>
          <w:szCs w:val="24"/>
          <w:u w:val="single"/>
        </w:rPr>
        <w:t xml:space="preserve"> </w:t>
      </w:r>
      <w:r w:rsidR="007477CE">
        <w:rPr>
          <w:rFonts w:ascii="Times New Roman" w:hAnsi="Times New Roman"/>
          <w:b/>
          <w:sz w:val="24"/>
          <w:szCs w:val="24"/>
          <w:u w:val="single"/>
        </w:rPr>
        <w:t xml:space="preserve">Composición </w:t>
      </w:r>
      <w:r w:rsidR="00A83149" w:rsidRPr="00D8169E">
        <w:rPr>
          <w:rFonts w:ascii="Times New Roman" w:hAnsi="Times New Roman"/>
          <w:b/>
          <w:sz w:val="24"/>
          <w:szCs w:val="24"/>
          <w:u w:val="single"/>
        </w:rPr>
        <w:t>de</w:t>
      </w:r>
      <w:r w:rsidR="00A83149">
        <w:rPr>
          <w:rFonts w:ascii="Times New Roman" w:hAnsi="Times New Roman"/>
          <w:b/>
          <w:sz w:val="24"/>
          <w:szCs w:val="24"/>
          <w:u w:val="single"/>
        </w:rPr>
        <w:t xml:space="preserve"> la población analizada</w:t>
      </w:r>
    </w:p>
    <w:p w:rsidR="00187261" w:rsidRDefault="00187261" w:rsidP="008C1EEC">
      <w:pPr>
        <w:spacing w:line="360" w:lineRule="auto"/>
        <w:ind w:firstLine="708"/>
        <w:rPr>
          <w:rFonts w:ascii="Times New Roman" w:hAnsi="Times New Roman"/>
          <w:sz w:val="24"/>
          <w:szCs w:val="24"/>
        </w:rPr>
      </w:pPr>
      <w:r>
        <w:rPr>
          <w:rFonts w:ascii="Times New Roman" w:hAnsi="Times New Roman"/>
          <w:sz w:val="24"/>
          <w:szCs w:val="24"/>
        </w:rPr>
        <w:t>La tabla 1 ilus</w:t>
      </w:r>
      <w:r w:rsidR="00060810">
        <w:rPr>
          <w:rFonts w:ascii="Times New Roman" w:hAnsi="Times New Roman"/>
          <w:sz w:val="24"/>
          <w:szCs w:val="24"/>
        </w:rPr>
        <w:t>tra algunos detalles sobre la composición de los tres grupos</w:t>
      </w:r>
      <w:r w:rsidR="00241C39">
        <w:rPr>
          <w:rFonts w:ascii="Times New Roman" w:hAnsi="Times New Roman"/>
          <w:sz w:val="24"/>
          <w:szCs w:val="24"/>
        </w:rPr>
        <w:t>. Se</w:t>
      </w:r>
      <w:r w:rsidR="00DF6EF4">
        <w:rPr>
          <w:rFonts w:ascii="Times New Roman" w:hAnsi="Times New Roman"/>
          <w:sz w:val="24"/>
          <w:szCs w:val="24"/>
        </w:rPr>
        <w:t xml:space="preserve"> observó</w:t>
      </w:r>
      <w:r w:rsidR="00241C39">
        <w:rPr>
          <w:rFonts w:ascii="Times New Roman" w:hAnsi="Times New Roman"/>
          <w:sz w:val="24"/>
          <w:szCs w:val="24"/>
        </w:rPr>
        <w:t xml:space="preserve"> que el grupo PS es el de edad media más elevada y el de mayor composición femenina, lo cual es esperable (de hecho el único grupo con preponderancia masculina es el de las JO, lo cual expresa como la formalización del trabajo a lo largo del tiempo se ha concentrado en los varones principalmente).</w:t>
      </w:r>
      <w:r w:rsidR="00764B4A">
        <w:rPr>
          <w:rFonts w:ascii="Times New Roman" w:hAnsi="Times New Roman"/>
          <w:sz w:val="24"/>
          <w:szCs w:val="24"/>
        </w:rPr>
        <w:t xml:space="preserve"> El grupo de beneficiarios </w:t>
      </w:r>
      <w:r w:rsidR="001404A8">
        <w:rPr>
          <w:rFonts w:ascii="Times New Roman" w:hAnsi="Times New Roman"/>
          <w:sz w:val="24"/>
          <w:szCs w:val="24"/>
        </w:rPr>
        <w:t>de JO representa aproximadamente el 32% de la población, el de MOR/PNC el 42% y el grupo de benefic</w:t>
      </w:r>
      <w:r w:rsidR="00036D52">
        <w:rPr>
          <w:rFonts w:ascii="Times New Roman" w:hAnsi="Times New Roman"/>
          <w:sz w:val="24"/>
          <w:szCs w:val="24"/>
        </w:rPr>
        <w:t>i</w:t>
      </w:r>
      <w:r w:rsidR="001404A8">
        <w:rPr>
          <w:rFonts w:ascii="Times New Roman" w:hAnsi="Times New Roman"/>
          <w:sz w:val="24"/>
          <w:szCs w:val="24"/>
        </w:rPr>
        <w:t>arios de PS el 25% de la población restante.</w:t>
      </w:r>
      <w:r w:rsidR="00241C39">
        <w:rPr>
          <w:rFonts w:ascii="Times New Roman" w:hAnsi="Times New Roman"/>
          <w:sz w:val="24"/>
          <w:szCs w:val="24"/>
        </w:rPr>
        <w:t xml:space="preserve"> También</w:t>
      </w:r>
      <w:r w:rsidR="00060810">
        <w:rPr>
          <w:rFonts w:ascii="Times New Roman" w:hAnsi="Times New Roman"/>
          <w:sz w:val="24"/>
          <w:szCs w:val="24"/>
        </w:rPr>
        <w:t xml:space="preserve"> que el ingreso medio</w:t>
      </w:r>
      <w:r w:rsidR="00241C39">
        <w:rPr>
          <w:rFonts w:ascii="Times New Roman" w:hAnsi="Times New Roman"/>
          <w:sz w:val="24"/>
          <w:szCs w:val="24"/>
        </w:rPr>
        <w:t xml:space="preserve"> individual</w:t>
      </w:r>
      <w:r w:rsidR="00060810">
        <w:rPr>
          <w:rFonts w:ascii="Times New Roman" w:hAnsi="Times New Roman"/>
          <w:sz w:val="24"/>
          <w:szCs w:val="24"/>
        </w:rPr>
        <w:t xml:space="preserve"> entre los grupos </w:t>
      </w:r>
      <w:r w:rsidR="00241C39">
        <w:rPr>
          <w:rFonts w:ascii="Times New Roman" w:hAnsi="Times New Roman"/>
          <w:sz w:val="24"/>
          <w:szCs w:val="24"/>
        </w:rPr>
        <w:t>que perciben una PS y quienes perciben una JO es virtualmente el mismo, e incluso duplican al grupo restante (MOR/PNC)</w:t>
      </w:r>
      <w:r w:rsidR="00060810">
        <w:rPr>
          <w:rFonts w:ascii="Times New Roman" w:hAnsi="Times New Roman"/>
          <w:sz w:val="24"/>
          <w:szCs w:val="24"/>
        </w:rPr>
        <w:t>. Se presenta</w:t>
      </w:r>
      <w:r w:rsidR="00DF6EF4">
        <w:rPr>
          <w:rFonts w:ascii="Times New Roman" w:hAnsi="Times New Roman"/>
          <w:sz w:val="24"/>
          <w:szCs w:val="24"/>
        </w:rPr>
        <w:t>ro</w:t>
      </w:r>
      <w:r w:rsidR="00060810">
        <w:rPr>
          <w:rFonts w:ascii="Times New Roman" w:hAnsi="Times New Roman"/>
          <w:sz w:val="24"/>
          <w:szCs w:val="24"/>
        </w:rPr>
        <w:t xml:space="preserve">n los valores relativos para </w:t>
      </w:r>
      <w:r w:rsidR="00241C39">
        <w:rPr>
          <w:rFonts w:ascii="Times New Roman" w:hAnsi="Times New Roman"/>
          <w:sz w:val="24"/>
          <w:szCs w:val="24"/>
        </w:rPr>
        <w:t>facilitar la comparación.</w:t>
      </w:r>
    </w:p>
    <w:p w:rsidR="00241C39" w:rsidRDefault="00241C39" w:rsidP="00241C39">
      <w:pPr>
        <w:spacing w:line="360" w:lineRule="auto"/>
        <w:rPr>
          <w:rFonts w:ascii="Times New Roman" w:hAnsi="Times New Roman"/>
          <w:b/>
          <w:color w:val="000000"/>
          <w:sz w:val="24"/>
          <w:szCs w:val="24"/>
          <w:shd w:val="clear" w:color="auto" w:fill="FFFFFF"/>
          <w:lang w:val="es-AR"/>
        </w:rPr>
      </w:pPr>
    </w:p>
    <w:p w:rsidR="00241C39" w:rsidRPr="00631CC3" w:rsidRDefault="00241C39" w:rsidP="00241C39">
      <w:pPr>
        <w:spacing w:line="360" w:lineRule="auto"/>
        <w:rPr>
          <w:rFonts w:ascii="Times New Roman" w:hAnsi="Times New Roman"/>
          <w:color w:val="000000"/>
          <w:sz w:val="24"/>
          <w:szCs w:val="24"/>
          <w:shd w:val="clear" w:color="auto" w:fill="FFFFFF"/>
          <w:lang w:val="es-AR"/>
        </w:rPr>
      </w:pPr>
      <w:r w:rsidRPr="00ED02BD">
        <w:rPr>
          <w:rFonts w:ascii="Times New Roman" w:hAnsi="Times New Roman"/>
          <w:b/>
          <w:color w:val="000000"/>
          <w:sz w:val="24"/>
          <w:szCs w:val="24"/>
          <w:shd w:val="clear" w:color="auto" w:fill="FFFFFF"/>
          <w:lang w:val="es-AR"/>
        </w:rPr>
        <w:t xml:space="preserve">Tabla 1 </w:t>
      </w:r>
      <w:r w:rsidRPr="00631CC3">
        <w:rPr>
          <w:rFonts w:ascii="Times New Roman" w:hAnsi="Times New Roman"/>
          <w:color w:val="000000"/>
          <w:sz w:val="24"/>
          <w:szCs w:val="24"/>
          <w:shd w:val="clear" w:color="auto" w:fill="FFFFFF"/>
          <w:lang w:val="es-AR"/>
        </w:rPr>
        <w:t>Características generales sobre los grupos de beneficiarios, Argentina 2015-16</w:t>
      </w:r>
    </w:p>
    <w:tbl>
      <w:tblPr>
        <w:tblW w:w="5000" w:type="pct"/>
        <w:jc w:val="center"/>
        <w:tblLook w:val="04A0"/>
      </w:tblPr>
      <w:tblGrid>
        <w:gridCol w:w="2028"/>
        <w:gridCol w:w="1896"/>
        <w:gridCol w:w="1599"/>
        <w:gridCol w:w="1599"/>
        <w:gridCol w:w="1598"/>
      </w:tblGrid>
      <w:tr w:rsidR="00187261" w:rsidRPr="00051371" w:rsidTr="00241C39">
        <w:trPr>
          <w:trHeight w:val="890"/>
          <w:jc w:val="center"/>
        </w:trPr>
        <w:tc>
          <w:tcPr>
            <w:tcW w:w="1163" w:type="pct"/>
            <w:tcBorders>
              <w:top w:val="single" w:sz="8" w:space="0" w:color="auto"/>
              <w:left w:val="single" w:sz="8" w:space="0" w:color="auto"/>
              <w:bottom w:val="single" w:sz="8" w:space="0" w:color="auto"/>
              <w:right w:val="nil"/>
            </w:tcBorders>
            <w:shd w:val="clear" w:color="auto" w:fill="auto"/>
            <w:vAlign w:val="center"/>
            <w:hideMark/>
          </w:tcPr>
          <w:p w:rsidR="00187261" w:rsidRPr="00051371" w:rsidRDefault="00187261" w:rsidP="00241C39">
            <w:pPr>
              <w:spacing w:after="0"/>
              <w:jc w:val="center"/>
              <w:rPr>
                <w:rFonts w:ascii="Times New Roman" w:hAnsi="Times New Roman"/>
                <w:color w:val="000000"/>
                <w:u w:val="single"/>
                <w:lang w:val="en-US"/>
              </w:rPr>
            </w:pPr>
            <w:r>
              <w:rPr>
                <w:rFonts w:ascii="Times New Roman" w:hAnsi="Times New Roman"/>
                <w:color w:val="000000"/>
                <w:u w:val="single"/>
              </w:rPr>
              <w:t>Beneficio</w:t>
            </w:r>
          </w:p>
        </w:tc>
        <w:tc>
          <w:tcPr>
            <w:tcW w:w="1087" w:type="pct"/>
            <w:tcBorders>
              <w:top w:val="single" w:sz="8" w:space="0" w:color="auto"/>
              <w:left w:val="nil"/>
              <w:bottom w:val="single" w:sz="8" w:space="0" w:color="auto"/>
              <w:right w:val="nil"/>
            </w:tcBorders>
            <w:shd w:val="clear" w:color="auto" w:fill="auto"/>
            <w:vAlign w:val="center"/>
            <w:hideMark/>
          </w:tcPr>
          <w:p w:rsidR="00187261" w:rsidRPr="00051371" w:rsidRDefault="00187261" w:rsidP="00241C39">
            <w:pPr>
              <w:spacing w:after="0"/>
              <w:jc w:val="center"/>
              <w:rPr>
                <w:rFonts w:ascii="Times New Roman" w:hAnsi="Times New Roman"/>
                <w:color w:val="000000"/>
                <w:u w:val="single"/>
                <w:lang w:val="en-US"/>
              </w:rPr>
            </w:pPr>
            <w:r>
              <w:rPr>
                <w:rFonts w:ascii="Times New Roman" w:hAnsi="Times New Roman"/>
                <w:color w:val="000000"/>
                <w:u w:val="single"/>
              </w:rPr>
              <w:t>Exposición de Años-Persona</w:t>
            </w:r>
          </w:p>
        </w:tc>
        <w:tc>
          <w:tcPr>
            <w:tcW w:w="917" w:type="pct"/>
            <w:tcBorders>
              <w:top w:val="single" w:sz="8" w:space="0" w:color="auto"/>
              <w:left w:val="nil"/>
              <w:bottom w:val="single" w:sz="8" w:space="0" w:color="auto"/>
              <w:right w:val="nil"/>
            </w:tcBorders>
            <w:shd w:val="clear" w:color="auto" w:fill="auto"/>
            <w:vAlign w:val="center"/>
            <w:hideMark/>
          </w:tcPr>
          <w:p w:rsidR="00187261" w:rsidRPr="00051371" w:rsidRDefault="00187261" w:rsidP="00241C39">
            <w:pPr>
              <w:spacing w:after="0"/>
              <w:jc w:val="center"/>
              <w:rPr>
                <w:rFonts w:ascii="Times New Roman" w:hAnsi="Times New Roman"/>
                <w:color w:val="000000"/>
                <w:u w:val="single"/>
                <w:lang w:val="en-US"/>
              </w:rPr>
            </w:pPr>
            <w:r>
              <w:rPr>
                <w:rFonts w:ascii="Times New Roman" w:hAnsi="Times New Roman"/>
                <w:color w:val="000000"/>
                <w:u w:val="single"/>
              </w:rPr>
              <w:t>% de</w:t>
            </w:r>
            <w:r w:rsidRPr="00051371">
              <w:rPr>
                <w:rFonts w:ascii="Times New Roman" w:hAnsi="Times New Roman"/>
                <w:color w:val="000000"/>
                <w:u w:val="single"/>
              </w:rPr>
              <w:t xml:space="preserve"> </w:t>
            </w:r>
            <w:r>
              <w:rPr>
                <w:rFonts w:ascii="Times New Roman" w:hAnsi="Times New Roman"/>
                <w:color w:val="000000"/>
                <w:u w:val="single"/>
              </w:rPr>
              <w:t>Mujeres</w:t>
            </w:r>
          </w:p>
        </w:tc>
        <w:tc>
          <w:tcPr>
            <w:tcW w:w="917" w:type="pct"/>
            <w:tcBorders>
              <w:top w:val="single" w:sz="8" w:space="0" w:color="auto"/>
              <w:left w:val="nil"/>
              <w:bottom w:val="single" w:sz="8" w:space="0" w:color="auto"/>
              <w:right w:val="nil"/>
            </w:tcBorders>
            <w:shd w:val="clear" w:color="auto" w:fill="auto"/>
            <w:vAlign w:val="center"/>
            <w:hideMark/>
          </w:tcPr>
          <w:p w:rsidR="00187261" w:rsidRPr="00051371" w:rsidRDefault="00187261" w:rsidP="00241C39">
            <w:pPr>
              <w:spacing w:after="0"/>
              <w:jc w:val="center"/>
              <w:rPr>
                <w:rFonts w:ascii="Times New Roman" w:hAnsi="Times New Roman"/>
                <w:color w:val="000000"/>
                <w:u w:val="single"/>
                <w:lang w:val="en-US"/>
              </w:rPr>
            </w:pPr>
            <w:r>
              <w:rPr>
                <w:rFonts w:ascii="Times New Roman" w:hAnsi="Times New Roman"/>
                <w:color w:val="000000"/>
                <w:u w:val="single"/>
              </w:rPr>
              <w:t>Edad Promedio</w:t>
            </w:r>
          </w:p>
        </w:tc>
        <w:tc>
          <w:tcPr>
            <w:tcW w:w="916" w:type="pct"/>
            <w:tcBorders>
              <w:top w:val="single" w:sz="8" w:space="0" w:color="auto"/>
              <w:left w:val="nil"/>
              <w:bottom w:val="single" w:sz="8" w:space="0" w:color="auto"/>
              <w:right w:val="single" w:sz="8" w:space="0" w:color="auto"/>
            </w:tcBorders>
            <w:shd w:val="clear" w:color="auto" w:fill="auto"/>
            <w:vAlign w:val="center"/>
            <w:hideMark/>
          </w:tcPr>
          <w:p w:rsidR="00187261" w:rsidRPr="00051371" w:rsidRDefault="00187261" w:rsidP="00241C39">
            <w:pPr>
              <w:spacing w:after="0"/>
              <w:jc w:val="center"/>
              <w:rPr>
                <w:rFonts w:ascii="Times New Roman" w:hAnsi="Times New Roman"/>
                <w:color w:val="000000"/>
                <w:u w:val="single"/>
                <w:lang w:val="en-US"/>
              </w:rPr>
            </w:pPr>
            <w:r w:rsidRPr="00051371">
              <w:rPr>
                <w:rFonts w:ascii="Times New Roman" w:hAnsi="Times New Roman"/>
                <w:color w:val="000000"/>
                <w:u w:val="single"/>
              </w:rPr>
              <w:t>Ratio</w:t>
            </w:r>
            <w:r>
              <w:rPr>
                <w:rFonts w:ascii="Times New Roman" w:hAnsi="Times New Roman"/>
                <w:color w:val="000000"/>
                <w:u w:val="single"/>
              </w:rPr>
              <w:t xml:space="preserve"> de Ingreso Previsional</w:t>
            </w:r>
            <w:r>
              <w:rPr>
                <w:rStyle w:val="Refdenotaalpie"/>
                <w:rFonts w:ascii="Times New Roman" w:hAnsi="Times New Roman"/>
                <w:color w:val="000000"/>
                <w:u w:val="single"/>
              </w:rPr>
              <w:footnoteReference w:id="4"/>
            </w:r>
          </w:p>
        </w:tc>
      </w:tr>
      <w:tr w:rsidR="00187261" w:rsidRPr="00051371" w:rsidTr="00241C39">
        <w:trPr>
          <w:trHeight w:val="292"/>
          <w:jc w:val="center"/>
        </w:trPr>
        <w:tc>
          <w:tcPr>
            <w:tcW w:w="1163" w:type="pct"/>
            <w:tcBorders>
              <w:top w:val="nil"/>
              <w:left w:val="single" w:sz="8" w:space="0" w:color="auto"/>
              <w:bottom w:val="nil"/>
              <w:right w:val="nil"/>
            </w:tcBorders>
            <w:shd w:val="clear" w:color="auto" w:fill="auto"/>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rPr>
              <w:t>JO</w:t>
            </w:r>
          </w:p>
        </w:tc>
        <w:tc>
          <w:tcPr>
            <w:tcW w:w="108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1501832</w:t>
            </w:r>
          </w:p>
        </w:tc>
        <w:tc>
          <w:tcPr>
            <w:tcW w:w="91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37.2</w:t>
            </w:r>
          </w:p>
        </w:tc>
        <w:tc>
          <w:tcPr>
            <w:tcW w:w="91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75.2</w:t>
            </w:r>
          </w:p>
        </w:tc>
        <w:tc>
          <w:tcPr>
            <w:tcW w:w="916" w:type="pct"/>
            <w:tcBorders>
              <w:top w:val="nil"/>
              <w:left w:val="nil"/>
              <w:bottom w:val="nil"/>
              <w:right w:val="single" w:sz="8" w:space="0" w:color="auto"/>
            </w:tcBorders>
            <w:shd w:val="clear" w:color="auto" w:fill="auto"/>
            <w:noWrap/>
            <w:vAlign w:val="center"/>
            <w:hideMark/>
          </w:tcPr>
          <w:p w:rsidR="00187261" w:rsidRPr="008501B1" w:rsidRDefault="00060810"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1</w:t>
            </w:r>
          </w:p>
        </w:tc>
      </w:tr>
      <w:tr w:rsidR="00187261" w:rsidRPr="00051371" w:rsidTr="00241C39">
        <w:trPr>
          <w:trHeight w:val="292"/>
          <w:jc w:val="center"/>
        </w:trPr>
        <w:tc>
          <w:tcPr>
            <w:tcW w:w="1163" w:type="pct"/>
            <w:tcBorders>
              <w:top w:val="nil"/>
              <w:left w:val="single" w:sz="8" w:space="0" w:color="auto"/>
              <w:bottom w:val="nil"/>
              <w:right w:val="nil"/>
            </w:tcBorders>
            <w:shd w:val="clear" w:color="auto" w:fill="auto"/>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rPr>
              <w:t>MOR/PNC</w:t>
            </w:r>
          </w:p>
        </w:tc>
        <w:tc>
          <w:tcPr>
            <w:tcW w:w="108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1966539</w:t>
            </w:r>
          </w:p>
        </w:tc>
        <w:tc>
          <w:tcPr>
            <w:tcW w:w="91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61.9</w:t>
            </w:r>
          </w:p>
        </w:tc>
        <w:tc>
          <w:tcPr>
            <w:tcW w:w="91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72.4</w:t>
            </w:r>
          </w:p>
        </w:tc>
        <w:tc>
          <w:tcPr>
            <w:tcW w:w="916" w:type="pct"/>
            <w:tcBorders>
              <w:top w:val="nil"/>
              <w:left w:val="nil"/>
              <w:bottom w:val="nil"/>
              <w:right w:val="single" w:sz="8" w:space="0" w:color="auto"/>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0</w:t>
            </w:r>
            <w:r w:rsidR="00060810" w:rsidRPr="008501B1">
              <w:rPr>
                <w:rFonts w:ascii="Times New Roman" w:hAnsi="Times New Roman"/>
                <w:color w:val="000000"/>
                <w:sz w:val="20"/>
                <w:szCs w:val="20"/>
                <w:lang w:val="en-US"/>
              </w:rPr>
              <w:t>.392</w:t>
            </w:r>
          </w:p>
        </w:tc>
      </w:tr>
      <w:tr w:rsidR="00187261" w:rsidRPr="00051371" w:rsidTr="00241C39">
        <w:trPr>
          <w:trHeight w:val="292"/>
          <w:jc w:val="center"/>
        </w:trPr>
        <w:tc>
          <w:tcPr>
            <w:tcW w:w="1163" w:type="pct"/>
            <w:tcBorders>
              <w:top w:val="nil"/>
              <w:left w:val="single" w:sz="8" w:space="0" w:color="auto"/>
              <w:bottom w:val="nil"/>
              <w:right w:val="nil"/>
            </w:tcBorders>
            <w:shd w:val="clear" w:color="auto" w:fill="auto"/>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rPr>
              <w:t>PS</w:t>
            </w:r>
          </w:p>
        </w:tc>
        <w:tc>
          <w:tcPr>
            <w:tcW w:w="108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1172898</w:t>
            </w:r>
          </w:p>
        </w:tc>
        <w:tc>
          <w:tcPr>
            <w:tcW w:w="91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87.9</w:t>
            </w:r>
          </w:p>
        </w:tc>
        <w:tc>
          <w:tcPr>
            <w:tcW w:w="917" w:type="pct"/>
            <w:tcBorders>
              <w:top w:val="nil"/>
              <w:left w:val="nil"/>
              <w:bottom w:val="nil"/>
              <w:right w:val="nil"/>
            </w:tcBorders>
            <w:shd w:val="clear" w:color="auto" w:fill="auto"/>
            <w:noWrap/>
            <w:vAlign w:val="center"/>
            <w:hideMark/>
          </w:tcPr>
          <w:p w:rsidR="00187261" w:rsidRPr="008501B1" w:rsidRDefault="00187261"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78.6</w:t>
            </w:r>
          </w:p>
        </w:tc>
        <w:tc>
          <w:tcPr>
            <w:tcW w:w="916" w:type="pct"/>
            <w:tcBorders>
              <w:top w:val="nil"/>
              <w:left w:val="nil"/>
              <w:bottom w:val="nil"/>
              <w:right w:val="single" w:sz="8" w:space="0" w:color="auto"/>
            </w:tcBorders>
            <w:shd w:val="clear" w:color="auto" w:fill="auto"/>
            <w:noWrap/>
            <w:vAlign w:val="center"/>
            <w:hideMark/>
          </w:tcPr>
          <w:p w:rsidR="00187261" w:rsidRPr="008501B1" w:rsidRDefault="00060810" w:rsidP="00241C39">
            <w:pPr>
              <w:spacing w:after="0"/>
              <w:jc w:val="center"/>
              <w:rPr>
                <w:rFonts w:ascii="Times New Roman" w:hAnsi="Times New Roman"/>
                <w:color w:val="000000"/>
                <w:sz w:val="20"/>
                <w:szCs w:val="20"/>
                <w:lang w:val="en-US"/>
              </w:rPr>
            </w:pPr>
            <w:r w:rsidRPr="008501B1">
              <w:rPr>
                <w:rFonts w:ascii="Times New Roman" w:hAnsi="Times New Roman"/>
                <w:color w:val="000000"/>
                <w:sz w:val="20"/>
                <w:szCs w:val="20"/>
                <w:lang w:val="en-US"/>
              </w:rPr>
              <w:t>0.998</w:t>
            </w:r>
          </w:p>
        </w:tc>
      </w:tr>
      <w:tr w:rsidR="00187261" w:rsidRPr="00051371" w:rsidTr="00241C39">
        <w:trPr>
          <w:trHeight w:val="306"/>
          <w:jc w:val="center"/>
        </w:trPr>
        <w:tc>
          <w:tcPr>
            <w:tcW w:w="1163" w:type="pct"/>
            <w:tcBorders>
              <w:top w:val="nil"/>
              <w:left w:val="single" w:sz="8" w:space="0" w:color="auto"/>
              <w:bottom w:val="single" w:sz="8" w:space="0" w:color="auto"/>
              <w:right w:val="nil"/>
            </w:tcBorders>
            <w:shd w:val="clear" w:color="auto" w:fill="auto"/>
            <w:vAlign w:val="center"/>
            <w:hideMark/>
          </w:tcPr>
          <w:p w:rsidR="00187261" w:rsidRPr="008501B1" w:rsidRDefault="00187261" w:rsidP="00241C39">
            <w:pPr>
              <w:spacing w:after="0"/>
              <w:jc w:val="center"/>
              <w:rPr>
                <w:rFonts w:ascii="Times New Roman" w:hAnsi="Times New Roman"/>
                <w:b/>
                <w:color w:val="000000"/>
                <w:sz w:val="20"/>
                <w:szCs w:val="20"/>
                <w:lang w:val="en-US"/>
              </w:rPr>
            </w:pPr>
            <w:r w:rsidRPr="008501B1">
              <w:rPr>
                <w:rFonts w:ascii="Times New Roman" w:hAnsi="Times New Roman"/>
                <w:b/>
                <w:color w:val="000000"/>
                <w:sz w:val="20"/>
                <w:szCs w:val="20"/>
              </w:rPr>
              <w:t>Total</w:t>
            </w:r>
          </w:p>
        </w:tc>
        <w:tc>
          <w:tcPr>
            <w:tcW w:w="1087" w:type="pct"/>
            <w:tcBorders>
              <w:top w:val="nil"/>
              <w:left w:val="nil"/>
              <w:bottom w:val="single" w:sz="8" w:space="0" w:color="auto"/>
              <w:right w:val="nil"/>
            </w:tcBorders>
            <w:shd w:val="clear" w:color="auto" w:fill="auto"/>
            <w:noWrap/>
            <w:vAlign w:val="center"/>
            <w:hideMark/>
          </w:tcPr>
          <w:p w:rsidR="00187261" w:rsidRPr="008501B1" w:rsidRDefault="00187261" w:rsidP="00241C39">
            <w:pPr>
              <w:spacing w:after="0"/>
              <w:jc w:val="center"/>
              <w:rPr>
                <w:rFonts w:ascii="Times New Roman" w:hAnsi="Times New Roman"/>
                <w:b/>
                <w:color w:val="000000"/>
                <w:sz w:val="20"/>
                <w:szCs w:val="20"/>
                <w:lang w:val="en-US"/>
              </w:rPr>
            </w:pPr>
            <w:r w:rsidRPr="008501B1">
              <w:rPr>
                <w:rFonts w:ascii="Times New Roman" w:hAnsi="Times New Roman"/>
                <w:b/>
                <w:color w:val="000000"/>
                <w:sz w:val="20"/>
                <w:szCs w:val="20"/>
                <w:lang w:val="en-US"/>
              </w:rPr>
              <w:t>4641269</w:t>
            </w:r>
          </w:p>
        </w:tc>
        <w:tc>
          <w:tcPr>
            <w:tcW w:w="917" w:type="pct"/>
            <w:tcBorders>
              <w:top w:val="nil"/>
              <w:left w:val="nil"/>
              <w:bottom w:val="single" w:sz="8" w:space="0" w:color="auto"/>
              <w:right w:val="nil"/>
            </w:tcBorders>
            <w:shd w:val="clear" w:color="auto" w:fill="auto"/>
            <w:noWrap/>
            <w:vAlign w:val="center"/>
            <w:hideMark/>
          </w:tcPr>
          <w:p w:rsidR="00187261" w:rsidRPr="008501B1" w:rsidRDefault="00187261" w:rsidP="00241C39">
            <w:pPr>
              <w:spacing w:after="0"/>
              <w:jc w:val="center"/>
              <w:rPr>
                <w:rFonts w:ascii="Times New Roman" w:hAnsi="Times New Roman"/>
                <w:b/>
                <w:color w:val="000000"/>
                <w:sz w:val="20"/>
                <w:szCs w:val="20"/>
                <w:lang w:val="en-US"/>
              </w:rPr>
            </w:pPr>
            <w:r w:rsidRPr="008501B1">
              <w:rPr>
                <w:rFonts w:ascii="Times New Roman" w:hAnsi="Times New Roman"/>
                <w:b/>
                <w:color w:val="000000"/>
                <w:sz w:val="20"/>
                <w:szCs w:val="20"/>
                <w:lang w:val="en-US"/>
              </w:rPr>
              <w:t>60.5</w:t>
            </w:r>
          </w:p>
        </w:tc>
        <w:tc>
          <w:tcPr>
            <w:tcW w:w="917" w:type="pct"/>
            <w:tcBorders>
              <w:top w:val="nil"/>
              <w:left w:val="nil"/>
              <w:bottom w:val="single" w:sz="8" w:space="0" w:color="auto"/>
              <w:right w:val="nil"/>
            </w:tcBorders>
            <w:shd w:val="clear" w:color="auto" w:fill="auto"/>
            <w:noWrap/>
            <w:vAlign w:val="center"/>
            <w:hideMark/>
          </w:tcPr>
          <w:p w:rsidR="00187261" w:rsidRPr="008501B1" w:rsidRDefault="00187261" w:rsidP="00241C39">
            <w:pPr>
              <w:spacing w:after="0"/>
              <w:jc w:val="center"/>
              <w:rPr>
                <w:rFonts w:ascii="Times New Roman" w:hAnsi="Times New Roman"/>
                <w:b/>
                <w:color w:val="000000"/>
                <w:sz w:val="20"/>
                <w:szCs w:val="20"/>
                <w:lang w:val="en-US"/>
              </w:rPr>
            </w:pPr>
            <w:r w:rsidRPr="008501B1">
              <w:rPr>
                <w:rFonts w:ascii="Times New Roman" w:hAnsi="Times New Roman"/>
                <w:b/>
                <w:color w:val="000000"/>
                <w:sz w:val="20"/>
                <w:szCs w:val="20"/>
                <w:lang w:val="en-US"/>
              </w:rPr>
              <w:t>75.3</w:t>
            </w:r>
          </w:p>
        </w:tc>
        <w:tc>
          <w:tcPr>
            <w:tcW w:w="916" w:type="pct"/>
            <w:tcBorders>
              <w:top w:val="nil"/>
              <w:left w:val="nil"/>
              <w:bottom w:val="single" w:sz="8" w:space="0" w:color="auto"/>
              <w:right w:val="single" w:sz="8" w:space="0" w:color="auto"/>
            </w:tcBorders>
            <w:shd w:val="clear" w:color="auto" w:fill="auto"/>
            <w:noWrap/>
            <w:vAlign w:val="center"/>
            <w:hideMark/>
          </w:tcPr>
          <w:p w:rsidR="00187261" w:rsidRPr="008501B1" w:rsidRDefault="00187261" w:rsidP="00241C39">
            <w:pPr>
              <w:spacing w:after="0"/>
              <w:jc w:val="center"/>
              <w:rPr>
                <w:rFonts w:ascii="Times New Roman" w:hAnsi="Times New Roman"/>
                <w:b/>
                <w:color w:val="000000"/>
                <w:sz w:val="20"/>
                <w:szCs w:val="20"/>
                <w:lang w:val="en-US"/>
              </w:rPr>
            </w:pPr>
            <w:r w:rsidRPr="008501B1">
              <w:rPr>
                <w:rFonts w:ascii="Times New Roman" w:hAnsi="Times New Roman"/>
                <w:b/>
                <w:color w:val="000000"/>
                <w:sz w:val="20"/>
                <w:szCs w:val="20"/>
                <w:lang w:val="en-US"/>
              </w:rPr>
              <w:t>0.76</w:t>
            </w:r>
            <w:r w:rsidR="00060810" w:rsidRPr="008501B1">
              <w:rPr>
                <w:rFonts w:ascii="Times New Roman" w:hAnsi="Times New Roman"/>
                <w:b/>
                <w:color w:val="000000"/>
                <w:sz w:val="20"/>
                <w:szCs w:val="20"/>
                <w:lang w:val="en-US"/>
              </w:rPr>
              <w:t>1</w:t>
            </w:r>
          </w:p>
        </w:tc>
      </w:tr>
    </w:tbl>
    <w:p w:rsidR="008501B1" w:rsidRPr="00F25F77" w:rsidRDefault="008501B1" w:rsidP="008501B1">
      <w:pPr>
        <w:spacing w:line="360" w:lineRule="auto"/>
        <w:rPr>
          <w:rFonts w:ascii="Times New Roman" w:hAnsi="Times New Roman"/>
          <w:sz w:val="20"/>
          <w:szCs w:val="20"/>
        </w:rPr>
      </w:pPr>
      <w:r w:rsidRPr="00F25F77">
        <w:rPr>
          <w:rFonts w:ascii="Times New Roman" w:hAnsi="Times New Roman"/>
          <w:sz w:val="20"/>
          <w:szCs w:val="20"/>
          <w:u w:val="single"/>
        </w:rPr>
        <w:t>Fuente</w:t>
      </w:r>
      <w:r w:rsidRPr="00F25F77">
        <w:rPr>
          <w:rFonts w:ascii="Times New Roman" w:hAnsi="Times New Roman"/>
          <w:sz w:val="20"/>
          <w:szCs w:val="20"/>
        </w:rPr>
        <w:t>: Ela</w:t>
      </w:r>
      <w:r>
        <w:rPr>
          <w:rFonts w:ascii="Times New Roman" w:hAnsi="Times New Roman"/>
          <w:sz w:val="20"/>
          <w:szCs w:val="20"/>
        </w:rPr>
        <w:t>boración propia en base a ANSES</w:t>
      </w:r>
      <w:r w:rsidRPr="00F25F77">
        <w:rPr>
          <w:rFonts w:ascii="Times New Roman" w:hAnsi="Times New Roman"/>
          <w:sz w:val="20"/>
          <w:szCs w:val="20"/>
        </w:rPr>
        <w:t>.</w:t>
      </w:r>
    </w:p>
    <w:p w:rsidR="00BC7C78" w:rsidRDefault="00BC7C78" w:rsidP="00BC7C78">
      <w:pPr>
        <w:spacing w:line="360" w:lineRule="auto"/>
        <w:ind w:firstLine="708"/>
        <w:rPr>
          <w:rFonts w:ascii="Times New Roman" w:hAnsi="Times New Roman"/>
          <w:b/>
          <w:sz w:val="24"/>
          <w:szCs w:val="24"/>
        </w:rPr>
      </w:pPr>
    </w:p>
    <w:p w:rsidR="00EE4165" w:rsidRPr="00D8169E" w:rsidRDefault="001A436C" w:rsidP="00E30DB1">
      <w:pPr>
        <w:spacing w:line="360" w:lineRule="auto"/>
        <w:rPr>
          <w:rFonts w:ascii="Times New Roman" w:hAnsi="Times New Roman"/>
          <w:b/>
          <w:sz w:val="24"/>
          <w:szCs w:val="24"/>
          <w:u w:val="single"/>
        </w:rPr>
      </w:pPr>
      <w:r>
        <w:rPr>
          <w:rFonts w:ascii="Times New Roman" w:hAnsi="Times New Roman"/>
          <w:b/>
          <w:sz w:val="24"/>
          <w:szCs w:val="24"/>
        </w:rPr>
        <w:t>4</w:t>
      </w:r>
      <w:r w:rsidR="00EE4165" w:rsidRPr="00D8169E">
        <w:rPr>
          <w:rFonts w:ascii="Times New Roman" w:hAnsi="Times New Roman"/>
          <w:b/>
          <w:sz w:val="24"/>
          <w:szCs w:val="24"/>
        </w:rPr>
        <w:t>.</w:t>
      </w:r>
      <w:r>
        <w:rPr>
          <w:rFonts w:ascii="Times New Roman" w:hAnsi="Times New Roman"/>
          <w:b/>
          <w:sz w:val="24"/>
          <w:szCs w:val="24"/>
        </w:rPr>
        <w:t>2</w:t>
      </w:r>
      <w:r w:rsidR="00EE4165" w:rsidRPr="00D8169E">
        <w:rPr>
          <w:rFonts w:ascii="Times New Roman" w:hAnsi="Times New Roman"/>
          <w:b/>
          <w:sz w:val="24"/>
          <w:szCs w:val="24"/>
        </w:rPr>
        <w:t>)</w:t>
      </w:r>
      <w:r w:rsidR="00EE4165" w:rsidRPr="00D8169E">
        <w:rPr>
          <w:rFonts w:ascii="Times New Roman" w:hAnsi="Times New Roman"/>
          <w:b/>
          <w:sz w:val="24"/>
          <w:szCs w:val="24"/>
          <w:u w:val="single"/>
        </w:rPr>
        <w:t xml:space="preserve"> </w:t>
      </w:r>
      <w:r w:rsidR="00CB2D61">
        <w:rPr>
          <w:rFonts w:ascii="Times New Roman" w:hAnsi="Times New Roman"/>
          <w:b/>
          <w:sz w:val="24"/>
          <w:szCs w:val="24"/>
          <w:u w:val="single"/>
        </w:rPr>
        <w:t>Análisis de la m</w:t>
      </w:r>
      <w:r w:rsidR="00EE4165">
        <w:rPr>
          <w:rFonts w:ascii="Times New Roman" w:hAnsi="Times New Roman"/>
          <w:b/>
          <w:sz w:val="24"/>
          <w:szCs w:val="24"/>
          <w:u w:val="single"/>
        </w:rPr>
        <w:t>ortalidad</w:t>
      </w:r>
    </w:p>
    <w:p w:rsidR="00346E72" w:rsidRDefault="00346E72" w:rsidP="00346E72">
      <w:pPr>
        <w:spacing w:line="360" w:lineRule="auto"/>
        <w:ind w:firstLine="708"/>
        <w:rPr>
          <w:rFonts w:ascii="Times New Roman" w:hAnsi="Times New Roman"/>
          <w:sz w:val="24"/>
          <w:szCs w:val="24"/>
          <w:lang w:val="es-AR"/>
        </w:rPr>
      </w:pPr>
    </w:p>
    <w:p w:rsidR="00346E72" w:rsidRDefault="00346E72" w:rsidP="008C1EEC">
      <w:pPr>
        <w:spacing w:line="360" w:lineRule="auto"/>
        <w:ind w:firstLine="708"/>
        <w:rPr>
          <w:rFonts w:ascii="Times New Roman" w:hAnsi="Times New Roman"/>
          <w:sz w:val="24"/>
          <w:szCs w:val="24"/>
          <w:lang w:val="es-AR"/>
        </w:rPr>
      </w:pPr>
      <w:r w:rsidRPr="00346E72">
        <w:rPr>
          <w:rFonts w:ascii="Times New Roman" w:hAnsi="Times New Roman"/>
          <w:sz w:val="24"/>
          <w:szCs w:val="24"/>
          <w:lang w:val="es-AR"/>
        </w:rPr>
        <w:t xml:space="preserve">Como primera medida, se estimaron las tasas de mortalidad </w:t>
      </w:r>
      <w:r>
        <w:rPr>
          <w:rFonts w:ascii="Times New Roman" w:hAnsi="Times New Roman"/>
          <w:sz w:val="24"/>
          <w:szCs w:val="24"/>
          <w:lang w:val="es-AR"/>
        </w:rPr>
        <w:t xml:space="preserve">dividida en grandes grupos de edad, tal como expresa la tabla 2. </w:t>
      </w:r>
      <w:r w:rsidRPr="00241C39">
        <w:rPr>
          <w:rFonts w:ascii="Times New Roman" w:hAnsi="Times New Roman"/>
          <w:sz w:val="24"/>
          <w:szCs w:val="24"/>
          <w:lang w:val="es-AR"/>
        </w:rPr>
        <w:t>Se report</w:t>
      </w:r>
      <w:r w:rsidR="0018275F">
        <w:rPr>
          <w:rFonts w:ascii="Times New Roman" w:hAnsi="Times New Roman"/>
          <w:sz w:val="24"/>
          <w:szCs w:val="24"/>
          <w:lang w:val="es-AR"/>
        </w:rPr>
        <w:t>aron</w:t>
      </w:r>
      <w:r w:rsidRPr="00241C39">
        <w:rPr>
          <w:rFonts w:ascii="Times New Roman" w:hAnsi="Times New Roman"/>
          <w:sz w:val="24"/>
          <w:szCs w:val="24"/>
          <w:lang w:val="es-AR"/>
        </w:rPr>
        <w:t xml:space="preserve"> un total d</w:t>
      </w:r>
      <w:r>
        <w:rPr>
          <w:rFonts w:ascii="Times New Roman" w:hAnsi="Times New Roman"/>
          <w:sz w:val="24"/>
          <w:szCs w:val="24"/>
          <w:lang w:val="es-AR"/>
        </w:rPr>
        <w:t>e 237.030 defunciones en el período (casi el 5% del total de la población de beneficiarios)</w:t>
      </w:r>
      <w:r w:rsidRPr="00241C39">
        <w:rPr>
          <w:rFonts w:ascii="Times New Roman" w:hAnsi="Times New Roman"/>
          <w:sz w:val="24"/>
          <w:szCs w:val="24"/>
          <w:lang w:val="es-AR"/>
        </w:rPr>
        <w:t xml:space="preserve">. </w:t>
      </w:r>
    </w:p>
    <w:p w:rsidR="00346E72" w:rsidRPr="00346E72" w:rsidRDefault="00346E72" w:rsidP="00346E72">
      <w:pPr>
        <w:spacing w:line="360" w:lineRule="auto"/>
        <w:ind w:firstLine="708"/>
        <w:rPr>
          <w:rFonts w:ascii="Times New Roman" w:hAnsi="Times New Roman"/>
          <w:b/>
          <w:sz w:val="24"/>
          <w:szCs w:val="24"/>
          <w:lang w:val="es-AR"/>
        </w:rPr>
      </w:pPr>
      <w:r>
        <w:rPr>
          <w:rFonts w:ascii="Times New Roman" w:hAnsi="Times New Roman"/>
          <w:sz w:val="24"/>
          <w:szCs w:val="24"/>
          <w:lang w:val="es-AR"/>
        </w:rPr>
        <w:t>Los resultados de la tabla 2</w:t>
      </w:r>
      <w:r w:rsidRPr="00346E72">
        <w:rPr>
          <w:rFonts w:ascii="Times New Roman" w:hAnsi="Times New Roman"/>
          <w:sz w:val="24"/>
          <w:szCs w:val="24"/>
          <w:lang w:val="es-AR"/>
        </w:rPr>
        <w:t xml:space="preserve"> </w:t>
      </w:r>
      <w:r>
        <w:rPr>
          <w:rFonts w:ascii="Times New Roman" w:hAnsi="Times New Roman"/>
          <w:sz w:val="24"/>
          <w:szCs w:val="24"/>
          <w:lang w:val="es-AR"/>
        </w:rPr>
        <w:t>indican</w:t>
      </w:r>
      <w:r w:rsidRPr="00346E72">
        <w:rPr>
          <w:rFonts w:ascii="Times New Roman" w:hAnsi="Times New Roman"/>
          <w:sz w:val="24"/>
          <w:szCs w:val="24"/>
          <w:lang w:val="es-AR"/>
        </w:rPr>
        <w:t xml:space="preserve"> la existencia de efectos de edad y de co</w:t>
      </w:r>
      <w:r>
        <w:rPr>
          <w:rFonts w:ascii="Times New Roman" w:hAnsi="Times New Roman"/>
          <w:sz w:val="24"/>
          <w:szCs w:val="24"/>
          <w:lang w:val="es-AR"/>
        </w:rPr>
        <w:t xml:space="preserve">mposición potencialmente importantes, como la menor mortalidad del grupo MOR/PNC (el grupo que se presume con las condiciones de vida menos favorables a priori) y la posible exageración de la mortalidad en los beneficiarios de pensiones por </w:t>
      </w:r>
      <w:r>
        <w:rPr>
          <w:rFonts w:ascii="Times New Roman" w:hAnsi="Times New Roman"/>
          <w:sz w:val="24"/>
          <w:szCs w:val="24"/>
          <w:lang w:val="es-AR"/>
        </w:rPr>
        <w:lastRenderedPageBreak/>
        <w:t>viudez (PS) debido a</w:t>
      </w:r>
      <w:r w:rsidR="0018275F">
        <w:rPr>
          <w:rFonts w:ascii="Times New Roman" w:hAnsi="Times New Roman"/>
          <w:sz w:val="24"/>
          <w:szCs w:val="24"/>
          <w:lang w:val="es-AR"/>
        </w:rPr>
        <w:t xml:space="preserve"> su mayor edad, lo cual reforzó</w:t>
      </w:r>
      <w:r>
        <w:rPr>
          <w:rFonts w:ascii="Times New Roman" w:hAnsi="Times New Roman"/>
          <w:sz w:val="24"/>
          <w:szCs w:val="24"/>
          <w:lang w:val="es-AR"/>
        </w:rPr>
        <w:t xml:space="preserve"> la necesidad de establece</w:t>
      </w:r>
      <w:r w:rsidR="0018275F">
        <w:rPr>
          <w:rFonts w:ascii="Times New Roman" w:hAnsi="Times New Roman"/>
          <w:sz w:val="24"/>
          <w:szCs w:val="24"/>
          <w:lang w:val="es-AR"/>
        </w:rPr>
        <w:t>r medidas estandarizadas para una</w:t>
      </w:r>
      <w:r>
        <w:rPr>
          <w:rFonts w:ascii="Times New Roman" w:hAnsi="Times New Roman"/>
          <w:sz w:val="24"/>
          <w:szCs w:val="24"/>
          <w:lang w:val="es-AR"/>
        </w:rPr>
        <w:t xml:space="preserve"> comparación</w:t>
      </w:r>
      <w:r w:rsidR="0018275F">
        <w:rPr>
          <w:rFonts w:ascii="Times New Roman" w:hAnsi="Times New Roman"/>
          <w:sz w:val="24"/>
          <w:szCs w:val="24"/>
          <w:lang w:val="es-AR"/>
        </w:rPr>
        <w:t xml:space="preserve"> razonable</w:t>
      </w:r>
      <w:r>
        <w:rPr>
          <w:rFonts w:ascii="Times New Roman" w:hAnsi="Times New Roman"/>
          <w:sz w:val="24"/>
          <w:szCs w:val="24"/>
          <w:lang w:val="es-AR"/>
        </w:rPr>
        <w:t xml:space="preserve">. </w:t>
      </w:r>
    </w:p>
    <w:p w:rsidR="00346E72" w:rsidRPr="006110EA" w:rsidRDefault="00346E72" w:rsidP="00346E72">
      <w:pPr>
        <w:spacing w:line="360" w:lineRule="auto"/>
        <w:rPr>
          <w:rFonts w:ascii="Times New Roman" w:hAnsi="Times New Roman"/>
          <w:b/>
          <w:sz w:val="24"/>
          <w:szCs w:val="24"/>
          <w:lang w:val="es-AR"/>
        </w:rPr>
      </w:pPr>
      <w:r w:rsidRPr="006110EA">
        <w:rPr>
          <w:rFonts w:ascii="Times New Roman" w:hAnsi="Times New Roman"/>
          <w:b/>
          <w:sz w:val="24"/>
          <w:szCs w:val="24"/>
          <w:lang w:val="es-AR"/>
        </w:rPr>
        <w:t xml:space="preserve">Tabla 2. </w:t>
      </w:r>
      <w:r w:rsidRPr="00346E72">
        <w:rPr>
          <w:rFonts w:ascii="Times New Roman" w:hAnsi="Times New Roman"/>
          <w:sz w:val="24"/>
          <w:szCs w:val="24"/>
          <w:lang w:val="es-AR"/>
        </w:rPr>
        <w:t>Tasas de mortalidad (x 1000) por</w:t>
      </w:r>
      <w:r w:rsidR="006110EA">
        <w:rPr>
          <w:rFonts w:ascii="Times New Roman" w:hAnsi="Times New Roman"/>
          <w:sz w:val="24"/>
          <w:szCs w:val="24"/>
          <w:lang w:val="es-AR"/>
        </w:rPr>
        <w:t xml:space="preserve"> grandes</w:t>
      </w:r>
      <w:r w:rsidRPr="00346E72">
        <w:rPr>
          <w:rFonts w:ascii="Times New Roman" w:hAnsi="Times New Roman"/>
          <w:sz w:val="24"/>
          <w:szCs w:val="24"/>
          <w:lang w:val="es-AR"/>
        </w:rPr>
        <w:t xml:space="preserve"> grupos de edad, sexo y tipo de beneficio. </w:t>
      </w:r>
      <w:r w:rsidRPr="006110EA">
        <w:rPr>
          <w:rFonts w:ascii="Times New Roman" w:hAnsi="Times New Roman"/>
          <w:sz w:val="24"/>
          <w:szCs w:val="24"/>
          <w:lang w:val="es-AR"/>
        </w:rPr>
        <w:t>Argentina, 2015-2016</w:t>
      </w:r>
    </w:p>
    <w:tbl>
      <w:tblPr>
        <w:tblW w:w="5000" w:type="pct"/>
        <w:tblLook w:val="04A0"/>
      </w:tblPr>
      <w:tblGrid>
        <w:gridCol w:w="1482"/>
        <w:gridCol w:w="1465"/>
        <w:gridCol w:w="1444"/>
        <w:gridCol w:w="1444"/>
        <w:gridCol w:w="1444"/>
        <w:gridCol w:w="1441"/>
      </w:tblGrid>
      <w:tr w:rsidR="00346E72" w:rsidRPr="005724F1" w:rsidTr="00834A37">
        <w:trPr>
          <w:trHeight w:val="288"/>
        </w:trPr>
        <w:tc>
          <w:tcPr>
            <w:tcW w:w="850" w:type="pct"/>
            <w:vMerge w:val="restart"/>
            <w:tcBorders>
              <w:top w:val="single" w:sz="8" w:space="0" w:color="auto"/>
              <w:left w:val="single" w:sz="8" w:space="0" w:color="auto"/>
              <w:bottom w:val="single" w:sz="8" w:space="0" w:color="000000"/>
              <w:right w:val="nil"/>
            </w:tcBorders>
            <w:shd w:val="clear" w:color="auto" w:fill="auto"/>
            <w:noWrap/>
            <w:vAlign w:val="center"/>
            <w:hideMark/>
          </w:tcPr>
          <w:p w:rsidR="00346E72" w:rsidRPr="005724F1" w:rsidRDefault="00346E72" w:rsidP="00834A37">
            <w:pPr>
              <w:spacing w:after="0"/>
              <w:jc w:val="center"/>
              <w:rPr>
                <w:rFonts w:ascii="Times New Roman" w:hAnsi="Times New Roman"/>
                <w:b/>
                <w:bCs/>
                <w:color w:val="000000"/>
                <w:lang w:val="en-US"/>
              </w:rPr>
            </w:pPr>
            <w:r w:rsidRPr="005724F1">
              <w:rPr>
                <w:rFonts w:ascii="Times New Roman" w:hAnsi="Times New Roman"/>
                <w:b/>
                <w:bCs/>
                <w:color w:val="000000"/>
                <w:lang w:eastAsia="es-ES"/>
              </w:rPr>
              <w:t>Sex</w:t>
            </w:r>
            <w:r>
              <w:rPr>
                <w:rFonts w:ascii="Times New Roman" w:hAnsi="Times New Roman"/>
                <w:b/>
                <w:bCs/>
                <w:color w:val="000000"/>
                <w:lang w:eastAsia="es-ES"/>
              </w:rPr>
              <w:t>o</w:t>
            </w:r>
          </w:p>
        </w:tc>
        <w:tc>
          <w:tcPr>
            <w:tcW w:w="840" w:type="pct"/>
            <w:vMerge w:val="restart"/>
            <w:tcBorders>
              <w:top w:val="single" w:sz="8" w:space="0" w:color="auto"/>
              <w:left w:val="nil"/>
              <w:bottom w:val="single" w:sz="8" w:space="0" w:color="000000"/>
              <w:right w:val="nil"/>
            </w:tcBorders>
            <w:shd w:val="clear" w:color="auto" w:fill="auto"/>
            <w:vAlign w:val="center"/>
            <w:hideMark/>
          </w:tcPr>
          <w:p w:rsidR="00346E72" w:rsidRPr="005724F1" w:rsidRDefault="006110EA" w:rsidP="00834A37">
            <w:pPr>
              <w:spacing w:after="0"/>
              <w:jc w:val="center"/>
              <w:rPr>
                <w:rFonts w:ascii="Times New Roman" w:hAnsi="Times New Roman"/>
                <w:b/>
                <w:bCs/>
                <w:color w:val="000000"/>
                <w:lang w:val="en-US"/>
              </w:rPr>
            </w:pPr>
            <w:r>
              <w:rPr>
                <w:rFonts w:ascii="Times New Roman" w:hAnsi="Times New Roman"/>
                <w:b/>
                <w:bCs/>
                <w:color w:val="000000"/>
                <w:lang w:eastAsia="es-ES"/>
              </w:rPr>
              <w:t>Edad</w:t>
            </w:r>
          </w:p>
        </w:tc>
        <w:tc>
          <w:tcPr>
            <w:tcW w:w="3310" w:type="pct"/>
            <w:gridSpan w:val="4"/>
            <w:tcBorders>
              <w:top w:val="single" w:sz="8" w:space="0" w:color="auto"/>
              <w:left w:val="nil"/>
              <w:bottom w:val="single" w:sz="8" w:space="0" w:color="auto"/>
              <w:right w:val="single" w:sz="4" w:space="0" w:color="auto"/>
            </w:tcBorders>
            <w:shd w:val="clear" w:color="auto" w:fill="auto"/>
            <w:vAlign w:val="center"/>
            <w:hideMark/>
          </w:tcPr>
          <w:p w:rsidR="00346E72" w:rsidRPr="005724F1" w:rsidRDefault="006110EA" w:rsidP="00834A37">
            <w:pPr>
              <w:spacing w:after="0"/>
              <w:jc w:val="center"/>
              <w:rPr>
                <w:rFonts w:ascii="Times New Roman" w:hAnsi="Times New Roman"/>
                <w:b/>
                <w:bCs/>
                <w:color w:val="000000"/>
                <w:lang w:val="en-US"/>
              </w:rPr>
            </w:pPr>
            <w:r>
              <w:rPr>
                <w:rFonts w:ascii="Times New Roman" w:hAnsi="Times New Roman"/>
                <w:b/>
                <w:bCs/>
                <w:color w:val="000000"/>
                <w:lang w:eastAsia="es-ES"/>
              </w:rPr>
              <w:t>Beneficio</w:t>
            </w:r>
          </w:p>
        </w:tc>
      </w:tr>
      <w:tr w:rsidR="00346E72" w:rsidRPr="005724F1" w:rsidTr="00834A37">
        <w:trPr>
          <w:trHeight w:val="288"/>
        </w:trPr>
        <w:tc>
          <w:tcPr>
            <w:tcW w:w="850" w:type="pct"/>
            <w:vMerge/>
            <w:tcBorders>
              <w:top w:val="single" w:sz="8" w:space="0" w:color="auto"/>
              <w:left w:val="single" w:sz="8" w:space="0" w:color="auto"/>
              <w:bottom w:val="single" w:sz="8" w:space="0" w:color="000000"/>
              <w:right w:val="nil"/>
            </w:tcBorders>
            <w:vAlign w:val="center"/>
            <w:hideMark/>
          </w:tcPr>
          <w:p w:rsidR="00346E72" w:rsidRPr="005724F1" w:rsidRDefault="00346E72" w:rsidP="00834A37">
            <w:pPr>
              <w:spacing w:after="0"/>
              <w:jc w:val="left"/>
              <w:rPr>
                <w:rFonts w:ascii="Times New Roman" w:hAnsi="Times New Roman"/>
                <w:b/>
                <w:bCs/>
                <w:color w:val="000000"/>
                <w:lang w:val="en-US"/>
              </w:rPr>
            </w:pPr>
          </w:p>
        </w:tc>
        <w:tc>
          <w:tcPr>
            <w:tcW w:w="840" w:type="pct"/>
            <w:vMerge/>
            <w:tcBorders>
              <w:top w:val="single" w:sz="8" w:space="0" w:color="auto"/>
              <w:left w:val="nil"/>
              <w:bottom w:val="single" w:sz="8" w:space="0" w:color="000000"/>
              <w:right w:val="nil"/>
            </w:tcBorders>
            <w:vAlign w:val="center"/>
            <w:hideMark/>
          </w:tcPr>
          <w:p w:rsidR="00346E72" w:rsidRPr="005724F1" w:rsidRDefault="00346E72" w:rsidP="00834A37">
            <w:pPr>
              <w:spacing w:after="0"/>
              <w:jc w:val="left"/>
              <w:rPr>
                <w:rFonts w:ascii="Times New Roman" w:hAnsi="Times New Roman"/>
                <w:b/>
                <w:bCs/>
                <w:color w:val="000000"/>
                <w:lang w:val="en-US"/>
              </w:rPr>
            </w:pPr>
          </w:p>
        </w:tc>
        <w:tc>
          <w:tcPr>
            <w:tcW w:w="828" w:type="pct"/>
            <w:tcBorders>
              <w:top w:val="nil"/>
              <w:left w:val="nil"/>
              <w:bottom w:val="single" w:sz="8" w:space="0" w:color="auto"/>
              <w:right w:val="nil"/>
            </w:tcBorders>
            <w:shd w:val="clear" w:color="auto" w:fill="auto"/>
            <w:noWrap/>
            <w:vAlign w:val="center"/>
            <w:hideMark/>
          </w:tcPr>
          <w:p w:rsidR="00346E72" w:rsidRPr="005724F1" w:rsidRDefault="006110EA" w:rsidP="00834A37">
            <w:pPr>
              <w:spacing w:after="0"/>
              <w:jc w:val="center"/>
              <w:rPr>
                <w:rFonts w:ascii="Times New Roman" w:hAnsi="Times New Roman"/>
                <w:color w:val="000000"/>
                <w:lang w:val="en-US"/>
              </w:rPr>
            </w:pPr>
            <w:r>
              <w:rPr>
                <w:rFonts w:ascii="Times New Roman" w:hAnsi="Times New Roman"/>
                <w:color w:val="000000"/>
                <w:lang w:eastAsia="es-ES"/>
              </w:rPr>
              <w:t>JO</w:t>
            </w:r>
          </w:p>
        </w:tc>
        <w:tc>
          <w:tcPr>
            <w:tcW w:w="828" w:type="pct"/>
            <w:tcBorders>
              <w:top w:val="nil"/>
              <w:left w:val="nil"/>
              <w:bottom w:val="single" w:sz="8" w:space="0" w:color="auto"/>
              <w:right w:val="nil"/>
            </w:tcBorders>
            <w:shd w:val="clear" w:color="auto" w:fill="auto"/>
            <w:noWrap/>
            <w:vAlign w:val="center"/>
            <w:hideMark/>
          </w:tcPr>
          <w:p w:rsidR="00346E72" w:rsidRPr="005724F1" w:rsidRDefault="006110EA" w:rsidP="00834A37">
            <w:pPr>
              <w:spacing w:after="0"/>
              <w:jc w:val="center"/>
              <w:rPr>
                <w:rFonts w:ascii="Times New Roman" w:hAnsi="Times New Roman"/>
                <w:color w:val="000000"/>
                <w:lang w:val="en-US"/>
              </w:rPr>
            </w:pPr>
            <w:r>
              <w:rPr>
                <w:rFonts w:ascii="Times New Roman" w:hAnsi="Times New Roman"/>
                <w:color w:val="000000"/>
                <w:lang w:eastAsia="es-ES"/>
              </w:rPr>
              <w:t>MOR/PNC</w:t>
            </w:r>
          </w:p>
        </w:tc>
        <w:tc>
          <w:tcPr>
            <w:tcW w:w="828" w:type="pct"/>
            <w:tcBorders>
              <w:top w:val="nil"/>
              <w:left w:val="nil"/>
              <w:bottom w:val="single" w:sz="8" w:space="0" w:color="auto"/>
              <w:right w:val="nil"/>
            </w:tcBorders>
            <w:shd w:val="clear" w:color="auto" w:fill="auto"/>
            <w:noWrap/>
            <w:vAlign w:val="center"/>
            <w:hideMark/>
          </w:tcPr>
          <w:p w:rsidR="00346E72" w:rsidRPr="005724F1" w:rsidRDefault="006110EA" w:rsidP="00834A37">
            <w:pPr>
              <w:spacing w:after="0"/>
              <w:jc w:val="center"/>
              <w:rPr>
                <w:rFonts w:ascii="Times New Roman" w:hAnsi="Times New Roman"/>
                <w:color w:val="000000"/>
                <w:lang w:val="en-US"/>
              </w:rPr>
            </w:pPr>
            <w:r>
              <w:rPr>
                <w:rFonts w:ascii="Times New Roman" w:hAnsi="Times New Roman"/>
                <w:color w:val="000000"/>
                <w:lang w:eastAsia="es-ES"/>
              </w:rPr>
              <w:t>PS</w:t>
            </w:r>
          </w:p>
        </w:tc>
        <w:tc>
          <w:tcPr>
            <w:tcW w:w="826" w:type="pct"/>
            <w:tcBorders>
              <w:top w:val="nil"/>
              <w:left w:val="nil"/>
              <w:bottom w:val="single" w:sz="8" w:space="0" w:color="auto"/>
              <w:right w:val="single" w:sz="4" w:space="0" w:color="auto"/>
            </w:tcBorders>
            <w:shd w:val="clear" w:color="auto" w:fill="auto"/>
            <w:noWrap/>
            <w:vAlign w:val="center"/>
            <w:hideMark/>
          </w:tcPr>
          <w:p w:rsidR="00346E72" w:rsidRPr="005724F1" w:rsidRDefault="00346E72" w:rsidP="00834A37">
            <w:pPr>
              <w:spacing w:after="0"/>
              <w:jc w:val="center"/>
              <w:rPr>
                <w:rFonts w:ascii="Times New Roman" w:hAnsi="Times New Roman"/>
                <w:color w:val="000000"/>
                <w:lang w:val="en-US"/>
              </w:rPr>
            </w:pPr>
            <w:r w:rsidRPr="005724F1">
              <w:rPr>
                <w:rFonts w:ascii="Times New Roman" w:hAnsi="Times New Roman"/>
                <w:color w:val="000000"/>
                <w:lang w:eastAsia="es-ES"/>
              </w:rPr>
              <w:t>Total</w:t>
            </w:r>
          </w:p>
        </w:tc>
      </w:tr>
      <w:tr w:rsidR="00346E72" w:rsidRPr="005724F1" w:rsidTr="00834A37">
        <w:trPr>
          <w:trHeight w:val="144"/>
        </w:trPr>
        <w:tc>
          <w:tcPr>
            <w:tcW w:w="850" w:type="pct"/>
            <w:vMerge w:val="restart"/>
            <w:tcBorders>
              <w:top w:val="nil"/>
              <w:left w:val="single" w:sz="8" w:space="0" w:color="auto"/>
              <w:bottom w:val="nil"/>
              <w:right w:val="nil"/>
            </w:tcBorders>
            <w:shd w:val="clear" w:color="auto" w:fill="auto"/>
            <w:vAlign w:val="center"/>
            <w:hideMark/>
          </w:tcPr>
          <w:p w:rsidR="00346E72" w:rsidRPr="008501B1" w:rsidRDefault="00346E72" w:rsidP="00834A37">
            <w:pPr>
              <w:spacing w:after="0"/>
              <w:jc w:val="center"/>
              <w:rPr>
                <w:rFonts w:ascii="Times New Roman" w:hAnsi="Times New Roman"/>
                <w:b/>
                <w:bCs/>
                <w:color w:val="000000"/>
                <w:lang w:val="en-US"/>
              </w:rPr>
            </w:pPr>
            <w:r w:rsidRPr="008501B1">
              <w:rPr>
                <w:rFonts w:ascii="Times New Roman" w:hAnsi="Times New Roman"/>
                <w:b/>
                <w:bCs/>
                <w:color w:val="000000"/>
                <w:lang w:eastAsia="es-ES"/>
              </w:rPr>
              <w:t>Hombres</w:t>
            </w:r>
          </w:p>
        </w:tc>
        <w:tc>
          <w:tcPr>
            <w:tcW w:w="840" w:type="pct"/>
            <w:tcBorders>
              <w:top w:val="nil"/>
              <w:left w:val="nil"/>
              <w:bottom w:val="nil"/>
              <w:right w:val="nil"/>
            </w:tcBorders>
            <w:shd w:val="clear" w:color="auto" w:fill="auto"/>
            <w:vAlign w:val="center"/>
            <w:hideMark/>
          </w:tcPr>
          <w:p w:rsidR="00346E72" w:rsidRPr="008501B1" w:rsidRDefault="00346E72" w:rsidP="00834A37">
            <w:pPr>
              <w:spacing w:after="0"/>
              <w:jc w:val="center"/>
              <w:rPr>
                <w:rFonts w:ascii="Times New Roman" w:hAnsi="Times New Roman"/>
                <w:bCs/>
                <w:color w:val="000000"/>
                <w:lang w:val="en-US"/>
              </w:rPr>
            </w:pPr>
            <w:r w:rsidRPr="008501B1">
              <w:rPr>
                <w:rFonts w:ascii="Times New Roman" w:hAnsi="Times New Roman"/>
                <w:bCs/>
                <w:color w:val="000000"/>
                <w:lang w:eastAsia="es-ES"/>
              </w:rPr>
              <w:t>65-79</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38</w:t>
            </w:r>
            <w:r w:rsidR="00346E72" w:rsidRPr="008501B1">
              <w:rPr>
                <w:rFonts w:ascii="Times New Roman" w:hAnsi="Times New Roman"/>
                <w:color w:val="000000"/>
                <w:lang w:val="en-US"/>
              </w:rPr>
              <w:t>.</w:t>
            </w:r>
            <w:r w:rsidRPr="008501B1">
              <w:rPr>
                <w:rFonts w:ascii="Times New Roman" w:hAnsi="Times New Roman"/>
                <w:color w:val="000000"/>
                <w:lang w:val="en-US"/>
              </w:rPr>
              <w:t>8</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42</w:t>
            </w:r>
            <w:r w:rsidR="00346E72" w:rsidRPr="008501B1">
              <w:rPr>
                <w:rFonts w:ascii="Times New Roman" w:hAnsi="Times New Roman"/>
                <w:color w:val="000000"/>
                <w:lang w:val="en-US"/>
              </w:rPr>
              <w:t>.</w:t>
            </w:r>
            <w:r w:rsidRPr="008501B1">
              <w:rPr>
                <w:rFonts w:ascii="Times New Roman" w:hAnsi="Times New Roman"/>
                <w:color w:val="000000"/>
                <w:lang w:val="en-US"/>
              </w:rPr>
              <w:t>9</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55</w:t>
            </w:r>
            <w:r w:rsidR="00346E72" w:rsidRPr="008501B1">
              <w:rPr>
                <w:rFonts w:ascii="Times New Roman" w:hAnsi="Times New Roman"/>
                <w:color w:val="000000"/>
                <w:lang w:val="en-US"/>
              </w:rPr>
              <w:t>.</w:t>
            </w:r>
            <w:r w:rsidRPr="008501B1">
              <w:rPr>
                <w:rFonts w:ascii="Times New Roman" w:hAnsi="Times New Roman"/>
                <w:color w:val="000000"/>
                <w:lang w:val="en-US"/>
              </w:rPr>
              <w:t>0</w:t>
            </w:r>
          </w:p>
        </w:tc>
        <w:tc>
          <w:tcPr>
            <w:tcW w:w="826" w:type="pct"/>
            <w:tcBorders>
              <w:top w:val="nil"/>
              <w:left w:val="nil"/>
              <w:bottom w:val="nil"/>
              <w:right w:val="single" w:sz="4" w:space="0" w:color="auto"/>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41</w:t>
            </w:r>
            <w:r w:rsidR="00346E72" w:rsidRPr="008501B1">
              <w:rPr>
                <w:rFonts w:ascii="Times New Roman" w:hAnsi="Times New Roman"/>
                <w:color w:val="000000"/>
                <w:lang w:val="en-US"/>
              </w:rPr>
              <w:t>.</w:t>
            </w:r>
            <w:r w:rsidRPr="008501B1">
              <w:rPr>
                <w:rFonts w:ascii="Times New Roman" w:hAnsi="Times New Roman"/>
                <w:color w:val="000000"/>
                <w:lang w:val="en-US"/>
              </w:rPr>
              <w:t>6</w:t>
            </w:r>
          </w:p>
        </w:tc>
      </w:tr>
      <w:tr w:rsidR="00346E72" w:rsidRPr="005724F1" w:rsidTr="00834A37">
        <w:trPr>
          <w:trHeight w:val="144"/>
        </w:trPr>
        <w:tc>
          <w:tcPr>
            <w:tcW w:w="850" w:type="pct"/>
            <w:vMerge/>
            <w:tcBorders>
              <w:top w:val="nil"/>
              <w:left w:val="single" w:sz="8" w:space="0" w:color="auto"/>
              <w:bottom w:val="nil"/>
              <w:right w:val="nil"/>
            </w:tcBorders>
            <w:vAlign w:val="center"/>
            <w:hideMark/>
          </w:tcPr>
          <w:p w:rsidR="00346E72" w:rsidRPr="008501B1" w:rsidRDefault="00346E72" w:rsidP="00834A37">
            <w:pPr>
              <w:spacing w:after="0"/>
              <w:jc w:val="center"/>
              <w:rPr>
                <w:rFonts w:ascii="Times New Roman" w:hAnsi="Times New Roman"/>
                <w:b/>
                <w:bCs/>
                <w:color w:val="000000"/>
                <w:lang w:val="en-US"/>
              </w:rPr>
            </w:pPr>
          </w:p>
        </w:tc>
        <w:tc>
          <w:tcPr>
            <w:tcW w:w="840" w:type="pct"/>
            <w:tcBorders>
              <w:top w:val="nil"/>
              <w:left w:val="nil"/>
              <w:bottom w:val="nil"/>
              <w:right w:val="nil"/>
            </w:tcBorders>
            <w:shd w:val="clear" w:color="auto" w:fill="auto"/>
            <w:vAlign w:val="center"/>
            <w:hideMark/>
          </w:tcPr>
          <w:p w:rsidR="00346E72" w:rsidRPr="008501B1" w:rsidRDefault="00346E72" w:rsidP="00834A37">
            <w:pPr>
              <w:spacing w:after="0"/>
              <w:jc w:val="center"/>
              <w:rPr>
                <w:rFonts w:ascii="Times New Roman" w:hAnsi="Times New Roman"/>
                <w:bCs/>
                <w:color w:val="000000"/>
                <w:lang w:val="en-US"/>
              </w:rPr>
            </w:pPr>
            <w:r w:rsidRPr="008501B1">
              <w:rPr>
                <w:rFonts w:ascii="Times New Roman" w:hAnsi="Times New Roman"/>
                <w:bCs/>
                <w:color w:val="000000"/>
                <w:lang w:eastAsia="es-ES"/>
              </w:rPr>
              <w:t>80-99</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121</w:t>
            </w:r>
            <w:r w:rsidR="00346E72" w:rsidRPr="008501B1">
              <w:rPr>
                <w:rFonts w:ascii="Times New Roman" w:hAnsi="Times New Roman"/>
                <w:color w:val="000000"/>
                <w:lang w:val="en-US"/>
              </w:rPr>
              <w:t>.</w:t>
            </w:r>
            <w:r w:rsidRPr="008501B1">
              <w:rPr>
                <w:rFonts w:ascii="Times New Roman" w:hAnsi="Times New Roman"/>
                <w:color w:val="000000"/>
                <w:lang w:val="en-US"/>
              </w:rPr>
              <w:t>1</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121</w:t>
            </w:r>
            <w:r w:rsidR="00346E72" w:rsidRPr="008501B1">
              <w:rPr>
                <w:rFonts w:ascii="Times New Roman" w:hAnsi="Times New Roman"/>
                <w:color w:val="000000"/>
                <w:lang w:val="en-US"/>
              </w:rPr>
              <w:t>.</w:t>
            </w:r>
            <w:r w:rsidRPr="008501B1">
              <w:rPr>
                <w:rFonts w:ascii="Times New Roman" w:hAnsi="Times New Roman"/>
                <w:color w:val="000000"/>
                <w:lang w:val="en-US"/>
              </w:rPr>
              <w:t>6</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143</w:t>
            </w:r>
            <w:r w:rsidR="00346E72" w:rsidRPr="008501B1">
              <w:rPr>
                <w:rFonts w:ascii="Times New Roman" w:hAnsi="Times New Roman"/>
                <w:color w:val="000000"/>
                <w:lang w:val="en-US"/>
              </w:rPr>
              <w:t>.</w:t>
            </w:r>
            <w:r w:rsidRPr="008501B1">
              <w:rPr>
                <w:rFonts w:ascii="Times New Roman" w:hAnsi="Times New Roman"/>
                <w:color w:val="000000"/>
                <w:lang w:val="en-US"/>
              </w:rPr>
              <w:t>2</w:t>
            </w:r>
          </w:p>
        </w:tc>
        <w:tc>
          <w:tcPr>
            <w:tcW w:w="826" w:type="pct"/>
            <w:tcBorders>
              <w:top w:val="nil"/>
              <w:left w:val="nil"/>
              <w:bottom w:val="nil"/>
              <w:right w:val="single" w:sz="4" w:space="0" w:color="auto"/>
            </w:tcBorders>
            <w:shd w:val="clear" w:color="auto" w:fill="auto"/>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124.8</w:t>
            </w:r>
          </w:p>
        </w:tc>
      </w:tr>
      <w:tr w:rsidR="00346E72" w:rsidRPr="005724F1" w:rsidTr="00834A37">
        <w:trPr>
          <w:trHeight w:val="144"/>
        </w:trPr>
        <w:tc>
          <w:tcPr>
            <w:tcW w:w="850" w:type="pct"/>
            <w:vMerge/>
            <w:tcBorders>
              <w:top w:val="nil"/>
              <w:left w:val="single" w:sz="8" w:space="0" w:color="auto"/>
              <w:bottom w:val="nil"/>
              <w:right w:val="nil"/>
            </w:tcBorders>
            <w:vAlign w:val="center"/>
            <w:hideMark/>
          </w:tcPr>
          <w:p w:rsidR="00346E72" w:rsidRPr="008501B1" w:rsidRDefault="00346E72" w:rsidP="00834A37">
            <w:pPr>
              <w:spacing w:after="0"/>
              <w:jc w:val="center"/>
              <w:rPr>
                <w:rFonts w:ascii="Times New Roman" w:hAnsi="Times New Roman"/>
                <w:b/>
                <w:bCs/>
                <w:color w:val="000000"/>
                <w:lang w:val="en-US"/>
              </w:rPr>
            </w:pPr>
          </w:p>
        </w:tc>
        <w:tc>
          <w:tcPr>
            <w:tcW w:w="840" w:type="pct"/>
            <w:tcBorders>
              <w:top w:val="nil"/>
              <w:left w:val="nil"/>
              <w:bottom w:val="nil"/>
              <w:right w:val="nil"/>
            </w:tcBorders>
            <w:shd w:val="clear" w:color="auto" w:fill="auto"/>
            <w:vAlign w:val="center"/>
            <w:hideMark/>
          </w:tcPr>
          <w:p w:rsidR="00346E72" w:rsidRPr="008501B1" w:rsidRDefault="00346E72" w:rsidP="00834A37">
            <w:pPr>
              <w:spacing w:after="0"/>
              <w:jc w:val="center"/>
              <w:rPr>
                <w:rFonts w:ascii="Times New Roman" w:hAnsi="Times New Roman"/>
                <w:b/>
                <w:bCs/>
                <w:color w:val="000000"/>
                <w:lang w:val="en-US"/>
              </w:rPr>
            </w:pPr>
            <w:r w:rsidRPr="008501B1">
              <w:rPr>
                <w:rFonts w:ascii="Times New Roman" w:hAnsi="Times New Roman"/>
                <w:b/>
                <w:bCs/>
                <w:color w:val="000000"/>
                <w:lang w:eastAsia="es-ES"/>
              </w:rPr>
              <w:t>Total</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61</w:t>
            </w:r>
            <w:r w:rsidR="00346E72" w:rsidRPr="008501B1">
              <w:rPr>
                <w:rFonts w:ascii="Times New Roman" w:hAnsi="Times New Roman"/>
                <w:b/>
                <w:bCs/>
                <w:color w:val="000000"/>
                <w:lang w:val="en-US"/>
              </w:rPr>
              <w:t>.</w:t>
            </w:r>
            <w:r w:rsidR="004B6F46">
              <w:rPr>
                <w:rFonts w:ascii="Times New Roman" w:hAnsi="Times New Roman"/>
                <w:b/>
                <w:bCs/>
                <w:color w:val="000000"/>
                <w:lang w:val="en-US"/>
              </w:rPr>
              <w:t>1</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50</w:t>
            </w:r>
            <w:r w:rsidR="00346E72" w:rsidRPr="008501B1">
              <w:rPr>
                <w:rFonts w:ascii="Times New Roman" w:hAnsi="Times New Roman"/>
                <w:b/>
                <w:bCs/>
                <w:color w:val="000000"/>
                <w:lang w:val="en-US"/>
              </w:rPr>
              <w:t>.</w:t>
            </w:r>
            <w:r w:rsidRPr="008501B1">
              <w:rPr>
                <w:rFonts w:ascii="Times New Roman" w:hAnsi="Times New Roman"/>
                <w:b/>
                <w:bCs/>
                <w:color w:val="000000"/>
                <w:lang w:val="en-US"/>
              </w:rPr>
              <w:t>5</w:t>
            </w:r>
          </w:p>
        </w:tc>
        <w:tc>
          <w:tcPr>
            <w:tcW w:w="828" w:type="pct"/>
            <w:tcBorders>
              <w:top w:val="nil"/>
              <w:left w:val="nil"/>
              <w:bottom w:val="nil"/>
              <w:right w:val="nil"/>
            </w:tcBorders>
            <w:shd w:val="clear" w:color="auto" w:fill="auto"/>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95</w:t>
            </w:r>
            <w:r w:rsidR="00346E72" w:rsidRPr="008501B1">
              <w:rPr>
                <w:rFonts w:ascii="Times New Roman" w:hAnsi="Times New Roman"/>
                <w:b/>
                <w:bCs/>
                <w:color w:val="000000"/>
                <w:lang w:val="en-US"/>
              </w:rPr>
              <w:t>.</w:t>
            </w:r>
            <w:r w:rsidRPr="008501B1">
              <w:rPr>
                <w:rFonts w:ascii="Times New Roman" w:hAnsi="Times New Roman"/>
                <w:b/>
                <w:bCs/>
                <w:color w:val="000000"/>
                <w:lang w:val="en-US"/>
              </w:rPr>
              <w:t>6</w:t>
            </w:r>
          </w:p>
        </w:tc>
        <w:tc>
          <w:tcPr>
            <w:tcW w:w="826" w:type="pct"/>
            <w:tcBorders>
              <w:top w:val="nil"/>
              <w:left w:val="nil"/>
              <w:bottom w:val="nil"/>
              <w:right w:val="single" w:sz="4" w:space="0" w:color="auto"/>
            </w:tcBorders>
            <w:shd w:val="clear" w:color="auto" w:fill="auto"/>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59</w:t>
            </w:r>
            <w:r w:rsidR="00346E72" w:rsidRPr="008501B1">
              <w:rPr>
                <w:rFonts w:ascii="Times New Roman" w:hAnsi="Times New Roman"/>
                <w:b/>
                <w:bCs/>
                <w:color w:val="000000"/>
                <w:lang w:val="en-US"/>
              </w:rPr>
              <w:t>.</w:t>
            </w:r>
            <w:r w:rsidRPr="008501B1">
              <w:rPr>
                <w:rFonts w:ascii="Times New Roman" w:hAnsi="Times New Roman"/>
                <w:b/>
                <w:bCs/>
                <w:color w:val="000000"/>
                <w:lang w:val="en-US"/>
              </w:rPr>
              <w:t>5</w:t>
            </w:r>
          </w:p>
        </w:tc>
      </w:tr>
      <w:tr w:rsidR="00346E72" w:rsidRPr="005724F1" w:rsidTr="00834A37">
        <w:trPr>
          <w:trHeight w:val="144"/>
        </w:trPr>
        <w:tc>
          <w:tcPr>
            <w:tcW w:w="850" w:type="pct"/>
            <w:vMerge w:val="restart"/>
            <w:tcBorders>
              <w:top w:val="nil"/>
              <w:left w:val="single" w:sz="8" w:space="0" w:color="auto"/>
              <w:bottom w:val="single" w:sz="8" w:space="0" w:color="000000"/>
              <w:right w:val="nil"/>
            </w:tcBorders>
            <w:shd w:val="clear" w:color="auto" w:fill="auto"/>
            <w:vAlign w:val="center"/>
            <w:hideMark/>
          </w:tcPr>
          <w:p w:rsidR="00346E72" w:rsidRPr="008501B1" w:rsidRDefault="00346E72" w:rsidP="00834A37">
            <w:pPr>
              <w:spacing w:after="0"/>
              <w:jc w:val="center"/>
              <w:rPr>
                <w:rFonts w:ascii="Times New Roman" w:hAnsi="Times New Roman"/>
                <w:b/>
                <w:bCs/>
                <w:color w:val="000000"/>
                <w:lang w:val="en-US"/>
              </w:rPr>
            </w:pPr>
            <w:r w:rsidRPr="008501B1">
              <w:rPr>
                <w:rFonts w:ascii="Times New Roman" w:hAnsi="Times New Roman"/>
                <w:b/>
                <w:bCs/>
                <w:color w:val="000000"/>
                <w:lang w:eastAsia="es-ES"/>
              </w:rPr>
              <w:t>Mujeres</w:t>
            </w:r>
          </w:p>
        </w:tc>
        <w:tc>
          <w:tcPr>
            <w:tcW w:w="840" w:type="pct"/>
            <w:tcBorders>
              <w:top w:val="nil"/>
              <w:left w:val="nil"/>
              <w:bottom w:val="nil"/>
              <w:right w:val="nil"/>
            </w:tcBorders>
            <w:shd w:val="clear" w:color="auto" w:fill="auto"/>
            <w:vAlign w:val="center"/>
            <w:hideMark/>
          </w:tcPr>
          <w:p w:rsidR="00346E72" w:rsidRPr="008501B1" w:rsidRDefault="00346E72" w:rsidP="00834A37">
            <w:pPr>
              <w:spacing w:after="0"/>
              <w:jc w:val="center"/>
              <w:rPr>
                <w:rFonts w:ascii="Times New Roman" w:hAnsi="Times New Roman"/>
                <w:bCs/>
                <w:color w:val="000000"/>
                <w:lang w:val="en-US"/>
              </w:rPr>
            </w:pPr>
            <w:r w:rsidRPr="008501B1">
              <w:rPr>
                <w:rFonts w:ascii="Times New Roman" w:hAnsi="Times New Roman"/>
                <w:bCs/>
                <w:color w:val="000000"/>
                <w:lang w:eastAsia="es-ES"/>
              </w:rPr>
              <w:t>65-79</w:t>
            </w:r>
          </w:p>
        </w:tc>
        <w:tc>
          <w:tcPr>
            <w:tcW w:w="828" w:type="pct"/>
            <w:tcBorders>
              <w:top w:val="nil"/>
              <w:left w:val="nil"/>
              <w:bottom w:val="nil"/>
              <w:right w:val="nil"/>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19</w:t>
            </w:r>
            <w:r w:rsidR="00346E72" w:rsidRPr="008501B1">
              <w:rPr>
                <w:rFonts w:ascii="Times New Roman" w:hAnsi="Times New Roman"/>
                <w:color w:val="000000"/>
                <w:lang w:val="en-US"/>
              </w:rPr>
              <w:t>.3</w:t>
            </w:r>
          </w:p>
        </w:tc>
        <w:tc>
          <w:tcPr>
            <w:tcW w:w="828" w:type="pct"/>
            <w:tcBorders>
              <w:top w:val="nil"/>
              <w:left w:val="nil"/>
              <w:bottom w:val="nil"/>
              <w:right w:val="nil"/>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22</w:t>
            </w:r>
            <w:r w:rsidR="00346E72" w:rsidRPr="008501B1">
              <w:rPr>
                <w:rFonts w:ascii="Times New Roman" w:hAnsi="Times New Roman"/>
                <w:color w:val="000000"/>
                <w:lang w:val="en-US"/>
              </w:rPr>
              <w:t>.</w:t>
            </w:r>
            <w:r w:rsidRPr="008501B1">
              <w:rPr>
                <w:rFonts w:ascii="Times New Roman" w:hAnsi="Times New Roman"/>
                <w:color w:val="000000"/>
                <w:lang w:val="en-US"/>
              </w:rPr>
              <w:t>1</w:t>
            </w:r>
          </w:p>
        </w:tc>
        <w:tc>
          <w:tcPr>
            <w:tcW w:w="828" w:type="pct"/>
            <w:tcBorders>
              <w:top w:val="nil"/>
              <w:left w:val="nil"/>
              <w:bottom w:val="nil"/>
              <w:right w:val="nil"/>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27</w:t>
            </w:r>
            <w:r w:rsidR="00346E72" w:rsidRPr="008501B1">
              <w:rPr>
                <w:rFonts w:ascii="Times New Roman" w:hAnsi="Times New Roman"/>
                <w:color w:val="000000"/>
                <w:lang w:val="en-US"/>
              </w:rPr>
              <w:t>.</w:t>
            </w:r>
            <w:r w:rsidRPr="008501B1">
              <w:rPr>
                <w:rFonts w:ascii="Times New Roman" w:hAnsi="Times New Roman"/>
                <w:color w:val="000000"/>
                <w:lang w:val="en-US"/>
              </w:rPr>
              <w:t>4</w:t>
            </w:r>
          </w:p>
        </w:tc>
        <w:tc>
          <w:tcPr>
            <w:tcW w:w="826" w:type="pct"/>
            <w:tcBorders>
              <w:top w:val="nil"/>
              <w:left w:val="nil"/>
              <w:bottom w:val="nil"/>
              <w:right w:val="single" w:sz="4" w:space="0" w:color="auto"/>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23</w:t>
            </w:r>
            <w:r w:rsidR="00346E72" w:rsidRPr="008501B1">
              <w:rPr>
                <w:rFonts w:ascii="Times New Roman" w:hAnsi="Times New Roman"/>
                <w:color w:val="000000"/>
                <w:lang w:val="en-US"/>
              </w:rPr>
              <w:t>.</w:t>
            </w:r>
            <w:r w:rsidRPr="008501B1">
              <w:rPr>
                <w:rFonts w:ascii="Times New Roman" w:hAnsi="Times New Roman"/>
                <w:color w:val="000000"/>
                <w:lang w:val="en-US"/>
              </w:rPr>
              <w:t>0</w:t>
            </w:r>
          </w:p>
        </w:tc>
      </w:tr>
      <w:tr w:rsidR="00346E72" w:rsidRPr="005724F1" w:rsidTr="00834A37">
        <w:trPr>
          <w:trHeight w:val="144"/>
        </w:trPr>
        <w:tc>
          <w:tcPr>
            <w:tcW w:w="850" w:type="pct"/>
            <w:vMerge/>
            <w:tcBorders>
              <w:top w:val="nil"/>
              <w:left w:val="single" w:sz="8" w:space="0" w:color="auto"/>
              <w:bottom w:val="single" w:sz="8" w:space="0" w:color="000000"/>
              <w:right w:val="nil"/>
            </w:tcBorders>
            <w:vAlign w:val="center"/>
            <w:hideMark/>
          </w:tcPr>
          <w:p w:rsidR="00346E72" w:rsidRPr="008501B1" w:rsidRDefault="00346E72" w:rsidP="00834A37">
            <w:pPr>
              <w:spacing w:after="0"/>
              <w:jc w:val="center"/>
              <w:rPr>
                <w:rFonts w:ascii="Times New Roman" w:hAnsi="Times New Roman"/>
                <w:b/>
                <w:bCs/>
                <w:color w:val="000000"/>
                <w:lang w:val="en-US"/>
              </w:rPr>
            </w:pPr>
          </w:p>
        </w:tc>
        <w:tc>
          <w:tcPr>
            <w:tcW w:w="840" w:type="pct"/>
            <w:tcBorders>
              <w:top w:val="nil"/>
              <w:left w:val="nil"/>
              <w:bottom w:val="nil"/>
              <w:right w:val="nil"/>
            </w:tcBorders>
            <w:shd w:val="clear" w:color="auto" w:fill="auto"/>
            <w:vAlign w:val="center"/>
            <w:hideMark/>
          </w:tcPr>
          <w:p w:rsidR="00346E72" w:rsidRPr="008501B1" w:rsidRDefault="00346E72" w:rsidP="00834A37">
            <w:pPr>
              <w:spacing w:after="0"/>
              <w:jc w:val="center"/>
              <w:rPr>
                <w:rFonts w:ascii="Times New Roman" w:hAnsi="Times New Roman"/>
                <w:bCs/>
                <w:color w:val="000000"/>
                <w:lang w:val="en-US"/>
              </w:rPr>
            </w:pPr>
            <w:r w:rsidRPr="008501B1">
              <w:rPr>
                <w:rFonts w:ascii="Times New Roman" w:hAnsi="Times New Roman"/>
                <w:bCs/>
                <w:color w:val="000000"/>
                <w:lang w:eastAsia="es-ES"/>
              </w:rPr>
              <w:t>80-99</w:t>
            </w:r>
          </w:p>
        </w:tc>
        <w:tc>
          <w:tcPr>
            <w:tcW w:w="828" w:type="pct"/>
            <w:tcBorders>
              <w:top w:val="nil"/>
              <w:left w:val="nil"/>
              <w:bottom w:val="nil"/>
              <w:right w:val="nil"/>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91</w:t>
            </w:r>
            <w:r w:rsidR="00346E72" w:rsidRPr="008501B1">
              <w:rPr>
                <w:rFonts w:ascii="Times New Roman" w:hAnsi="Times New Roman"/>
                <w:color w:val="000000"/>
                <w:lang w:val="en-US"/>
              </w:rPr>
              <w:t>.</w:t>
            </w:r>
            <w:r w:rsidRPr="008501B1">
              <w:rPr>
                <w:rFonts w:ascii="Times New Roman" w:hAnsi="Times New Roman"/>
                <w:color w:val="000000"/>
                <w:lang w:val="en-US"/>
              </w:rPr>
              <w:t>8</w:t>
            </w:r>
          </w:p>
        </w:tc>
        <w:tc>
          <w:tcPr>
            <w:tcW w:w="828" w:type="pct"/>
            <w:tcBorders>
              <w:top w:val="nil"/>
              <w:left w:val="nil"/>
              <w:bottom w:val="nil"/>
              <w:right w:val="nil"/>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91</w:t>
            </w:r>
            <w:r w:rsidR="00346E72" w:rsidRPr="008501B1">
              <w:rPr>
                <w:rFonts w:ascii="Times New Roman" w:hAnsi="Times New Roman"/>
                <w:color w:val="000000"/>
                <w:lang w:val="en-US"/>
              </w:rPr>
              <w:t>.</w:t>
            </w:r>
            <w:r w:rsidRPr="008501B1">
              <w:rPr>
                <w:rFonts w:ascii="Times New Roman" w:hAnsi="Times New Roman"/>
                <w:color w:val="000000"/>
                <w:lang w:val="en-US"/>
              </w:rPr>
              <w:t>9</w:t>
            </w:r>
          </w:p>
        </w:tc>
        <w:tc>
          <w:tcPr>
            <w:tcW w:w="828" w:type="pct"/>
            <w:tcBorders>
              <w:top w:val="nil"/>
              <w:left w:val="nil"/>
              <w:bottom w:val="nil"/>
              <w:right w:val="nil"/>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107</w:t>
            </w:r>
            <w:r w:rsidR="00346E72" w:rsidRPr="008501B1">
              <w:rPr>
                <w:rFonts w:ascii="Times New Roman" w:hAnsi="Times New Roman"/>
                <w:color w:val="000000"/>
                <w:lang w:val="en-US"/>
              </w:rPr>
              <w:t>.9</w:t>
            </w:r>
          </w:p>
        </w:tc>
        <w:tc>
          <w:tcPr>
            <w:tcW w:w="826" w:type="pct"/>
            <w:tcBorders>
              <w:top w:val="nil"/>
              <w:left w:val="nil"/>
              <w:bottom w:val="nil"/>
              <w:right w:val="single" w:sz="4" w:space="0" w:color="auto"/>
            </w:tcBorders>
            <w:shd w:val="clear" w:color="auto" w:fill="auto"/>
            <w:noWrap/>
            <w:vAlign w:val="center"/>
            <w:hideMark/>
          </w:tcPr>
          <w:p w:rsidR="00346E72" w:rsidRPr="008501B1" w:rsidRDefault="00862376" w:rsidP="00834A37">
            <w:pPr>
              <w:spacing w:after="0"/>
              <w:jc w:val="center"/>
              <w:rPr>
                <w:rFonts w:ascii="Times New Roman" w:hAnsi="Times New Roman"/>
                <w:color w:val="000000"/>
                <w:lang w:val="en-US"/>
              </w:rPr>
            </w:pPr>
            <w:r w:rsidRPr="008501B1">
              <w:rPr>
                <w:rFonts w:ascii="Times New Roman" w:hAnsi="Times New Roman"/>
                <w:color w:val="000000"/>
                <w:lang w:val="en-US"/>
              </w:rPr>
              <w:t>101</w:t>
            </w:r>
            <w:r w:rsidR="00346E72" w:rsidRPr="008501B1">
              <w:rPr>
                <w:rFonts w:ascii="Times New Roman" w:hAnsi="Times New Roman"/>
                <w:color w:val="000000"/>
                <w:lang w:val="en-US"/>
              </w:rPr>
              <w:t>.</w:t>
            </w:r>
            <w:r w:rsidRPr="008501B1">
              <w:rPr>
                <w:rFonts w:ascii="Times New Roman" w:hAnsi="Times New Roman"/>
                <w:color w:val="000000"/>
                <w:lang w:val="en-US"/>
              </w:rPr>
              <w:t>1</w:t>
            </w:r>
          </w:p>
        </w:tc>
      </w:tr>
      <w:tr w:rsidR="00346E72" w:rsidRPr="005724F1" w:rsidTr="00834A37">
        <w:trPr>
          <w:trHeight w:val="144"/>
        </w:trPr>
        <w:tc>
          <w:tcPr>
            <w:tcW w:w="850" w:type="pct"/>
            <w:vMerge/>
            <w:tcBorders>
              <w:top w:val="nil"/>
              <w:left w:val="single" w:sz="8" w:space="0" w:color="auto"/>
              <w:bottom w:val="single" w:sz="8" w:space="0" w:color="000000"/>
              <w:right w:val="nil"/>
            </w:tcBorders>
            <w:vAlign w:val="center"/>
            <w:hideMark/>
          </w:tcPr>
          <w:p w:rsidR="00346E72" w:rsidRPr="008501B1" w:rsidRDefault="00346E72" w:rsidP="00834A37">
            <w:pPr>
              <w:spacing w:after="0"/>
              <w:jc w:val="center"/>
              <w:rPr>
                <w:rFonts w:ascii="Times New Roman" w:hAnsi="Times New Roman"/>
                <w:b/>
                <w:bCs/>
                <w:color w:val="000000"/>
                <w:lang w:val="en-US"/>
              </w:rPr>
            </w:pPr>
          </w:p>
        </w:tc>
        <w:tc>
          <w:tcPr>
            <w:tcW w:w="840" w:type="pct"/>
            <w:tcBorders>
              <w:top w:val="nil"/>
              <w:left w:val="nil"/>
              <w:bottom w:val="single" w:sz="8" w:space="0" w:color="auto"/>
              <w:right w:val="nil"/>
            </w:tcBorders>
            <w:shd w:val="clear" w:color="auto" w:fill="auto"/>
            <w:vAlign w:val="center"/>
            <w:hideMark/>
          </w:tcPr>
          <w:p w:rsidR="00346E72" w:rsidRPr="008501B1" w:rsidRDefault="00346E72" w:rsidP="00834A37">
            <w:pPr>
              <w:spacing w:after="0"/>
              <w:jc w:val="center"/>
              <w:rPr>
                <w:rFonts w:ascii="Times New Roman" w:hAnsi="Times New Roman"/>
                <w:b/>
                <w:bCs/>
                <w:color w:val="000000"/>
                <w:lang w:val="en-US"/>
              </w:rPr>
            </w:pPr>
            <w:r w:rsidRPr="008501B1">
              <w:rPr>
                <w:rFonts w:ascii="Times New Roman" w:hAnsi="Times New Roman"/>
                <w:b/>
                <w:bCs/>
                <w:color w:val="000000"/>
                <w:lang w:eastAsia="es-ES"/>
              </w:rPr>
              <w:t>Total</w:t>
            </w:r>
          </w:p>
        </w:tc>
        <w:tc>
          <w:tcPr>
            <w:tcW w:w="828" w:type="pct"/>
            <w:tcBorders>
              <w:top w:val="nil"/>
              <w:left w:val="nil"/>
              <w:bottom w:val="single" w:sz="8" w:space="0" w:color="auto"/>
              <w:right w:val="nil"/>
            </w:tcBorders>
            <w:shd w:val="clear" w:color="auto" w:fill="auto"/>
            <w:noWrap/>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40</w:t>
            </w:r>
            <w:r w:rsidR="00346E72" w:rsidRPr="008501B1">
              <w:rPr>
                <w:rFonts w:ascii="Times New Roman" w:hAnsi="Times New Roman"/>
                <w:b/>
                <w:bCs/>
                <w:color w:val="000000"/>
                <w:lang w:val="en-US"/>
              </w:rPr>
              <w:t>.</w:t>
            </w:r>
            <w:r w:rsidRPr="008501B1">
              <w:rPr>
                <w:rFonts w:ascii="Times New Roman" w:hAnsi="Times New Roman"/>
                <w:b/>
                <w:bCs/>
                <w:color w:val="000000"/>
                <w:lang w:val="en-US"/>
              </w:rPr>
              <w:t>6</w:t>
            </w:r>
          </w:p>
        </w:tc>
        <w:tc>
          <w:tcPr>
            <w:tcW w:w="828" w:type="pct"/>
            <w:tcBorders>
              <w:top w:val="nil"/>
              <w:left w:val="nil"/>
              <w:bottom w:val="single" w:sz="8" w:space="0" w:color="auto"/>
              <w:right w:val="nil"/>
            </w:tcBorders>
            <w:shd w:val="clear" w:color="auto" w:fill="auto"/>
            <w:noWrap/>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32</w:t>
            </w:r>
            <w:r w:rsidR="00346E72" w:rsidRPr="008501B1">
              <w:rPr>
                <w:rFonts w:ascii="Times New Roman" w:hAnsi="Times New Roman"/>
                <w:b/>
                <w:bCs/>
                <w:color w:val="000000"/>
                <w:lang w:val="en-US"/>
              </w:rPr>
              <w:t>.</w:t>
            </w:r>
            <w:r w:rsidRPr="008501B1">
              <w:rPr>
                <w:rFonts w:ascii="Times New Roman" w:hAnsi="Times New Roman"/>
                <w:b/>
                <w:bCs/>
                <w:color w:val="000000"/>
                <w:lang w:val="en-US"/>
              </w:rPr>
              <w:t>1</w:t>
            </w:r>
          </w:p>
        </w:tc>
        <w:tc>
          <w:tcPr>
            <w:tcW w:w="828" w:type="pct"/>
            <w:tcBorders>
              <w:top w:val="nil"/>
              <w:left w:val="nil"/>
              <w:bottom w:val="single" w:sz="8" w:space="0" w:color="auto"/>
              <w:right w:val="nil"/>
            </w:tcBorders>
            <w:shd w:val="clear" w:color="auto" w:fill="auto"/>
            <w:noWrap/>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64</w:t>
            </w:r>
            <w:r w:rsidR="00346E72" w:rsidRPr="008501B1">
              <w:rPr>
                <w:rFonts w:ascii="Times New Roman" w:hAnsi="Times New Roman"/>
                <w:b/>
                <w:bCs/>
                <w:color w:val="000000"/>
                <w:lang w:val="en-US"/>
              </w:rPr>
              <w:t>.</w:t>
            </w:r>
            <w:r w:rsidRPr="008501B1">
              <w:rPr>
                <w:rFonts w:ascii="Times New Roman" w:hAnsi="Times New Roman"/>
                <w:b/>
                <w:bCs/>
                <w:color w:val="000000"/>
                <w:lang w:val="en-US"/>
              </w:rPr>
              <w:t>1</w:t>
            </w:r>
          </w:p>
        </w:tc>
        <w:tc>
          <w:tcPr>
            <w:tcW w:w="826" w:type="pct"/>
            <w:tcBorders>
              <w:top w:val="nil"/>
              <w:left w:val="nil"/>
              <w:bottom w:val="single" w:sz="8" w:space="0" w:color="auto"/>
              <w:right w:val="single" w:sz="4" w:space="0" w:color="auto"/>
            </w:tcBorders>
            <w:shd w:val="clear" w:color="auto" w:fill="auto"/>
            <w:noWrap/>
            <w:vAlign w:val="center"/>
            <w:hideMark/>
          </w:tcPr>
          <w:p w:rsidR="00346E72" w:rsidRPr="008501B1" w:rsidRDefault="00862376" w:rsidP="00834A37">
            <w:pPr>
              <w:spacing w:after="0"/>
              <w:jc w:val="center"/>
              <w:rPr>
                <w:rFonts w:ascii="Times New Roman" w:hAnsi="Times New Roman"/>
                <w:b/>
                <w:bCs/>
                <w:color w:val="000000"/>
                <w:lang w:val="en-US"/>
              </w:rPr>
            </w:pPr>
            <w:r w:rsidRPr="008501B1">
              <w:rPr>
                <w:rFonts w:ascii="Times New Roman" w:hAnsi="Times New Roman"/>
                <w:b/>
                <w:bCs/>
                <w:color w:val="000000"/>
                <w:lang w:val="en-US"/>
              </w:rPr>
              <w:t>45</w:t>
            </w:r>
            <w:r w:rsidR="00346E72" w:rsidRPr="008501B1">
              <w:rPr>
                <w:rFonts w:ascii="Times New Roman" w:hAnsi="Times New Roman"/>
                <w:b/>
                <w:bCs/>
                <w:color w:val="000000"/>
                <w:lang w:val="en-US"/>
              </w:rPr>
              <w:t>.</w:t>
            </w:r>
            <w:r w:rsidRPr="008501B1">
              <w:rPr>
                <w:rFonts w:ascii="Times New Roman" w:hAnsi="Times New Roman"/>
                <w:b/>
                <w:bCs/>
                <w:color w:val="000000"/>
                <w:lang w:val="en-US"/>
              </w:rPr>
              <w:t>6</w:t>
            </w:r>
          </w:p>
        </w:tc>
      </w:tr>
    </w:tbl>
    <w:p w:rsidR="00C05D40" w:rsidRPr="00F25F77" w:rsidRDefault="00C05D40" w:rsidP="00C05D40">
      <w:pPr>
        <w:spacing w:line="360" w:lineRule="auto"/>
        <w:rPr>
          <w:rFonts w:ascii="Times New Roman" w:hAnsi="Times New Roman"/>
          <w:sz w:val="20"/>
          <w:szCs w:val="20"/>
        </w:rPr>
      </w:pPr>
      <w:r w:rsidRPr="00F25F77">
        <w:rPr>
          <w:rFonts w:ascii="Times New Roman" w:hAnsi="Times New Roman"/>
          <w:sz w:val="20"/>
          <w:szCs w:val="20"/>
          <w:u w:val="single"/>
        </w:rPr>
        <w:t>Fuente</w:t>
      </w:r>
      <w:r w:rsidRPr="00F25F77">
        <w:rPr>
          <w:rFonts w:ascii="Times New Roman" w:hAnsi="Times New Roman"/>
          <w:sz w:val="20"/>
          <w:szCs w:val="20"/>
        </w:rPr>
        <w:t>: Ela</w:t>
      </w:r>
      <w:r w:rsidR="008501B1">
        <w:rPr>
          <w:rFonts w:ascii="Times New Roman" w:hAnsi="Times New Roman"/>
          <w:sz w:val="20"/>
          <w:szCs w:val="20"/>
        </w:rPr>
        <w:t>boración propia en base a ANSES</w:t>
      </w:r>
      <w:r w:rsidRPr="00F25F77">
        <w:rPr>
          <w:rFonts w:ascii="Times New Roman" w:hAnsi="Times New Roman"/>
          <w:sz w:val="20"/>
          <w:szCs w:val="20"/>
        </w:rPr>
        <w:t>.</w:t>
      </w:r>
    </w:p>
    <w:p w:rsidR="00862376" w:rsidRPr="00C05D40" w:rsidRDefault="00862376" w:rsidP="00346E72">
      <w:pPr>
        <w:spacing w:line="360" w:lineRule="auto"/>
        <w:ind w:firstLine="708"/>
        <w:rPr>
          <w:rFonts w:ascii="Times New Roman" w:hAnsi="Times New Roman"/>
          <w:sz w:val="24"/>
          <w:szCs w:val="24"/>
        </w:rPr>
      </w:pPr>
    </w:p>
    <w:p w:rsidR="006110EA" w:rsidRDefault="00862376" w:rsidP="00346E72">
      <w:pPr>
        <w:spacing w:line="360" w:lineRule="auto"/>
        <w:ind w:firstLine="708"/>
        <w:rPr>
          <w:rFonts w:ascii="Times New Roman" w:hAnsi="Times New Roman"/>
          <w:sz w:val="24"/>
          <w:szCs w:val="24"/>
        </w:rPr>
      </w:pPr>
      <w:r w:rsidRPr="00B93580">
        <w:rPr>
          <w:rFonts w:ascii="Times New Roman" w:hAnsi="Times New Roman"/>
          <w:sz w:val="24"/>
          <w:szCs w:val="24"/>
        </w:rPr>
        <w:t>La Tabla 3 presenta los resultados estandarizados por la población total de expuestos, y permit</w:t>
      </w:r>
      <w:r w:rsidR="0018275F">
        <w:rPr>
          <w:rFonts w:ascii="Times New Roman" w:hAnsi="Times New Roman"/>
          <w:sz w:val="24"/>
          <w:szCs w:val="24"/>
        </w:rPr>
        <w:t>ió</w:t>
      </w:r>
      <w:r w:rsidRPr="00B93580">
        <w:rPr>
          <w:rFonts w:ascii="Times New Roman" w:hAnsi="Times New Roman"/>
          <w:sz w:val="24"/>
          <w:szCs w:val="24"/>
        </w:rPr>
        <w:t xml:space="preserve"> </w:t>
      </w:r>
      <w:r w:rsidR="00B93580" w:rsidRPr="00B93580">
        <w:rPr>
          <w:rFonts w:ascii="Times New Roman" w:hAnsi="Times New Roman"/>
          <w:sz w:val="24"/>
          <w:szCs w:val="24"/>
        </w:rPr>
        <w:t>visua</w:t>
      </w:r>
      <w:r w:rsidR="00B93580">
        <w:rPr>
          <w:rFonts w:ascii="Times New Roman" w:hAnsi="Times New Roman"/>
          <w:sz w:val="24"/>
          <w:szCs w:val="24"/>
        </w:rPr>
        <w:t xml:space="preserve">lizar el riesgo observado </w:t>
      </w:r>
      <w:r w:rsidR="0018275F">
        <w:rPr>
          <w:rFonts w:ascii="Times New Roman" w:hAnsi="Times New Roman"/>
          <w:sz w:val="24"/>
          <w:szCs w:val="24"/>
        </w:rPr>
        <w:t>en términos de tasas y de riesgos</w:t>
      </w:r>
      <w:r w:rsidR="00B93580">
        <w:rPr>
          <w:rFonts w:ascii="Times New Roman" w:hAnsi="Times New Roman"/>
          <w:sz w:val="24"/>
          <w:szCs w:val="24"/>
        </w:rPr>
        <w:t xml:space="preserve"> relativos entre grupos. </w:t>
      </w:r>
      <w:r w:rsidR="00B93580" w:rsidRPr="00B93580">
        <w:rPr>
          <w:rFonts w:ascii="Times New Roman" w:hAnsi="Times New Roman"/>
          <w:sz w:val="24"/>
          <w:szCs w:val="24"/>
        </w:rPr>
        <w:t>Tras el procedimiento se visualiza de manera más clara que el riesgo de mortalidad de</w:t>
      </w:r>
      <w:r w:rsidR="00B93580">
        <w:rPr>
          <w:rFonts w:ascii="Times New Roman" w:hAnsi="Times New Roman"/>
          <w:sz w:val="24"/>
          <w:szCs w:val="24"/>
        </w:rPr>
        <w:t xml:space="preserve"> quienes perciben una PS (los viudos) </w:t>
      </w:r>
      <w:r w:rsidR="0018275F">
        <w:rPr>
          <w:rFonts w:ascii="Times New Roman" w:hAnsi="Times New Roman"/>
          <w:sz w:val="24"/>
          <w:szCs w:val="24"/>
        </w:rPr>
        <w:t xml:space="preserve">fue </w:t>
      </w:r>
      <w:r w:rsidR="00B93580">
        <w:rPr>
          <w:rFonts w:ascii="Times New Roman" w:hAnsi="Times New Roman"/>
          <w:sz w:val="24"/>
          <w:szCs w:val="24"/>
        </w:rPr>
        <w:t>casi 1.2 veces mayor tanto para varones como para mujeres (no así para ambos sexos, donde la composición por sexo es radicalmente distinta)</w:t>
      </w:r>
      <w:r w:rsidR="0018275F">
        <w:rPr>
          <w:rFonts w:ascii="Times New Roman" w:hAnsi="Times New Roman"/>
          <w:sz w:val="24"/>
          <w:szCs w:val="24"/>
        </w:rPr>
        <w:t>. De igual manera, el riesgo fue</w:t>
      </w:r>
      <w:r w:rsidR="008501B1">
        <w:rPr>
          <w:rFonts w:ascii="Times New Roman" w:hAnsi="Times New Roman"/>
          <w:sz w:val="24"/>
          <w:szCs w:val="24"/>
        </w:rPr>
        <w:t xml:space="preserve"> levemente mayor para quienes percib</w:t>
      </w:r>
      <w:r w:rsidR="0018275F">
        <w:rPr>
          <w:rFonts w:ascii="Times New Roman" w:hAnsi="Times New Roman"/>
          <w:sz w:val="24"/>
          <w:szCs w:val="24"/>
        </w:rPr>
        <w:t>ían</w:t>
      </w:r>
      <w:r w:rsidR="008501B1">
        <w:rPr>
          <w:rFonts w:ascii="Times New Roman" w:hAnsi="Times New Roman"/>
          <w:sz w:val="24"/>
          <w:szCs w:val="24"/>
        </w:rPr>
        <w:t xml:space="preserve"> una PS en compara</w:t>
      </w:r>
      <w:r w:rsidR="0018275F">
        <w:rPr>
          <w:rFonts w:ascii="Times New Roman" w:hAnsi="Times New Roman"/>
          <w:sz w:val="24"/>
          <w:szCs w:val="24"/>
        </w:rPr>
        <w:t>ción a quienes percibían</w:t>
      </w:r>
      <w:r w:rsidR="008501B1">
        <w:rPr>
          <w:rFonts w:ascii="Times New Roman" w:hAnsi="Times New Roman"/>
          <w:sz w:val="24"/>
          <w:szCs w:val="24"/>
        </w:rPr>
        <w:t xml:space="preserve"> una prestación de tipo MOR/PNC</w:t>
      </w:r>
      <w:r w:rsidR="006110EA">
        <w:rPr>
          <w:rFonts w:ascii="Times New Roman" w:hAnsi="Times New Roman"/>
          <w:sz w:val="24"/>
          <w:szCs w:val="24"/>
        </w:rPr>
        <w:t>. En comparación con el total, se</w:t>
      </w:r>
      <w:r w:rsidR="0018275F">
        <w:rPr>
          <w:rFonts w:ascii="Times New Roman" w:hAnsi="Times New Roman"/>
          <w:sz w:val="24"/>
          <w:szCs w:val="24"/>
        </w:rPr>
        <w:t xml:space="preserve"> obtuvo</w:t>
      </w:r>
      <w:r w:rsidR="006110EA">
        <w:rPr>
          <w:rFonts w:ascii="Times New Roman" w:hAnsi="Times New Roman"/>
          <w:sz w:val="24"/>
          <w:szCs w:val="24"/>
        </w:rPr>
        <w:t xml:space="preserve"> que las diferencias </w:t>
      </w:r>
      <w:r w:rsidR="0018275F">
        <w:rPr>
          <w:rFonts w:ascii="Times New Roman" w:hAnsi="Times New Roman"/>
          <w:sz w:val="24"/>
          <w:szCs w:val="24"/>
        </w:rPr>
        <w:t>han sido</w:t>
      </w:r>
      <w:r w:rsidR="006110EA">
        <w:rPr>
          <w:rFonts w:ascii="Times New Roman" w:hAnsi="Times New Roman"/>
          <w:sz w:val="24"/>
          <w:szCs w:val="24"/>
        </w:rPr>
        <w:t xml:space="preserve"> más notorias para los hombres que para las mujeres</w:t>
      </w:r>
      <w:r w:rsidR="0018275F">
        <w:rPr>
          <w:rFonts w:ascii="Times New Roman" w:hAnsi="Times New Roman"/>
          <w:sz w:val="24"/>
          <w:szCs w:val="24"/>
        </w:rPr>
        <w:t>.</w:t>
      </w:r>
    </w:p>
    <w:p w:rsidR="00346E72" w:rsidRPr="008501B1" w:rsidRDefault="00B93580" w:rsidP="00346E72">
      <w:pPr>
        <w:spacing w:line="360" w:lineRule="auto"/>
        <w:ind w:firstLine="708"/>
        <w:rPr>
          <w:rFonts w:ascii="Times New Roman" w:hAnsi="Times New Roman"/>
          <w:sz w:val="24"/>
          <w:szCs w:val="24"/>
          <w:lang w:val="es-AR"/>
        </w:rPr>
      </w:pPr>
      <w:r w:rsidRPr="00B93580">
        <w:rPr>
          <w:rFonts w:ascii="Times New Roman" w:hAnsi="Times New Roman"/>
          <w:sz w:val="24"/>
          <w:szCs w:val="24"/>
        </w:rPr>
        <w:t xml:space="preserve"> </w:t>
      </w:r>
      <w:r w:rsidR="00862376" w:rsidRPr="00B93580">
        <w:rPr>
          <w:rFonts w:ascii="Times New Roman" w:hAnsi="Times New Roman"/>
          <w:sz w:val="24"/>
          <w:szCs w:val="24"/>
        </w:rPr>
        <w:t xml:space="preserve">  </w:t>
      </w:r>
    </w:p>
    <w:p w:rsidR="00346E72" w:rsidRPr="00CC13B2" w:rsidRDefault="008501B1" w:rsidP="00346E72">
      <w:pPr>
        <w:spacing w:line="360" w:lineRule="auto"/>
        <w:rPr>
          <w:rFonts w:ascii="Times New Roman" w:hAnsi="Times New Roman"/>
          <w:b/>
          <w:sz w:val="24"/>
          <w:szCs w:val="24"/>
          <w:lang w:val="es-AR"/>
        </w:rPr>
      </w:pPr>
      <w:r w:rsidRPr="00CC13B2">
        <w:rPr>
          <w:rFonts w:ascii="Times New Roman" w:hAnsi="Times New Roman"/>
          <w:b/>
          <w:sz w:val="24"/>
          <w:szCs w:val="24"/>
          <w:lang w:val="es-AR"/>
        </w:rPr>
        <w:t>Tabla</w:t>
      </w:r>
      <w:r w:rsidR="00346E72" w:rsidRPr="00CC13B2">
        <w:rPr>
          <w:rFonts w:ascii="Times New Roman" w:hAnsi="Times New Roman"/>
          <w:b/>
          <w:sz w:val="24"/>
          <w:szCs w:val="24"/>
          <w:lang w:val="es-AR"/>
        </w:rPr>
        <w:t xml:space="preserve"> </w:t>
      </w:r>
      <w:r w:rsidR="00346E72">
        <w:rPr>
          <w:rFonts w:ascii="Times New Roman" w:hAnsi="Times New Roman"/>
          <w:b/>
          <w:sz w:val="24"/>
          <w:szCs w:val="24"/>
          <w:lang w:val="en-US"/>
        </w:rPr>
        <w:t>3</w:t>
      </w:r>
      <w:r w:rsidR="00346E72" w:rsidRPr="00CC13B2">
        <w:rPr>
          <w:rFonts w:ascii="Times New Roman" w:hAnsi="Times New Roman"/>
          <w:b/>
          <w:sz w:val="24"/>
          <w:szCs w:val="24"/>
          <w:lang w:val="es-AR"/>
        </w:rPr>
        <w:t xml:space="preserve">. </w:t>
      </w:r>
      <w:r w:rsidRPr="00631CC3">
        <w:rPr>
          <w:rFonts w:ascii="Times New Roman" w:hAnsi="Times New Roman"/>
          <w:sz w:val="24"/>
          <w:szCs w:val="24"/>
          <w:lang w:val="es-AR"/>
        </w:rPr>
        <w:t>Tasas estandarizadas de mortalidad (*</w:t>
      </w:r>
      <w:r w:rsidR="00346E72" w:rsidRPr="00631CC3">
        <w:rPr>
          <w:rFonts w:ascii="Times New Roman" w:hAnsi="Times New Roman"/>
          <w:sz w:val="24"/>
          <w:szCs w:val="24"/>
          <w:lang w:val="es-AR"/>
        </w:rPr>
        <w:t xml:space="preserve"> 1000)</w:t>
      </w:r>
      <w:r w:rsidRPr="00631CC3">
        <w:rPr>
          <w:rFonts w:ascii="Times New Roman" w:hAnsi="Times New Roman"/>
          <w:sz w:val="24"/>
          <w:szCs w:val="24"/>
          <w:lang w:val="es-AR"/>
        </w:rPr>
        <w:t xml:space="preserve"> y</w:t>
      </w:r>
      <w:r w:rsidR="00346E72" w:rsidRPr="00631CC3">
        <w:rPr>
          <w:rFonts w:ascii="Times New Roman" w:hAnsi="Times New Roman"/>
          <w:sz w:val="24"/>
          <w:szCs w:val="24"/>
          <w:lang w:val="es-AR"/>
        </w:rPr>
        <w:t xml:space="preserve"> Ratios </w:t>
      </w:r>
      <w:r w:rsidRPr="00631CC3">
        <w:rPr>
          <w:rFonts w:ascii="Times New Roman" w:hAnsi="Times New Roman"/>
          <w:sz w:val="24"/>
          <w:szCs w:val="24"/>
          <w:lang w:val="es-AR"/>
        </w:rPr>
        <w:t>por sexo y tipo de beneficio en mayores de 65 años</w:t>
      </w:r>
      <w:r w:rsidR="00346E72" w:rsidRPr="00631CC3">
        <w:rPr>
          <w:rFonts w:ascii="Times New Roman" w:hAnsi="Times New Roman"/>
          <w:sz w:val="24"/>
          <w:szCs w:val="24"/>
          <w:lang w:val="es-AR"/>
        </w:rPr>
        <w:t xml:space="preserve">. </w:t>
      </w:r>
      <w:r w:rsidRPr="00631CC3">
        <w:rPr>
          <w:rFonts w:ascii="Times New Roman" w:hAnsi="Times New Roman"/>
          <w:sz w:val="24"/>
          <w:szCs w:val="24"/>
          <w:lang w:val="es-AR"/>
        </w:rPr>
        <w:t>Argentina, 2015-2016</w:t>
      </w:r>
    </w:p>
    <w:tbl>
      <w:tblPr>
        <w:tblW w:w="5000" w:type="pct"/>
        <w:jc w:val="center"/>
        <w:tblCellMar>
          <w:left w:w="70" w:type="dxa"/>
          <w:right w:w="70" w:type="dxa"/>
        </w:tblCellMar>
        <w:tblLook w:val="04A0"/>
      </w:tblPr>
      <w:tblGrid>
        <w:gridCol w:w="1008"/>
        <w:gridCol w:w="532"/>
        <w:gridCol w:w="1131"/>
        <w:gridCol w:w="526"/>
        <w:gridCol w:w="605"/>
        <w:gridCol w:w="1573"/>
        <w:gridCol w:w="1634"/>
        <w:gridCol w:w="1635"/>
      </w:tblGrid>
      <w:tr w:rsidR="006110EA" w:rsidRPr="00AA3358" w:rsidTr="006110EA">
        <w:trPr>
          <w:trHeight w:val="522"/>
          <w:jc w:val="center"/>
        </w:trPr>
        <w:tc>
          <w:tcPr>
            <w:tcW w:w="583" w:type="pct"/>
            <w:vMerge w:val="restart"/>
            <w:tcBorders>
              <w:top w:val="single" w:sz="8" w:space="0" w:color="auto"/>
              <w:left w:val="single" w:sz="8" w:space="0" w:color="auto"/>
              <w:bottom w:val="single" w:sz="8" w:space="0" w:color="000000"/>
            </w:tcBorders>
            <w:shd w:val="clear" w:color="auto" w:fill="auto"/>
            <w:noWrap/>
            <w:vAlign w:val="center"/>
            <w:hideMark/>
          </w:tcPr>
          <w:p w:rsidR="006110EA" w:rsidRPr="00AA3358" w:rsidRDefault="006110EA" w:rsidP="00314E1B">
            <w:pPr>
              <w:spacing w:after="0"/>
              <w:jc w:val="center"/>
              <w:rPr>
                <w:rFonts w:ascii="Times New Roman" w:hAnsi="Times New Roman"/>
                <w:b/>
                <w:color w:val="000000"/>
                <w:lang w:eastAsia="es-ES"/>
              </w:rPr>
            </w:pPr>
            <w:r w:rsidRPr="00AA3358">
              <w:rPr>
                <w:rFonts w:ascii="Times New Roman" w:hAnsi="Times New Roman"/>
                <w:b/>
                <w:color w:val="000000"/>
                <w:lang w:eastAsia="es-ES"/>
              </w:rPr>
              <w:t>Sex</w:t>
            </w:r>
            <w:r>
              <w:rPr>
                <w:rFonts w:ascii="Times New Roman" w:hAnsi="Times New Roman"/>
                <w:b/>
                <w:color w:val="000000"/>
                <w:lang w:eastAsia="es-ES"/>
              </w:rPr>
              <w:t>o</w:t>
            </w:r>
          </w:p>
        </w:tc>
        <w:tc>
          <w:tcPr>
            <w:tcW w:w="4417" w:type="pct"/>
            <w:gridSpan w:val="7"/>
            <w:tcBorders>
              <w:top w:val="single" w:sz="8" w:space="0" w:color="auto"/>
              <w:left w:val="nil"/>
              <w:bottom w:val="single" w:sz="8" w:space="0" w:color="auto"/>
              <w:right w:val="single" w:sz="8" w:space="0" w:color="000000"/>
            </w:tcBorders>
            <w:shd w:val="clear" w:color="auto" w:fill="auto"/>
            <w:hideMark/>
          </w:tcPr>
          <w:p w:rsidR="006110EA" w:rsidRDefault="006110EA" w:rsidP="00314E1B">
            <w:pPr>
              <w:spacing w:after="0"/>
              <w:jc w:val="center"/>
              <w:rPr>
                <w:rFonts w:ascii="Times New Roman" w:hAnsi="Times New Roman"/>
                <w:b/>
                <w:color w:val="000000"/>
                <w:lang w:eastAsia="es-ES"/>
              </w:rPr>
            </w:pPr>
            <w:r>
              <w:rPr>
                <w:rFonts w:ascii="Times New Roman" w:hAnsi="Times New Roman"/>
                <w:b/>
                <w:color w:val="000000"/>
                <w:lang w:eastAsia="es-ES"/>
              </w:rPr>
              <w:t>Tasas Estandarizadas * 1000</w:t>
            </w:r>
          </w:p>
        </w:tc>
      </w:tr>
      <w:tr w:rsidR="006110EA" w:rsidRPr="00882941" w:rsidTr="00CC13B2">
        <w:trPr>
          <w:trHeight w:val="313"/>
          <w:jc w:val="center"/>
        </w:trPr>
        <w:tc>
          <w:tcPr>
            <w:tcW w:w="583" w:type="pct"/>
            <w:vMerge/>
            <w:tcBorders>
              <w:top w:val="single" w:sz="8" w:space="0" w:color="000000"/>
              <w:left w:val="single" w:sz="8" w:space="0" w:color="auto"/>
              <w:bottom w:val="single" w:sz="8" w:space="0" w:color="000000"/>
            </w:tcBorders>
            <w:vAlign w:val="center"/>
            <w:hideMark/>
          </w:tcPr>
          <w:p w:rsidR="006110EA" w:rsidRPr="00882941" w:rsidRDefault="006110EA" w:rsidP="00314E1B">
            <w:pPr>
              <w:spacing w:after="0"/>
              <w:jc w:val="center"/>
              <w:rPr>
                <w:rFonts w:ascii="Times New Roman" w:hAnsi="Times New Roman"/>
                <w:color w:val="000000"/>
                <w:lang w:eastAsia="es-ES"/>
              </w:rPr>
            </w:pPr>
          </w:p>
        </w:tc>
        <w:tc>
          <w:tcPr>
            <w:tcW w:w="308" w:type="pct"/>
            <w:tcBorders>
              <w:top w:val="single" w:sz="8" w:space="0" w:color="auto"/>
              <w:bottom w:val="single" w:sz="8"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JO</w:t>
            </w:r>
          </w:p>
        </w:tc>
        <w:tc>
          <w:tcPr>
            <w:tcW w:w="654" w:type="pct"/>
            <w:tcBorders>
              <w:top w:val="single" w:sz="8" w:space="0" w:color="auto"/>
              <w:bottom w:val="single" w:sz="8"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MOR/PNC</w:t>
            </w:r>
          </w:p>
        </w:tc>
        <w:tc>
          <w:tcPr>
            <w:tcW w:w="304" w:type="pct"/>
            <w:tcBorders>
              <w:top w:val="nil"/>
              <w:bottom w:val="single" w:sz="8" w:space="0" w:color="auto"/>
            </w:tcBorders>
            <w:shd w:val="clear" w:color="auto" w:fill="auto"/>
            <w:noWrap/>
            <w:vAlign w:val="center"/>
            <w:hideMark/>
          </w:tcPr>
          <w:p w:rsidR="006110EA" w:rsidRPr="006110EA" w:rsidRDefault="006110EA" w:rsidP="00314E1B">
            <w:pPr>
              <w:spacing w:after="0"/>
              <w:jc w:val="center"/>
              <w:rPr>
                <w:rFonts w:ascii="Times New Roman" w:hAnsi="Times New Roman"/>
                <w:b/>
                <w:color w:val="000000"/>
                <w:lang w:val="en-US"/>
              </w:rPr>
            </w:pPr>
            <w:r w:rsidRPr="006110EA">
              <w:rPr>
                <w:rFonts w:ascii="Times New Roman" w:hAnsi="Times New Roman"/>
                <w:b/>
                <w:color w:val="000000"/>
              </w:rPr>
              <w:t>PS</w:t>
            </w:r>
          </w:p>
        </w:tc>
        <w:tc>
          <w:tcPr>
            <w:tcW w:w="350" w:type="pct"/>
            <w:tcBorders>
              <w:top w:val="nil"/>
              <w:bottom w:val="single" w:sz="8"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sidRPr="00F46D39">
              <w:rPr>
                <w:rFonts w:ascii="Times New Roman" w:hAnsi="Times New Roman"/>
                <w:color w:val="000000"/>
              </w:rPr>
              <w:t>Total</w:t>
            </w:r>
          </w:p>
        </w:tc>
        <w:tc>
          <w:tcPr>
            <w:tcW w:w="910" w:type="pct"/>
            <w:tcBorders>
              <w:top w:val="nil"/>
              <w:bottom w:val="single" w:sz="8"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Ratio PS</w:t>
            </w:r>
            <w:r w:rsidRPr="00F46D39">
              <w:rPr>
                <w:rFonts w:ascii="Times New Roman" w:hAnsi="Times New Roman"/>
                <w:color w:val="000000"/>
              </w:rPr>
              <w:t>/</w:t>
            </w:r>
            <w:r>
              <w:rPr>
                <w:rFonts w:ascii="Times New Roman" w:hAnsi="Times New Roman"/>
                <w:color w:val="000000"/>
              </w:rPr>
              <w:t>JO</w:t>
            </w:r>
          </w:p>
        </w:tc>
        <w:tc>
          <w:tcPr>
            <w:tcW w:w="945" w:type="pct"/>
            <w:tcBorders>
              <w:top w:val="nil"/>
              <w:bottom w:val="single" w:sz="8"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Ratio PS</w:t>
            </w:r>
            <w:r w:rsidRPr="00F46D39">
              <w:rPr>
                <w:rFonts w:ascii="Times New Roman" w:hAnsi="Times New Roman"/>
                <w:color w:val="000000"/>
              </w:rPr>
              <w:t>/</w:t>
            </w:r>
            <w:r>
              <w:rPr>
                <w:rFonts w:ascii="Times New Roman" w:hAnsi="Times New Roman"/>
                <w:color w:val="000000"/>
              </w:rPr>
              <w:t>MOR</w:t>
            </w:r>
          </w:p>
        </w:tc>
        <w:tc>
          <w:tcPr>
            <w:tcW w:w="945" w:type="pct"/>
            <w:tcBorders>
              <w:top w:val="nil"/>
              <w:bottom w:val="single" w:sz="8" w:space="0" w:color="auto"/>
              <w:right w:val="single" w:sz="8" w:space="0" w:color="auto"/>
            </w:tcBorders>
          </w:tcPr>
          <w:p w:rsidR="006110EA" w:rsidRDefault="006110EA" w:rsidP="00314E1B">
            <w:pPr>
              <w:spacing w:after="0"/>
              <w:jc w:val="center"/>
              <w:rPr>
                <w:rFonts w:ascii="Times New Roman" w:hAnsi="Times New Roman"/>
                <w:color w:val="000000"/>
              </w:rPr>
            </w:pPr>
            <w:r>
              <w:rPr>
                <w:rFonts w:ascii="Times New Roman" w:hAnsi="Times New Roman"/>
                <w:color w:val="000000"/>
              </w:rPr>
              <w:t>Ratio PS</w:t>
            </w:r>
            <w:r w:rsidRPr="00F46D39">
              <w:rPr>
                <w:rFonts w:ascii="Times New Roman" w:hAnsi="Times New Roman"/>
                <w:color w:val="000000"/>
              </w:rPr>
              <w:t>/</w:t>
            </w:r>
            <w:r>
              <w:rPr>
                <w:rFonts w:ascii="Times New Roman" w:hAnsi="Times New Roman"/>
                <w:color w:val="000000"/>
              </w:rPr>
              <w:t>Total</w:t>
            </w:r>
          </w:p>
        </w:tc>
      </w:tr>
      <w:tr w:rsidR="006110EA" w:rsidRPr="004322CF" w:rsidTr="00CC13B2">
        <w:trPr>
          <w:trHeight w:val="313"/>
          <w:jc w:val="center"/>
        </w:trPr>
        <w:tc>
          <w:tcPr>
            <w:tcW w:w="583" w:type="pct"/>
            <w:tcBorders>
              <w:top w:val="single" w:sz="8" w:space="0" w:color="000000"/>
              <w:left w:val="single" w:sz="4" w:space="0" w:color="auto"/>
            </w:tcBorders>
            <w:vAlign w:val="center"/>
            <w:hideMark/>
          </w:tcPr>
          <w:p w:rsidR="006110EA" w:rsidRPr="00AA3358" w:rsidRDefault="006110EA" w:rsidP="00314E1B">
            <w:pPr>
              <w:spacing w:after="0"/>
              <w:jc w:val="center"/>
              <w:rPr>
                <w:rFonts w:ascii="Times New Roman" w:hAnsi="Times New Roman"/>
                <w:b/>
                <w:color w:val="000000"/>
                <w:lang w:eastAsia="es-ES"/>
              </w:rPr>
            </w:pPr>
            <w:r>
              <w:rPr>
                <w:rFonts w:ascii="Times New Roman" w:hAnsi="Times New Roman"/>
                <w:b/>
                <w:color w:val="000000"/>
                <w:lang w:eastAsia="es-ES"/>
              </w:rPr>
              <w:t>Hombres</w:t>
            </w:r>
          </w:p>
        </w:tc>
        <w:tc>
          <w:tcPr>
            <w:tcW w:w="308" w:type="pct"/>
            <w:tcBorders>
              <w:left w:val="nil"/>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61</w:t>
            </w:r>
            <w:r w:rsidRPr="00F46D39">
              <w:rPr>
                <w:rFonts w:ascii="Times New Roman" w:hAnsi="Times New Roman"/>
                <w:color w:val="000000"/>
              </w:rPr>
              <w:t>.</w:t>
            </w:r>
            <w:r>
              <w:rPr>
                <w:rFonts w:ascii="Times New Roman" w:hAnsi="Times New Roman"/>
                <w:color w:val="000000"/>
              </w:rPr>
              <w:t>0</w:t>
            </w:r>
          </w:p>
        </w:tc>
        <w:tc>
          <w:tcPr>
            <w:tcW w:w="654" w:type="pct"/>
            <w:tcBorders>
              <w:left w:val="nil"/>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68</w:t>
            </w:r>
            <w:r w:rsidRPr="00F46D39">
              <w:rPr>
                <w:rFonts w:ascii="Times New Roman" w:hAnsi="Times New Roman"/>
                <w:color w:val="000000"/>
              </w:rPr>
              <w:t>.</w:t>
            </w:r>
            <w:r>
              <w:rPr>
                <w:rFonts w:ascii="Times New Roman" w:hAnsi="Times New Roman"/>
                <w:color w:val="000000"/>
              </w:rPr>
              <w:t>1</w:t>
            </w:r>
          </w:p>
        </w:tc>
        <w:tc>
          <w:tcPr>
            <w:tcW w:w="304" w:type="pct"/>
            <w:tcBorders>
              <w:left w:val="nil"/>
            </w:tcBorders>
            <w:shd w:val="clear" w:color="auto" w:fill="auto"/>
            <w:noWrap/>
            <w:vAlign w:val="center"/>
            <w:hideMark/>
          </w:tcPr>
          <w:p w:rsidR="006110EA" w:rsidRPr="006110EA" w:rsidRDefault="006110EA" w:rsidP="00314E1B">
            <w:pPr>
              <w:spacing w:after="0"/>
              <w:jc w:val="center"/>
              <w:rPr>
                <w:rFonts w:ascii="Times New Roman" w:hAnsi="Times New Roman"/>
                <w:b/>
                <w:color w:val="000000"/>
                <w:lang w:val="en-US"/>
              </w:rPr>
            </w:pPr>
            <w:r w:rsidRPr="006110EA">
              <w:rPr>
                <w:rFonts w:ascii="Times New Roman" w:hAnsi="Times New Roman"/>
                <w:b/>
                <w:color w:val="000000"/>
              </w:rPr>
              <w:t>72.5</w:t>
            </w:r>
          </w:p>
        </w:tc>
        <w:tc>
          <w:tcPr>
            <w:tcW w:w="350" w:type="pct"/>
            <w:tcBorders>
              <w:left w:val="nil"/>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64</w:t>
            </w:r>
            <w:r w:rsidRPr="00F46D39">
              <w:rPr>
                <w:rFonts w:ascii="Times New Roman" w:hAnsi="Times New Roman"/>
                <w:color w:val="000000"/>
              </w:rPr>
              <w:t>.</w:t>
            </w:r>
            <w:r>
              <w:rPr>
                <w:rFonts w:ascii="Times New Roman" w:hAnsi="Times New Roman"/>
                <w:color w:val="000000"/>
              </w:rPr>
              <w:t>8</w:t>
            </w:r>
          </w:p>
        </w:tc>
        <w:tc>
          <w:tcPr>
            <w:tcW w:w="910" w:type="pct"/>
            <w:tcBorders>
              <w:left w:val="nil"/>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1.19</w:t>
            </w:r>
          </w:p>
        </w:tc>
        <w:tc>
          <w:tcPr>
            <w:tcW w:w="945" w:type="pct"/>
            <w:tcBorders>
              <w:left w:val="nil"/>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sidRPr="00F46D39">
              <w:rPr>
                <w:rFonts w:ascii="Times New Roman" w:hAnsi="Times New Roman"/>
                <w:color w:val="000000"/>
              </w:rPr>
              <w:t>1.0</w:t>
            </w:r>
            <w:r>
              <w:rPr>
                <w:rFonts w:ascii="Times New Roman" w:hAnsi="Times New Roman"/>
                <w:color w:val="000000"/>
              </w:rPr>
              <w:t>6</w:t>
            </w:r>
          </w:p>
        </w:tc>
        <w:tc>
          <w:tcPr>
            <w:tcW w:w="945" w:type="pct"/>
            <w:tcBorders>
              <w:top w:val="single" w:sz="8" w:space="0" w:color="auto"/>
              <w:right w:val="single" w:sz="4" w:space="0" w:color="auto"/>
            </w:tcBorders>
          </w:tcPr>
          <w:p w:rsidR="006110EA" w:rsidRPr="00F46D39" w:rsidRDefault="006110EA" w:rsidP="00314E1B">
            <w:pPr>
              <w:spacing w:after="0"/>
              <w:jc w:val="center"/>
              <w:rPr>
                <w:rFonts w:ascii="Times New Roman" w:hAnsi="Times New Roman"/>
                <w:color w:val="000000"/>
              </w:rPr>
            </w:pPr>
            <w:r>
              <w:rPr>
                <w:rFonts w:ascii="Times New Roman" w:hAnsi="Times New Roman"/>
                <w:color w:val="000000"/>
              </w:rPr>
              <w:t>1.12</w:t>
            </w:r>
          </w:p>
        </w:tc>
      </w:tr>
      <w:tr w:rsidR="006110EA" w:rsidRPr="004322CF" w:rsidTr="00CC13B2">
        <w:trPr>
          <w:trHeight w:val="313"/>
          <w:jc w:val="center"/>
        </w:trPr>
        <w:tc>
          <w:tcPr>
            <w:tcW w:w="583" w:type="pct"/>
            <w:tcBorders>
              <w:left w:val="single" w:sz="4" w:space="0" w:color="auto"/>
              <w:bottom w:val="single" w:sz="4" w:space="0" w:color="auto"/>
            </w:tcBorders>
            <w:vAlign w:val="center"/>
            <w:hideMark/>
          </w:tcPr>
          <w:p w:rsidR="006110EA" w:rsidRPr="00AA3358" w:rsidRDefault="006110EA" w:rsidP="00314E1B">
            <w:pPr>
              <w:spacing w:after="0"/>
              <w:jc w:val="center"/>
              <w:rPr>
                <w:rFonts w:ascii="Times New Roman" w:hAnsi="Times New Roman"/>
                <w:b/>
                <w:color w:val="000000"/>
                <w:lang w:eastAsia="es-ES"/>
              </w:rPr>
            </w:pPr>
            <w:r>
              <w:rPr>
                <w:rFonts w:ascii="Times New Roman" w:hAnsi="Times New Roman"/>
                <w:b/>
                <w:color w:val="000000"/>
                <w:lang w:eastAsia="es-ES"/>
              </w:rPr>
              <w:t>Mujeres</w:t>
            </w:r>
          </w:p>
        </w:tc>
        <w:tc>
          <w:tcPr>
            <w:tcW w:w="308" w:type="pct"/>
            <w:tcBorders>
              <w:left w:val="nil"/>
              <w:bottom w:val="single" w:sz="4"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37</w:t>
            </w:r>
            <w:r w:rsidRPr="00F46D39">
              <w:rPr>
                <w:rFonts w:ascii="Times New Roman" w:hAnsi="Times New Roman"/>
                <w:color w:val="000000"/>
              </w:rPr>
              <w:t>.</w:t>
            </w:r>
            <w:r>
              <w:rPr>
                <w:rFonts w:ascii="Times New Roman" w:hAnsi="Times New Roman"/>
                <w:color w:val="000000"/>
              </w:rPr>
              <w:t>9</w:t>
            </w:r>
          </w:p>
        </w:tc>
        <w:tc>
          <w:tcPr>
            <w:tcW w:w="654" w:type="pct"/>
            <w:tcBorders>
              <w:left w:val="nil"/>
              <w:bottom w:val="single" w:sz="4"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43</w:t>
            </w:r>
            <w:r w:rsidRPr="00F46D39">
              <w:rPr>
                <w:rFonts w:ascii="Times New Roman" w:hAnsi="Times New Roman"/>
                <w:color w:val="000000"/>
              </w:rPr>
              <w:t>.</w:t>
            </w:r>
            <w:r>
              <w:rPr>
                <w:rFonts w:ascii="Times New Roman" w:hAnsi="Times New Roman"/>
                <w:color w:val="000000"/>
              </w:rPr>
              <w:t>1</w:t>
            </w:r>
          </w:p>
        </w:tc>
        <w:tc>
          <w:tcPr>
            <w:tcW w:w="304" w:type="pct"/>
            <w:tcBorders>
              <w:left w:val="nil"/>
              <w:bottom w:val="single" w:sz="4" w:space="0" w:color="auto"/>
            </w:tcBorders>
            <w:shd w:val="clear" w:color="auto" w:fill="auto"/>
            <w:noWrap/>
            <w:vAlign w:val="center"/>
            <w:hideMark/>
          </w:tcPr>
          <w:p w:rsidR="006110EA" w:rsidRPr="006110EA" w:rsidRDefault="006110EA" w:rsidP="00314E1B">
            <w:pPr>
              <w:spacing w:after="0"/>
              <w:jc w:val="center"/>
              <w:rPr>
                <w:rFonts w:ascii="Times New Roman" w:hAnsi="Times New Roman"/>
                <w:b/>
                <w:color w:val="000000"/>
                <w:lang w:val="en-US"/>
              </w:rPr>
            </w:pPr>
            <w:r w:rsidRPr="006110EA">
              <w:rPr>
                <w:rFonts w:ascii="Times New Roman" w:hAnsi="Times New Roman"/>
                <w:b/>
                <w:color w:val="000000"/>
              </w:rPr>
              <w:t>44.3</w:t>
            </w:r>
          </w:p>
        </w:tc>
        <w:tc>
          <w:tcPr>
            <w:tcW w:w="350" w:type="pct"/>
            <w:tcBorders>
              <w:left w:val="nil"/>
              <w:bottom w:val="single" w:sz="4"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Pr>
                <w:rFonts w:ascii="Times New Roman" w:hAnsi="Times New Roman"/>
                <w:color w:val="000000"/>
              </w:rPr>
              <w:t>42</w:t>
            </w:r>
            <w:r w:rsidRPr="00F46D39">
              <w:rPr>
                <w:rFonts w:ascii="Times New Roman" w:hAnsi="Times New Roman"/>
                <w:color w:val="000000"/>
              </w:rPr>
              <w:t>.5</w:t>
            </w:r>
          </w:p>
        </w:tc>
        <w:tc>
          <w:tcPr>
            <w:tcW w:w="910" w:type="pct"/>
            <w:tcBorders>
              <w:left w:val="nil"/>
              <w:bottom w:val="single" w:sz="4"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sidRPr="00F46D39">
              <w:rPr>
                <w:rFonts w:ascii="Times New Roman" w:hAnsi="Times New Roman"/>
                <w:color w:val="000000"/>
              </w:rPr>
              <w:t>1.1</w:t>
            </w:r>
            <w:r>
              <w:rPr>
                <w:rFonts w:ascii="Times New Roman" w:hAnsi="Times New Roman"/>
                <w:color w:val="000000"/>
              </w:rPr>
              <w:t>7</w:t>
            </w:r>
          </w:p>
        </w:tc>
        <w:tc>
          <w:tcPr>
            <w:tcW w:w="945" w:type="pct"/>
            <w:tcBorders>
              <w:left w:val="nil"/>
              <w:bottom w:val="single" w:sz="4" w:space="0" w:color="auto"/>
            </w:tcBorders>
            <w:shd w:val="clear" w:color="auto" w:fill="auto"/>
            <w:noWrap/>
            <w:vAlign w:val="center"/>
            <w:hideMark/>
          </w:tcPr>
          <w:p w:rsidR="006110EA" w:rsidRPr="00F46D39" w:rsidRDefault="006110EA" w:rsidP="00314E1B">
            <w:pPr>
              <w:spacing w:after="0"/>
              <w:jc w:val="center"/>
              <w:rPr>
                <w:rFonts w:ascii="Times New Roman" w:hAnsi="Times New Roman"/>
                <w:color w:val="000000"/>
                <w:lang w:val="en-US"/>
              </w:rPr>
            </w:pPr>
            <w:r w:rsidRPr="00F46D39">
              <w:rPr>
                <w:rFonts w:ascii="Times New Roman" w:hAnsi="Times New Roman"/>
                <w:color w:val="000000"/>
              </w:rPr>
              <w:t>1.03</w:t>
            </w:r>
          </w:p>
        </w:tc>
        <w:tc>
          <w:tcPr>
            <w:tcW w:w="945" w:type="pct"/>
            <w:tcBorders>
              <w:bottom w:val="single" w:sz="4" w:space="0" w:color="auto"/>
              <w:right w:val="single" w:sz="4" w:space="0" w:color="auto"/>
            </w:tcBorders>
          </w:tcPr>
          <w:p w:rsidR="006110EA" w:rsidRPr="00F46D39" w:rsidRDefault="006110EA" w:rsidP="00314E1B">
            <w:pPr>
              <w:spacing w:after="0"/>
              <w:jc w:val="center"/>
              <w:rPr>
                <w:rFonts w:ascii="Times New Roman" w:hAnsi="Times New Roman"/>
                <w:color w:val="000000"/>
              </w:rPr>
            </w:pPr>
            <w:r>
              <w:rPr>
                <w:rFonts w:ascii="Times New Roman" w:hAnsi="Times New Roman"/>
                <w:color w:val="000000"/>
              </w:rPr>
              <w:t>1.04</w:t>
            </w:r>
          </w:p>
        </w:tc>
      </w:tr>
    </w:tbl>
    <w:p w:rsidR="00CC13B2" w:rsidRPr="00F25F77" w:rsidRDefault="00CC13B2" w:rsidP="00CC13B2">
      <w:pPr>
        <w:spacing w:line="360" w:lineRule="auto"/>
        <w:rPr>
          <w:rFonts w:ascii="Times New Roman" w:hAnsi="Times New Roman"/>
          <w:sz w:val="20"/>
          <w:szCs w:val="20"/>
        </w:rPr>
      </w:pPr>
      <w:r w:rsidRPr="00F25F77">
        <w:rPr>
          <w:rFonts w:ascii="Times New Roman" w:hAnsi="Times New Roman"/>
          <w:sz w:val="20"/>
          <w:szCs w:val="20"/>
          <w:u w:val="single"/>
        </w:rPr>
        <w:t>Fuente</w:t>
      </w:r>
      <w:r w:rsidRPr="00F25F77">
        <w:rPr>
          <w:rFonts w:ascii="Times New Roman" w:hAnsi="Times New Roman"/>
          <w:sz w:val="20"/>
          <w:szCs w:val="20"/>
        </w:rPr>
        <w:t>: Ela</w:t>
      </w:r>
      <w:r>
        <w:rPr>
          <w:rFonts w:ascii="Times New Roman" w:hAnsi="Times New Roman"/>
          <w:sz w:val="20"/>
          <w:szCs w:val="20"/>
        </w:rPr>
        <w:t>boración propia en base a ANSES</w:t>
      </w:r>
      <w:r w:rsidRPr="00F25F77">
        <w:rPr>
          <w:rFonts w:ascii="Times New Roman" w:hAnsi="Times New Roman"/>
          <w:sz w:val="20"/>
          <w:szCs w:val="20"/>
        </w:rPr>
        <w:t>.</w:t>
      </w:r>
    </w:p>
    <w:p w:rsidR="00B93580" w:rsidRPr="00CC13B2" w:rsidRDefault="00B93580" w:rsidP="00346E72">
      <w:pPr>
        <w:spacing w:line="360" w:lineRule="auto"/>
        <w:ind w:firstLine="708"/>
        <w:rPr>
          <w:rFonts w:ascii="Times New Roman" w:hAnsi="Times New Roman"/>
          <w:sz w:val="24"/>
          <w:szCs w:val="24"/>
        </w:rPr>
      </w:pPr>
    </w:p>
    <w:p w:rsidR="003F15FF" w:rsidRDefault="008501B1" w:rsidP="00CC13B2">
      <w:pPr>
        <w:spacing w:line="360" w:lineRule="auto"/>
        <w:ind w:firstLine="708"/>
        <w:rPr>
          <w:rFonts w:ascii="Times New Roman" w:hAnsi="Times New Roman"/>
          <w:sz w:val="24"/>
          <w:szCs w:val="24"/>
          <w:lang w:val="es-AR"/>
        </w:rPr>
      </w:pPr>
      <w:r w:rsidRPr="008501B1">
        <w:rPr>
          <w:rFonts w:ascii="Times New Roman" w:hAnsi="Times New Roman"/>
          <w:sz w:val="24"/>
          <w:szCs w:val="24"/>
          <w:lang w:val="es-AR"/>
        </w:rPr>
        <w:t>Sin embargo, como se m</w:t>
      </w:r>
      <w:r>
        <w:rPr>
          <w:rFonts w:ascii="Times New Roman" w:hAnsi="Times New Roman"/>
          <w:sz w:val="24"/>
          <w:szCs w:val="24"/>
          <w:lang w:val="es-AR"/>
        </w:rPr>
        <w:t>encionó</w:t>
      </w:r>
      <w:r w:rsidR="0018275F">
        <w:rPr>
          <w:rFonts w:ascii="Times New Roman" w:hAnsi="Times New Roman"/>
          <w:sz w:val="24"/>
          <w:szCs w:val="24"/>
          <w:lang w:val="es-AR"/>
        </w:rPr>
        <w:t>,</w:t>
      </w:r>
      <w:r>
        <w:rPr>
          <w:rFonts w:ascii="Times New Roman" w:hAnsi="Times New Roman"/>
          <w:sz w:val="24"/>
          <w:szCs w:val="24"/>
          <w:lang w:val="es-AR"/>
        </w:rPr>
        <w:t xml:space="preserve"> la elección de la estructura estándar es arbitraria, y por lo tanto la descomposición de Kitagawa permite ilustrar el posible </w:t>
      </w:r>
      <w:r>
        <w:rPr>
          <w:rFonts w:ascii="Times New Roman" w:hAnsi="Times New Roman"/>
          <w:sz w:val="24"/>
          <w:szCs w:val="24"/>
          <w:lang w:val="es-AR"/>
        </w:rPr>
        <w:lastRenderedPageBreak/>
        <w:t>efecto “viudez” de mejor manera, como ilustra la figura 4</w:t>
      </w:r>
      <w:r w:rsidR="006A5A42">
        <w:rPr>
          <w:rFonts w:ascii="Times New Roman" w:hAnsi="Times New Roman"/>
          <w:sz w:val="24"/>
          <w:szCs w:val="24"/>
          <w:lang w:val="es-AR"/>
        </w:rPr>
        <w:t>, separando la diferencia total por prestación en comparación al grupo</w:t>
      </w:r>
      <w:r w:rsidR="00CC13B2">
        <w:rPr>
          <w:rFonts w:ascii="Times New Roman" w:hAnsi="Times New Roman"/>
          <w:sz w:val="24"/>
          <w:szCs w:val="24"/>
          <w:lang w:val="es-AR"/>
        </w:rPr>
        <w:t>,</w:t>
      </w:r>
      <w:r w:rsidR="006A5A42">
        <w:rPr>
          <w:rFonts w:ascii="Times New Roman" w:hAnsi="Times New Roman"/>
          <w:sz w:val="24"/>
          <w:szCs w:val="24"/>
          <w:lang w:val="es-AR"/>
        </w:rPr>
        <w:t xml:space="preserve"> cuanto de esa diferencia se explica por el efecto edad</w:t>
      </w:r>
      <w:r w:rsidR="00CC13B2">
        <w:rPr>
          <w:rFonts w:ascii="Times New Roman" w:hAnsi="Times New Roman"/>
          <w:sz w:val="24"/>
          <w:szCs w:val="24"/>
          <w:lang w:val="es-AR"/>
        </w:rPr>
        <w:t xml:space="preserve">, </w:t>
      </w:r>
      <w:r w:rsidR="006A5A42">
        <w:rPr>
          <w:rFonts w:ascii="Times New Roman" w:hAnsi="Times New Roman"/>
          <w:sz w:val="24"/>
          <w:szCs w:val="24"/>
          <w:lang w:val="es-AR"/>
        </w:rPr>
        <w:t>cuanto por las propias tasas de mortalidad</w:t>
      </w:r>
      <w:r w:rsidR="00CC13B2">
        <w:rPr>
          <w:rFonts w:ascii="Times New Roman" w:hAnsi="Times New Roman"/>
          <w:sz w:val="24"/>
          <w:szCs w:val="24"/>
          <w:lang w:val="es-AR"/>
        </w:rPr>
        <w:t xml:space="preserve"> y una estimación entre el ratio del efecto tasa agregado a</w:t>
      </w:r>
      <w:r w:rsidR="0018275F">
        <w:rPr>
          <w:rFonts w:ascii="Times New Roman" w:hAnsi="Times New Roman"/>
          <w:sz w:val="24"/>
          <w:szCs w:val="24"/>
          <w:lang w:val="es-AR"/>
        </w:rPr>
        <w:t xml:space="preserve"> l</w:t>
      </w:r>
      <w:r w:rsidR="00CC13B2">
        <w:rPr>
          <w:rFonts w:ascii="Times New Roman" w:hAnsi="Times New Roman"/>
          <w:sz w:val="24"/>
          <w:szCs w:val="24"/>
          <w:lang w:val="es-AR"/>
        </w:rPr>
        <w:t>a mortalidad de</w:t>
      </w:r>
      <w:r w:rsidR="0018275F">
        <w:rPr>
          <w:rFonts w:ascii="Times New Roman" w:hAnsi="Times New Roman"/>
          <w:sz w:val="24"/>
          <w:szCs w:val="24"/>
          <w:lang w:val="es-AR"/>
        </w:rPr>
        <w:t xml:space="preserve"> </w:t>
      </w:r>
      <w:r w:rsidR="00CC13B2">
        <w:rPr>
          <w:rFonts w:ascii="Times New Roman" w:hAnsi="Times New Roman"/>
          <w:sz w:val="24"/>
          <w:szCs w:val="24"/>
          <w:lang w:val="es-AR"/>
        </w:rPr>
        <w:t>l</w:t>
      </w:r>
      <w:r w:rsidR="0018275F">
        <w:rPr>
          <w:rFonts w:ascii="Times New Roman" w:hAnsi="Times New Roman"/>
          <w:sz w:val="24"/>
          <w:szCs w:val="24"/>
          <w:lang w:val="es-AR"/>
        </w:rPr>
        <w:t>a</w:t>
      </w:r>
      <w:r w:rsidR="00CC13B2">
        <w:rPr>
          <w:rFonts w:ascii="Times New Roman" w:hAnsi="Times New Roman"/>
          <w:sz w:val="24"/>
          <w:szCs w:val="24"/>
          <w:lang w:val="es-AR"/>
        </w:rPr>
        <w:t xml:space="preserve"> categoría correspondiente sobre el valor de esto último (obtenido de la tabla 2).</w:t>
      </w:r>
      <w:r w:rsidR="0018275F">
        <w:rPr>
          <w:rFonts w:ascii="Times New Roman" w:hAnsi="Times New Roman"/>
          <w:sz w:val="24"/>
          <w:szCs w:val="24"/>
          <w:lang w:val="es-AR"/>
        </w:rPr>
        <w:t xml:space="preserve"> </w:t>
      </w:r>
    </w:p>
    <w:p w:rsidR="0018275F" w:rsidRDefault="0018275F" w:rsidP="0018275F">
      <w:pPr>
        <w:spacing w:line="360" w:lineRule="auto"/>
        <w:ind w:firstLine="708"/>
        <w:rPr>
          <w:rFonts w:ascii="Times New Roman" w:hAnsi="Times New Roman"/>
          <w:sz w:val="24"/>
          <w:szCs w:val="24"/>
        </w:rPr>
      </w:pPr>
      <w:r>
        <w:rPr>
          <w:rFonts w:ascii="Times New Roman" w:hAnsi="Times New Roman"/>
          <w:sz w:val="24"/>
          <w:szCs w:val="24"/>
        </w:rPr>
        <w:t>La descomposición de Kitagawa ha confirmado que en todos los casos, si bien la diferencia de la tasa bruta entre los beneficiarios de PS y el resto se debía principalmente a la estructura por edades de cada grupo, no es capaz de explicar todas las diferenciales, y se ha obtenido que parte de la misma se debía a efectos propios de las tasas que expresan la mayor mortalidad de quienes perciben una prestación por viudez. En términos relativos, se observa como el efecto propio de la tasa indica una mortalidad 1.15 veces mayor para los varones (en comparación al resto de los grupos) y 1.09 para las mujeres, aunque en términos directos se trata de una tasa más modesta.  Asimismo, en ambos casos las diferencias son sensiblemente mayores cuando se compara con los grupos JO en lugar del grupo MOR/PNC (pero aún así es mayor).</w:t>
      </w:r>
    </w:p>
    <w:p w:rsidR="00CC13B2" w:rsidRPr="008501B1" w:rsidRDefault="00CC13B2" w:rsidP="00CC13B2">
      <w:pPr>
        <w:spacing w:line="360" w:lineRule="auto"/>
        <w:ind w:firstLine="708"/>
        <w:rPr>
          <w:rFonts w:ascii="Times New Roman" w:hAnsi="Times New Roman"/>
          <w:sz w:val="24"/>
          <w:szCs w:val="24"/>
          <w:lang w:val="es-AR"/>
        </w:rPr>
      </w:pPr>
      <w:r w:rsidRPr="00B93580">
        <w:rPr>
          <w:rFonts w:ascii="Times New Roman" w:hAnsi="Times New Roman"/>
          <w:sz w:val="24"/>
          <w:szCs w:val="24"/>
        </w:rPr>
        <w:t xml:space="preserve">  </w:t>
      </w:r>
    </w:p>
    <w:p w:rsidR="00CC13B2" w:rsidRPr="003F15FF" w:rsidRDefault="00CC13B2" w:rsidP="00CC13B2">
      <w:pPr>
        <w:spacing w:line="360" w:lineRule="auto"/>
        <w:rPr>
          <w:rFonts w:ascii="Times New Roman" w:hAnsi="Times New Roman"/>
          <w:b/>
          <w:sz w:val="24"/>
          <w:szCs w:val="24"/>
          <w:lang w:val="es-AR"/>
        </w:rPr>
      </w:pPr>
      <w:r w:rsidRPr="00CC13B2">
        <w:rPr>
          <w:rFonts w:ascii="Times New Roman" w:hAnsi="Times New Roman"/>
          <w:b/>
          <w:sz w:val="24"/>
          <w:szCs w:val="24"/>
          <w:lang w:val="es-AR"/>
        </w:rPr>
        <w:t xml:space="preserve">Tabla </w:t>
      </w:r>
      <w:r w:rsidR="003F15FF">
        <w:rPr>
          <w:rFonts w:ascii="Times New Roman" w:hAnsi="Times New Roman"/>
          <w:b/>
          <w:sz w:val="24"/>
          <w:szCs w:val="24"/>
          <w:lang w:val="es-AR"/>
        </w:rPr>
        <w:t>4</w:t>
      </w:r>
      <w:r w:rsidRPr="00CC13B2">
        <w:rPr>
          <w:rFonts w:ascii="Times New Roman" w:hAnsi="Times New Roman"/>
          <w:b/>
          <w:sz w:val="24"/>
          <w:szCs w:val="24"/>
          <w:lang w:val="es-AR"/>
        </w:rPr>
        <w:t xml:space="preserve">. </w:t>
      </w:r>
      <w:r w:rsidR="003F15FF" w:rsidRPr="00631CC3">
        <w:rPr>
          <w:rFonts w:ascii="Times New Roman" w:hAnsi="Times New Roman"/>
          <w:sz w:val="24"/>
          <w:szCs w:val="24"/>
          <w:lang w:val="es-AR"/>
        </w:rPr>
        <w:t>Resultados de la descomposición de Kitagawa (Tasas *1000)</w:t>
      </w:r>
      <w:r w:rsidRPr="00631CC3">
        <w:rPr>
          <w:rFonts w:ascii="Times New Roman" w:hAnsi="Times New Roman"/>
          <w:sz w:val="24"/>
          <w:szCs w:val="24"/>
          <w:lang w:val="es-AR"/>
        </w:rPr>
        <w:t xml:space="preserve"> y Ratios por sexo y tipo de beneficio en mayores de 65 años. Argentina, 2015-2016</w:t>
      </w:r>
    </w:p>
    <w:tbl>
      <w:tblPr>
        <w:tblW w:w="5000" w:type="pct"/>
        <w:tblLook w:val="04A0"/>
      </w:tblPr>
      <w:tblGrid>
        <w:gridCol w:w="1098"/>
        <w:gridCol w:w="1986"/>
        <w:gridCol w:w="1167"/>
        <w:gridCol w:w="1338"/>
        <w:gridCol w:w="1338"/>
        <w:gridCol w:w="1793"/>
      </w:tblGrid>
      <w:tr w:rsidR="003F15FF" w:rsidRPr="005724F1" w:rsidTr="003F15FF">
        <w:trPr>
          <w:trHeight w:val="288"/>
        </w:trPr>
        <w:tc>
          <w:tcPr>
            <w:tcW w:w="630" w:type="pct"/>
            <w:vMerge w:val="restart"/>
            <w:tcBorders>
              <w:top w:val="single" w:sz="8" w:space="0" w:color="auto"/>
              <w:left w:val="single" w:sz="8" w:space="0" w:color="auto"/>
              <w:bottom w:val="single" w:sz="8" w:space="0" w:color="000000"/>
              <w:right w:val="nil"/>
            </w:tcBorders>
            <w:shd w:val="clear" w:color="auto" w:fill="auto"/>
            <w:noWrap/>
            <w:vAlign w:val="center"/>
            <w:hideMark/>
          </w:tcPr>
          <w:p w:rsidR="006A5A42" w:rsidRPr="005724F1" w:rsidRDefault="006A5A42" w:rsidP="003F15FF">
            <w:pPr>
              <w:spacing w:after="0"/>
              <w:jc w:val="center"/>
              <w:rPr>
                <w:rFonts w:ascii="Times New Roman" w:hAnsi="Times New Roman"/>
                <w:b/>
                <w:bCs/>
                <w:color w:val="000000"/>
                <w:lang w:val="en-US"/>
              </w:rPr>
            </w:pPr>
            <w:r w:rsidRPr="005724F1">
              <w:rPr>
                <w:rFonts w:ascii="Times New Roman" w:hAnsi="Times New Roman"/>
                <w:b/>
                <w:bCs/>
                <w:color w:val="000000"/>
                <w:lang w:eastAsia="es-ES"/>
              </w:rPr>
              <w:t>Sex</w:t>
            </w:r>
            <w:r>
              <w:rPr>
                <w:rFonts w:ascii="Times New Roman" w:hAnsi="Times New Roman"/>
                <w:b/>
                <w:bCs/>
                <w:color w:val="000000"/>
                <w:lang w:eastAsia="es-ES"/>
              </w:rPr>
              <w:t>o</w:t>
            </w:r>
          </w:p>
        </w:tc>
        <w:tc>
          <w:tcPr>
            <w:tcW w:w="1139" w:type="pct"/>
            <w:vMerge w:val="restart"/>
            <w:tcBorders>
              <w:top w:val="single" w:sz="8" w:space="0" w:color="auto"/>
              <w:left w:val="nil"/>
              <w:bottom w:val="single" w:sz="8" w:space="0" w:color="000000"/>
              <w:right w:val="nil"/>
            </w:tcBorders>
            <w:shd w:val="clear" w:color="auto" w:fill="auto"/>
            <w:vAlign w:val="center"/>
            <w:hideMark/>
          </w:tcPr>
          <w:p w:rsidR="006A5A42" w:rsidRPr="005724F1" w:rsidRDefault="006A5A42" w:rsidP="003F15FF">
            <w:pPr>
              <w:spacing w:after="0"/>
              <w:jc w:val="center"/>
              <w:rPr>
                <w:rFonts w:ascii="Times New Roman" w:hAnsi="Times New Roman"/>
                <w:b/>
                <w:bCs/>
                <w:color w:val="000000"/>
                <w:lang w:val="en-US"/>
              </w:rPr>
            </w:pPr>
            <w:r>
              <w:rPr>
                <w:rFonts w:ascii="Times New Roman" w:hAnsi="Times New Roman"/>
                <w:b/>
                <w:bCs/>
                <w:color w:val="000000"/>
                <w:lang w:eastAsia="es-ES"/>
              </w:rPr>
              <w:t xml:space="preserve">Diferencia </w:t>
            </w:r>
          </w:p>
        </w:tc>
        <w:tc>
          <w:tcPr>
            <w:tcW w:w="3231" w:type="pct"/>
            <w:gridSpan w:val="4"/>
            <w:tcBorders>
              <w:top w:val="single" w:sz="8" w:space="0" w:color="auto"/>
              <w:left w:val="nil"/>
              <w:bottom w:val="single" w:sz="8" w:space="0" w:color="auto"/>
              <w:right w:val="single" w:sz="4" w:space="0" w:color="auto"/>
            </w:tcBorders>
            <w:shd w:val="clear" w:color="auto" w:fill="auto"/>
            <w:vAlign w:val="center"/>
            <w:hideMark/>
          </w:tcPr>
          <w:p w:rsidR="006A5A42" w:rsidRPr="005724F1" w:rsidRDefault="003F15FF" w:rsidP="003F15FF">
            <w:pPr>
              <w:spacing w:after="0"/>
              <w:jc w:val="center"/>
              <w:rPr>
                <w:rFonts w:ascii="Times New Roman" w:hAnsi="Times New Roman"/>
                <w:b/>
                <w:bCs/>
                <w:color w:val="000000"/>
                <w:lang w:val="en-US"/>
              </w:rPr>
            </w:pPr>
            <w:r>
              <w:rPr>
                <w:rFonts w:ascii="Times New Roman" w:hAnsi="Times New Roman"/>
                <w:b/>
                <w:bCs/>
                <w:color w:val="000000"/>
                <w:lang w:eastAsia="es-ES"/>
              </w:rPr>
              <w:t xml:space="preserve">Tasas </w:t>
            </w:r>
            <w:r w:rsidR="00CD12A3">
              <w:rPr>
                <w:rFonts w:ascii="Times New Roman" w:hAnsi="Times New Roman"/>
                <w:b/>
                <w:bCs/>
                <w:color w:val="000000"/>
                <w:lang w:eastAsia="es-ES"/>
              </w:rPr>
              <w:t>* 1000</w:t>
            </w:r>
          </w:p>
        </w:tc>
      </w:tr>
      <w:tr w:rsidR="003F15FF" w:rsidRPr="005724F1" w:rsidTr="003F15FF">
        <w:trPr>
          <w:trHeight w:val="288"/>
        </w:trPr>
        <w:tc>
          <w:tcPr>
            <w:tcW w:w="630" w:type="pct"/>
            <w:vMerge/>
            <w:tcBorders>
              <w:top w:val="single" w:sz="8" w:space="0" w:color="auto"/>
              <w:left w:val="single" w:sz="8" w:space="0" w:color="auto"/>
              <w:bottom w:val="single" w:sz="8" w:space="0" w:color="000000"/>
              <w:right w:val="nil"/>
            </w:tcBorders>
            <w:vAlign w:val="center"/>
            <w:hideMark/>
          </w:tcPr>
          <w:p w:rsidR="006A5A42" w:rsidRPr="005724F1" w:rsidRDefault="006A5A42" w:rsidP="003F15FF">
            <w:pPr>
              <w:spacing w:after="0"/>
              <w:jc w:val="left"/>
              <w:rPr>
                <w:rFonts w:ascii="Times New Roman" w:hAnsi="Times New Roman"/>
                <w:b/>
                <w:bCs/>
                <w:color w:val="000000"/>
                <w:lang w:val="en-US"/>
              </w:rPr>
            </w:pPr>
          </w:p>
        </w:tc>
        <w:tc>
          <w:tcPr>
            <w:tcW w:w="1139" w:type="pct"/>
            <w:vMerge/>
            <w:tcBorders>
              <w:top w:val="single" w:sz="8" w:space="0" w:color="auto"/>
              <w:left w:val="nil"/>
              <w:bottom w:val="single" w:sz="8" w:space="0" w:color="000000"/>
              <w:right w:val="nil"/>
            </w:tcBorders>
            <w:vAlign w:val="center"/>
            <w:hideMark/>
          </w:tcPr>
          <w:p w:rsidR="006A5A42" w:rsidRPr="005724F1" w:rsidRDefault="006A5A42" w:rsidP="003F15FF">
            <w:pPr>
              <w:spacing w:after="0"/>
              <w:jc w:val="left"/>
              <w:rPr>
                <w:rFonts w:ascii="Times New Roman" w:hAnsi="Times New Roman"/>
                <w:b/>
                <w:bCs/>
                <w:color w:val="000000"/>
                <w:lang w:val="en-US"/>
              </w:rPr>
            </w:pPr>
          </w:p>
        </w:tc>
        <w:tc>
          <w:tcPr>
            <w:tcW w:w="669" w:type="pct"/>
            <w:tcBorders>
              <w:top w:val="nil"/>
              <w:left w:val="nil"/>
              <w:bottom w:val="single" w:sz="8" w:space="0" w:color="auto"/>
              <w:right w:val="nil"/>
            </w:tcBorders>
            <w:shd w:val="clear" w:color="auto" w:fill="auto"/>
            <w:noWrap/>
            <w:vAlign w:val="center"/>
            <w:hideMark/>
          </w:tcPr>
          <w:p w:rsidR="006A5A42" w:rsidRPr="005724F1" w:rsidRDefault="006A5A42" w:rsidP="003F15FF">
            <w:pPr>
              <w:spacing w:after="0"/>
              <w:jc w:val="center"/>
              <w:rPr>
                <w:rFonts w:ascii="Times New Roman" w:hAnsi="Times New Roman"/>
                <w:color w:val="000000"/>
                <w:lang w:val="en-US"/>
              </w:rPr>
            </w:pPr>
            <w:r w:rsidRPr="006A5A42">
              <w:rPr>
                <w:rFonts w:ascii="Times New Roman" w:hAnsi="Times New Roman"/>
                <w:color w:val="000000"/>
                <w:lang w:val="en-US"/>
              </w:rPr>
              <w:t>Δ</w:t>
            </w:r>
            <w:r>
              <w:rPr>
                <w:rFonts w:ascii="Times New Roman" w:hAnsi="Times New Roman"/>
                <w:color w:val="000000"/>
                <w:lang w:val="en-US"/>
              </w:rPr>
              <w:t>TM</w:t>
            </w:r>
          </w:p>
        </w:tc>
        <w:tc>
          <w:tcPr>
            <w:tcW w:w="767" w:type="pct"/>
            <w:tcBorders>
              <w:top w:val="nil"/>
              <w:left w:val="nil"/>
              <w:bottom w:val="single" w:sz="8" w:space="0" w:color="auto"/>
              <w:right w:val="nil"/>
            </w:tcBorders>
            <w:shd w:val="clear" w:color="auto" w:fill="auto"/>
            <w:noWrap/>
            <w:vAlign w:val="center"/>
            <w:hideMark/>
          </w:tcPr>
          <w:p w:rsidR="006A5A42" w:rsidRPr="005724F1" w:rsidRDefault="006A5A42" w:rsidP="003F15FF">
            <w:pPr>
              <w:spacing w:after="0"/>
              <w:jc w:val="center"/>
              <w:rPr>
                <w:rFonts w:ascii="Times New Roman" w:hAnsi="Times New Roman"/>
                <w:color w:val="000000"/>
                <w:lang w:val="en-US"/>
              </w:rPr>
            </w:pPr>
            <w:r>
              <w:rPr>
                <w:rFonts w:ascii="Times New Roman" w:hAnsi="Times New Roman"/>
                <w:color w:val="000000"/>
                <w:lang w:eastAsia="es-ES"/>
              </w:rPr>
              <w:t>Efecto Edad</w:t>
            </w:r>
          </w:p>
        </w:tc>
        <w:tc>
          <w:tcPr>
            <w:tcW w:w="767" w:type="pct"/>
            <w:tcBorders>
              <w:top w:val="nil"/>
              <w:left w:val="nil"/>
              <w:bottom w:val="single" w:sz="8" w:space="0" w:color="auto"/>
              <w:right w:val="nil"/>
            </w:tcBorders>
            <w:shd w:val="clear" w:color="auto" w:fill="auto"/>
            <w:noWrap/>
            <w:vAlign w:val="center"/>
            <w:hideMark/>
          </w:tcPr>
          <w:p w:rsidR="006A5A42" w:rsidRPr="005724F1" w:rsidRDefault="006A5A42" w:rsidP="003F15FF">
            <w:pPr>
              <w:spacing w:after="0"/>
              <w:jc w:val="center"/>
              <w:rPr>
                <w:rFonts w:ascii="Times New Roman" w:hAnsi="Times New Roman"/>
                <w:color w:val="000000"/>
                <w:lang w:val="en-US"/>
              </w:rPr>
            </w:pPr>
            <w:r>
              <w:rPr>
                <w:rFonts w:ascii="Times New Roman" w:hAnsi="Times New Roman"/>
                <w:color w:val="000000"/>
                <w:lang w:eastAsia="es-ES"/>
              </w:rPr>
              <w:t>Efecto Tasa</w:t>
            </w:r>
          </w:p>
        </w:tc>
        <w:tc>
          <w:tcPr>
            <w:tcW w:w="1028" w:type="pct"/>
            <w:tcBorders>
              <w:top w:val="nil"/>
              <w:left w:val="nil"/>
              <w:bottom w:val="single" w:sz="8" w:space="0" w:color="auto"/>
              <w:right w:val="single" w:sz="4" w:space="0" w:color="auto"/>
            </w:tcBorders>
            <w:shd w:val="clear" w:color="auto" w:fill="auto"/>
            <w:noWrap/>
            <w:vAlign w:val="center"/>
            <w:hideMark/>
          </w:tcPr>
          <w:p w:rsidR="006A5A42" w:rsidRPr="005724F1" w:rsidRDefault="00CC13B2" w:rsidP="00CC13B2">
            <w:pPr>
              <w:spacing w:after="0"/>
              <w:jc w:val="center"/>
              <w:rPr>
                <w:rFonts w:ascii="Times New Roman" w:hAnsi="Times New Roman"/>
                <w:color w:val="000000"/>
                <w:lang w:val="en-US"/>
              </w:rPr>
            </w:pPr>
            <w:r>
              <w:rPr>
                <w:rFonts w:ascii="Times New Roman" w:hAnsi="Times New Roman"/>
                <w:color w:val="000000"/>
                <w:lang w:eastAsia="es-ES"/>
              </w:rPr>
              <w:t>Ratio Efecto Tasa</w:t>
            </w:r>
          </w:p>
        </w:tc>
      </w:tr>
      <w:tr w:rsidR="003F15FF" w:rsidRPr="005724F1" w:rsidTr="003F15FF">
        <w:trPr>
          <w:trHeight w:val="144"/>
        </w:trPr>
        <w:tc>
          <w:tcPr>
            <w:tcW w:w="630" w:type="pct"/>
            <w:vMerge w:val="restart"/>
            <w:tcBorders>
              <w:top w:val="nil"/>
              <w:left w:val="single" w:sz="8" w:space="0" w:color="auto"/>
              <w:bottom w:val="nil"/>
              <w:right w:val="nil"/>
            </w:tcBorders>
            <w:shd w:val="clear" w:color="auto" w:fill="auto"/>
            <w:vAlign w:val="center"/>
            <w:hideMark/>
          </w:tcPr>
          <w:p w:rsidR="006A5A42" w:rsidRPr="008501B1" w:rsidRDefault="006A5A42" w:rsidP="003F15FF">
            <w:pPr>
              <w:spacing w:after="0"/>
              <w:jc w:val="center"/>
              <w:rPr>
                <w:rFonts w:ascii="Times New Roman" w:hAnsi="Times New Roman"/>
                <w:b/>
                <w:bCs/>
                <w:color w:val="000000"/>
                <w:lang w:val="en-US"/>
              </w:rPr>
            </w:pPr>
            <w:r w:rsidRPr="008501B1">
              <w:rPr>
                <w:rFonts w:ascii="Times New Roman" w:hAnsi="Times New Roman"/>
                <w:b/>
                <w:bCs/>
                <w:color w:val="000000"/>
                <w:lang w:eastAsia="es-ES"/>
              </w:rPr>
              <w:t>Hombres</w:t>
            </w:r>
          </w:p>
        </w:tc>
        <w:tc>
          <w:tcPr>
            <w:tcW w:w="1139" w:type="pct"/>
            <w:tcBorders>
              <w:top w:val="nil"/>
              <w:left w:val="nil"/>
              <w:bottom w:val="nil"/>
              <w:right w:val="nil"/>
            </w:tcBorders>
            <w:shd w:val="clear" w:color="auto" w:fill="auto"/>
            <w:vAlign w:val="center"/>
            <w:hideMark/>
          </w:tcPr>
          <w:p w:rsidR="006A5A42" w:rsidRPr="006A5A42" w:rsidRDefault="006A5A42" w:rsidP="003F15FF">
            <w:pPr>
              <w:spacing w:after="0"/>
              <w:jc w:val="center"/>
              <w:rPr>
                <w:rFonts w:ascii="Times New Roman" w:hAnsi="Times New Roman"/>
                <w:bCs/>
                <w:color w:val="000000"/>
                <w:sz w:val="20"/>
                <w:szCs w:val="20"/>
                <w:lang w:val="en-US"/>
              </w:rPr>
            </w:pPr>
            <w:r w:rsidRPr="006A5A42">
              <w:rPr>
                <w:rFonts w:ascii="Times New Roman" w:hAnsi="Times New Roman"/>
                <w:bCs/>
                <w:color w:val="000000"/>
                <w:sz w:val="20"/>
                <w:szCs w:val="20"/>
                <w:lang w:eastAsia="es-ES"/>
              </w:rPr>
              <w:t>PS-JO</w:t>
            </w:r>
          </w:p>
        </w:tc>
        <w:tc>
          <w:tcPr>
            <w:tcW w:w="669"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34.4</w:t>
            </w:r>
          </w:p>
        </w:tc>
        <w:tc>
          <w:tcPr>
            <w:tcW w:w="767"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23.0</w:t>
            </w:r>
          </w:p>
        </w:tc>
        <w:tc>
          <w:tcPr>
            <w:tcW w:w="767"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11.4</w:t>
            </w:r>
          </w:p>
        </w:tc>
        <w:tc>
          <w:tcPr>
            <w:tcW w:w="1028" w:type="pct"/>
            <w:tcBorders>
              <w:top w:val="nil"/>
              <w:left w:val="nil"/>
              <w:bottom w:val="nil"/>
              <w:right w:val="single" w:sz="4" w:space="0" w:color="auto"/>
            </w:tcBorders>
            <w:shd w:val="clear" w:color="auto" w:fill="auto"/>
            <w:vAlign w:val="center"/>
            <w:hideMark/>
          </w:tcPr>
          <w:p w:rsidR="006A5A42" w:rsidRPr="008501B1" w:rsidRDefault="00CC13B2" w:rsidP="003F15FF">
            <w:pPr>
              <w:spacing w:after="0"/>
              <w:jc w:val="center"/>
              <w:rPr>
                <w:rFonts w:ascii="Times New Roman" w:hAnsi="Times New Roman"/>
                <w:color w:val="000000"/>
                <w:lang w:val="en-US"/>
              </w:rPr>
            </w:pPr>
            <w:r>
              <w:rPr>
                <w:rFonts w:ascii="Times New Roman" w:hAnsi="Times New Roman"/>
                <w:color w:val="000000"/>
                <w:lang w:val="en-US"/>
              </w:rPr>
              <w:t>1.18</w:t>
            </w:r>
          </w:p>
        </w:tc>
      </w:tr>
      <w:tr w:rsidR="003F15FF" w:rsidRPr="005724F1" w:rsidTr="003F15FF">
        <w:trPr>
          <w:trHeight w:val="144"/>
        </w:trPr>
        <w:tc>
          <w:tcPr>
            <w:tcW w:w="630" w:type="pct"/>
            <w:vMerge/>
            <w:tcBorders>
              <w:top w:val="nil"/>
              <w:left w:val="single" w:sz="8" w:space="0" w:color="auto"/>
              <w:bottom w:val="nil"/>
              <w:right w:val="nil"/>
            </w:tcBorders>
            <w:vAlign w:val="center"/>
            <w:hideMark/>
          </w:tcPr>
          <w:p w:rsidR="006A5A42" w:rsidRPr="008501B1" w:rsidRDefault="006A5A42" w:rsidP="003F15FF">
            <w:pPr>
              <w:spacing w:after="0"/>
              <w:jc w:val="center"/>
              <w:rPr>
                <w:rFonts w:ascii="Times New Roman" w:hAnsi="Times New Roman"/>
                <w:b/>
                <w:bCs/>
                <w:color w:val="000000"/>
                <w:lang w:val="en-US"/>
              </w:rPr>
            </w:pPr>
          </w:p>
        </w:tc>
        <w:tc>
          <w:tcPr>
            <w:tcW w:w="1139" w:type="pct"/>
            <w:tcBorders>
              <w:top w:val="nil"/>
              <w:left w:val="nil"/>
              <w:bottom w:val="nil"/>
              <w:right w:val="nil"/>
            </w:tcBorders>
            <w:shd w:val="clear" w:color="auto" w:fill="auto"/>
            <w:vAlign w:val="center"/>
            <w:hideMark/>
          </w:tcPr>
          <w:p w:rsidR="006A5A42" w:rsidRPr="006A5A42" w:rsidRDefault="006A5A42" w:rsidP="003F15FF">
            <w:pPr>
              <w:spacing w:after="0"/>
              <w:jc w:val="center"/>
              <w:rPr>
                <w:rFonts w:ascii="Times New Roman" w:hAnsi="Times New Roman"/>
                <w:bCs/>
                <w:color w:val="000000"/>
                <w:sz w:val="20"/>
                <w:szCs w:val="20"/>
                <w:lang w:val="en-US"/>
              </w:rPr>
            </w:pPr>
            <w:r w:rsidRPr="006A5A42">
              <w:rPr>
                <w:rFonts w:ascii="Times New Roman" w:hAnsi="Times New Roman"/>
                <w:bCs/>
                <w:color w:val="000000"/>
                <w:sz w:val="20"/>
                <w:szCs w:val="20"/>
                <w:lang w:eastAsia="es-ES"/>
              </w:rPr>
              <w:t>PS-MOR</w:t>
            </w:r>
            <w:r w:rsidR="003F15FF">
              <w:rPr>
                <w:rFonts w:ascii="Times New Roman" w:hAnsi="Times New Roman"/>
                <w:bCs/>
                <w:color w:val="000000"/>
                <w:sz w:val="20"/>
                <w:szCs w:val="20"/>
                <w:lang w:eastAsia="es-ES"/>
              </w:rPr>
              <w:t>/PNC</w:t>
            </w:r>
          </w:p>
        </w:tc>
        <w:tc>
          <w:tcPr>
            <w:tcW w:w="669"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45.1</w:t>
            </w:r>
          </w:p>
        </w:tc>
        <w:tc>
          <w:tcPr>
            <w:tcW w:w="767"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40.6</w:t>
            </w:r>
          </w:p>
        </w:tc>
        <w:tc>
          <w:tcPr>
            <w:tcW w:w="767"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4.5</w:t>
            </w:r>
          </w:p>
        </w:tc>
        <w:tc>
          <w:tcPr>
            <w:tcW w:w="1028" w:type="pct"/>
            <w:tcBorders>
              <w:top w:val="nil"/>
              <w:left w:val="nil"/>
              <w:bottom w:val="nil"/>
              <w:right w:val="single" w:sz="4" w:space="0" w:color="auto"/>
            </w:tcBorders>
            <w:shd w:val="clear" w:color="auto" w:fill="auto"/>
            <w:vAlign w:val="center"/>
            <w:hideMark/>
          </w:tcPr>
          <w:p w:rsidR="006A5A42" w:rsidRPr="008501B1" w:rsidRDefault="00CC13B2" w:rsidP="003F15FF">
            <w:pPr>
              <w:spacing w:after="0"/>
              <w:jc w:val="center"/>
              <w:rPr>
                <w:rFonts w:ascii="Times New Roman" w:hAnsi="Times New Roman"/>
                <w:color w:val="000000"/>
                <w:lang w:val="en-US"/>
              </w:rPr>
            </w:pPr>
            <w:r>
              <w:rPr>
                <w:rFonts w:ascii="Times New Roman" w:hAnsi="Times New Roman"/>
                <w:color w:val="000000"/>
                <w:lang w:val="en-US"/>
              </w:rPr>
              <w:t>1.08</w:t>
            </w:r>
          </w:p>
        </w:tc>
      </w:tr>
      <w:tr w:rsidR="003F15FF" w:rsidRPr="005724F1" w:rsidTr="003F15FF">
        <w:trPr>
          <w:trHeight w:val="144"/>
        </w:trPr>
        <w:tc>
          <w:tcPr>
            <w:tcW w:w="630" w:type="pct"/>
            <w:vMerge/>
            <w:tcBorders>
              <w:top w:val="nil"/>
              <w:left w:val="single" w:sz="8" w:space="0" w:color="auto"/>
              <w:bottom w:val="nil"/>
              <w:right w:val="nil"/>
            </w:tcBorders>
            <w:vAlign w:val="center"/>
            <w:hideMark/>
          </w:tcPr>
          <w:p w:rsidR="006A5A42" w:rsidRPr="008501B1" w:rsidRDefault="006A5A42" w:rsidP="003F15FF">
            <w:pPr>
              <w:spacing w:after="0"/>
              <w:jc w:val="center"/>
              <w:rPr>
                <w:rFonts w:ascii="Times New Roman" w:hAnsi="Times New Roman"/>
                <w:b/>
                <w:bCs/>
                <w:color w:val="000000"/>
                <w:lang w:val="en-US"/>
              </w:rPr>
            </w:pPr>
          </w:p>
        </w:tc>
        <w:tc>
          <w:tcPr>
            <w:tcW w:w="1139" w:type="pct"/>
            <w:tcBorders>
              <w:top w:val="nil"/>
              <w:left w:val="nil"/>
              <w:bottom w:val="nil"/>
              <w:right w:val="nil"/>
            </w:tcBorders>
            <w:shd w:val="clear" w:color="auto" w:fill="auto"/>
            <w:vAlign w:val="center"/>
            <w:hideMark/>
          </w:tcPr>
          <w:p w:rsidR="006A5A42" w:rsidRPr="006A5A42" w:rsidRDefault="006A5A42" w:rsidP="003F15FF">
            <w:pPr>
              <w:spacing w:after="0"/>
              <w:jc w:val="center"/>
              <w:rPr>
                <w:rFonts w:ascii="Times New Roman" w:hAnsi="Times New Roman"/>
                <w:b/>
                <w:bCs/>
                <w:color w:val="000000"/>
                <w:sz w:val="20"/>
                <w:szCs w:val="20"/>
                <w:lang w:val="en-US"/>
              </w:rPr>
            </w:pPr>
            <w:r w:rsidRPr="006A5A42">
              <w:rPr>
                <w:rFonts w:ascii="Times New Roman" w:hAnsi="Times New Roman"/>
                <w:b/>
                <w:bCs/>
                <w:color w:val="000000"/>
                <w:sz w:val="20"/>
                <w:szCs w:val="20"/>
                <w:lang w:eastAsia="es-ES"/>
              </w:rPr>
              <w:t>PS-JO+MOR</w:t>
            </w:r>
            <w:r w:rsidR="003F15FF">
              <w:rPr>
                <w:rFonts w:ascii="Times New Roman" w:hAnsi="Times New Roman"/>
                <w:b/>
                <w:bCs/>
                <w:color w:val="000000"/>
                <w:sz w:val="20"/>
                <w:szCs w:val="20"/>
                <w:lang w:eastAsia="es-ES"/>
              </w:rPr>
              <w:t>/PNC</w:t>
            </w:r>
          </w:p>
        </w:tc>
        <w:tc>
          <w:tcPr>
            <w:tcW w:w="669"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b/>
                <w:bCs/>
                <w:color w:val="000000"/>
                <w:lang w:val="en-US"/>
              </w:rPr>
            </w:pPr>
            <w:r>
              <w:rPr>
                <w:rFonts w:ascii="Times New Roman" w:hAnsi="Times New Roman"/>
                <w:b/>
                <w:bCs/>
                <w:color w:val="000000"/>
                <w:lang w:val="en-US"/>
              </w:rPr>
              <w:t>39.1</w:t>
            </w:r>
          </w:p>
        </w:tc>
        <w:tc>
          <w:tcPr>
            <w:tcW w:w="767"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b/>
                <w:bCs/>
                <w:color w:val="000000"/>
                <w:lang w:val="en-US"/>
              </w:rPr>
            </w:pPr>
            <w:r>
              <w:rPr>
                <w:rFonts w:ascii="Times New Roman" w:hAnsi="Times New Roman"/>
                <w:b/>
                <w:bCs/>
                <w:color w:val="000000"/>
                <w:lang w:val="en-US"/>
              </w:rPr>
              <w:t>3</w:t>
            </w:r>
            <w:r w:rsidR="006A5A42" w:rsidRPr="008501B1">
              <w:rPr>
                <w:rFonts w:ascii="Times New Roman" w:hAnsi="Times New Roman"/>
                <w:b/>
                <w:bCs/>
                <w:color w:val="000000"/>
                <w:lang w:val="en-US"/>
              </w:rPr>
              <w:t>0.</w:t>
            </w:r>
            <w:r>
              <w:rPr>
                <w:rFonts w:ascii="Times New Roman" w:hAnsi="Times New Roman"/>
                <w:b/>
                <w:bCs/>
                <w:color w:val="000000"/>
                <w:lang w:val="en-US"/>
              </w:rPr>
              <w:t>5</w:t>
            </w:r>
          </w:p>
        </w:tc>
        <w:tc>
          <w:tcPr>
            <w:tcW w:w="767" w:type="pct"/>
            <w:tcBorders>
              <w:top w:val="nil"/>
              <w:left w:val="nil"/>
              <w:bottom w:val="nil"/>
              <w:right w:val="nil"/>
            </w:tcBorders>
            <w:shd w:val="clear" w:color="auto" w:fill="auto"/>
            <w:vAlign w:val="center"/>
            <w:hideMark/>
          </w:tcPr>
          <w:p w:rsidR="006A5A42" w:rsidRPr="008501B1" w:rsidRDefault="00CD12A3" w:rsidP="003F15FF">
            <w:pPr>
              <w:spacing w:after="0"/>
              <w:jc w:val="center"/>
              <w:rPr>
                <w:rFonts w:ascii="Times New Roman" w:hAnsi="Times New Roman"/>
                <w:b/>
                <w:bCs/>
                <w:color w:val="000000"/>
                <w:lang w:val="en-US"/>
              </w:rPr>
            </w:pPr>
            <w:r>
              <w:rPr>
                <w:rFonts w:ascii="Times New Roman" w:hAnsi="Times New Roman"/>
                <w:b/>
                <w:bCs/>
                <w:color w:val="000000"/>
                <w:lang w:val="en-US"/>
              </w:rPr>
              <w:t>8</w:t>
            </w:r>
            <w:r w:rsidR="006A5A42" w:rsidRPr="008501B1">
              <w:rPr>
                <w:rFonts w:ascii="Times New Roman" w:hAnsi="Times New Roman"/>
                <w:b/>
                <w:bCs/>
                <w:color w:val="000000"/>
                <w:lang w:val="en-US"/>
              </w:rPr>
              <w:t>.</w:t>
            </w:r>
            <w:r>
              <w:rPr>
                <w:rFonts w:ascii="Times New Roman" w:hAnsi="Times New Roman"/>
                <w:b/>
                <w:bCs/>
                <w:color w:val="000000"/>
                <w:lang w:val="en-US"/>
              </w:rPr>
              <w:t>6</w:t>
            </w:r>
          </w:p>
        </w:tc>
        <w:tc>
          <w:tcPr>
            <w:tcW w:w="1028" w:type="pct"/>
            <w:tcBorders>
              <w:top w:val="nil"/>
              <w:left w:val="nil"/>
              <w:bottom w:val="nil"/>
              <w:right w:val="single" w:sz="4" w:space="0" w:color="auto"/>
            </w:tcBorders>
            <w:shd w:val="clear" w:color="auto" w:fill="auto"/>
            <w:vAlign w:val="center"/>
            <w:hideMark/>
          </w:tcPr>
          <w:p w:rsidR="006A5A42" w:rsidRPr="008501B1" w:rsidRDefault="00CC13B2" w:rsidP="003F15FF">
            <w:pPr>
              <w:spacing w:after="0"/>
              <w:jc w:val="center"/>
              <w:rPr>
                <w:rFonts w:ascii="Times New Roman" w:hAnsi="Times New Roman"/>
                <w:b/>
                <w:bCs/>
                <w:color w:val="000000"/>
                <w:lang w:val="en-US"/>
              </w:rPr>
            </w:pPr>
            <w:r>
              <w:rPr>
                <w:rFonts w:ascii="Times New Roman" w:hAnsi="Times New Roman"/>
                <w:b/>
                <w:bCs/>
                <w:color w:val="000000"/>
                <w:lang w:val="en-US"/>
              </w:rPr>
              <w:t>1.15</w:t>
            </w:r>
          </w:p>
        </w:tc>
      </w:tr>
      <w:tr w:rsidR="003F15FF" w:rsidRPr="005724F1" w:rsidTr="003F15FF">
        <w:trPr>
          <w:trHeight w:val="144"/>
        </w:trPr>
        <w:tc>
          <w:tcPr>
            <w:tcW w:w="630" w:type="pct"/>
            <w:vMerge w:val="restart"/>
            <w:tcBorders>
              <w:top w:val="nil"/>
              <w:left w:val="single" w:sz="8" w:space="0" w:color="auto"/>
              <w:bottom w:val="single" w:sz="8" w:space="0" w:color="000000"/>
              <w:right w:val="nil"/>
            </w:tcBorders>
            <w:shd w:val="clear" w:color="auto" w:fill="auto"/>
            <w:vAlign w:val="center"/>
            <w:hideMark/>
          </w:tcPr>
          <w:p w:rsidR="006A5A42" w:rsidRPr="008501B1" w:rsidRDefault="006A5A42" w:rsidP="003F15FF">
            <w:pPr>
              <w:spacing w:after="0"/>
              <w:jc w:val="center"/>
              <w:rPr>
                <w:rFonts w:ascii="Times New Roman" w:hAnsi="Times New Roman"/>
                <w:b/>
                <w:bCs/>
                <w:color w:val="000000"/>
                <w:lang w:val="en-US"/>
              </w:rPr>
            </w:pPr>
            <w:r w:rsidRPr="008501B1">
              <w:rPr>
                <w:rFonts w:ascii="Times New Roman" w:hAnsi="Times New Roman"/>
                <w:b/>
                <w:bCs/>
                <w:color w:val="000000"/>
                <w:lang w:eastAsia="es-ES"/>
              </w:rPr>
              <w:t>Mujeres</w:t>
            </w:r>
          </w:p>
        </w:tc>
        <w:tc>
          <w:tcPr>
            <w:tcW w:w="1139" w:type="pct"/>
            <w:tcBorders>
              <w:top w:val="nil"/>
              <w:left w:val="nil"/>
              <w:bottom w:val="nil"/>
              <w:right w:val="nil"/>
            </w:tcBorders>
            <w:shd w:val="clear" w:color="auto" w:fill="auto"/>
            <w:vAlign w:val="center"/>
            <w:hideMark/>
          </w:tcPr>
          <w:p w:rsidR="006A5A42" w:rsidRPr="006A5A42" w:rsidRDefault="006A5A42" w:rsidP="003F15FF">
            <w:pPr>
              <w:spacing w:after="0"/>
              <w:jc w:val="center"/>
              <w:rPr>
                <w:rFonts w:ascii="Times New Roman" w:hAnsi="Times New Roman"/>
                <w:bCs/>
                <w:color w:val="000000"/>
                <w:sz w:val="20"/>
                <w:szCs w:val="20"/>
                <w:lang w:val="en-US"/>
              </w:rPr>
            </w:pPr>
            <w:r w:rsidRPr="006A5A42">
              <w:rPr>
                <w:rFonts w:ascii="Times New Roman" w:hAnsi="Times New Roman"/>
                <w:bCs/>
                <w:color w:val="000000"/>
                <w:sz w:val="20"/>
                <w:szCs w:val="20"/>
                <w:lang w:eastAsia="es-ES"/>
              </w:rPr>
              <w:t>PS-JO</w:t>
            </w:r>
          </w:p>
        </w:tc>
        <w:tc>
          <w:tcPr>
            <w:tcW w:w="669" w:type="pct"/>
            <w:tcBorders>
              <w:top w:val="nil"/>
              <w:left w:val="nil"/>
              <w:bottom w:val="nil"/>
              <w:right w:val="nil"/>
            </w:tcBorders>
            <w:shd w:val="clear" w:color="auto" w:fill="auto"/>
            <w:noWrap/>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23.5</w:t>
            </w:r>
          </w:p>
        </w:tc>
        <w:tc>
          <w:tcPr>
            <w:tcW w:w="767" w:type="pct"/>
            <w:tcBorders>
              <w:top w:val="nil"/>
              <w:left w:val="nil"/>
              <w:bottom w:val="nil"/>
              <w:right w:val="nil"/>
            </w:tcBorders>
            <w:shd w:val="clear" w:color="auto" w:fill="auto"/>
            <w:noWrap/>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16</w:t>
            </w:r>
            <w:r w:rsidR="006A5A42" w:rsidRPr="008501B1">
              <w:rPr>
                <w:rFonts w:ascii="Times New Roman" w:hAnsi="Times New Roman"/>
                <w:color w:val="000000"/>
                <w:lang w:val="en-US"/>
              </w:rPr>
              <w:t>.</w:t>
            </w:r>
            <w:r>
              <w:rPr>
                <w:rFonts w:ascii="Times New Roman" w:hAnsi="Times New Roman"/>
                <w:color w:val="000000"/>
                <w:lang w:val="en-US"/>
              </w:rPr>
              <w:t>6</w:t>
            </w:r>
          </w:p>
        </w:tc>
        <w:tc>
          <w:tcPr>
            <w:tcW w:w="767" w:type="pct"/>
            <w:tcBorders>
              <w:top w:val="nil"/>
              <w:left w:val="nil"/>
              <w:bottom w:val="nil"/>
              <w:right w:val="nil"/>
            </w:tcBorders>
            <w:shd w:val="clear" w:color="auto" w:fill="auto"/>
            <w:noWrap/>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6.9</w:t>
            </w:r>
          </w:p>
        </w:tc>
        <w:tc>
          <w:tcPr>
            <w:tcW w:w="1028" w:type="pct"/>
            <w:tcBorders>
              <w:top w:val="nil"/>
              <w:left w:val="nil"/>
              <w:bottom w:val="nil"/>
              <w:right w:val="single" w:sz="4" w:space="0" w:color="auto"/>
            </w:tcBorders>
            <w:shd w:val="clear" w:color="auto" w:fill="auto"/>
            <w:noWrap/>
            <w:vAlign w:val="center"/>
            <w:hideMark/>
          </w:tcPr>
          <w:p w:rsidR="006A5A42" w:rsidRPr="008501B1" w:rsidRDefault="00CC13B2" w:rsidP="003F15FF">
            <w:pPr>
              <w:spacing w:after="0"/>
              <w:jc w:val="center"/>
              <w:rPr>
                <w:rFonts w:ascii="Times New Roman" w:hAnsi="Times New Roman"/>
                <w:color w:val="000000"/>
                <w:lang w:val="en-US"/>
              </w:rPr>
            </w:pPr>
            <w:r>
              <w:rPr>
                <w:rFonts w:ascii="Times New Roman" w:hAnsi="Times New Roman"/>
                <w:color w:val="000000"/>
                <w:lang w:val="en-US"/>
              </w:rPr>
              <w:t>1.17</w:t>
            </w:r>
          </w:p>
        </w:tc>
      </w:tr>
      <w:tr w:rsidR="003F15FF" w:rsidRPr="005724F1" w:rsidTr="003F15FF">
        <w:trPr>
          <w:trHeight w:val="144"/>
        </w:trPr>
        <w:tc>
          <w:tcPr>
            <w:tcW w:w="630" w:type="pct"/>
            <w:vMerge/>
            <w:tcBorders>
              <w:top w:val="nil"/>
              <w:left w:val="single" w:sz="8" w:space="0" w:color="auto"/>
              <w:bottom w:val="single" w:sz="8" w:space="0" w:color="000000"/>
              <w:right w:val="nil"/>
            </w:tcBorders>
            <w:vAlign w:val="center"/>
            <w:hideMark/>
          </w:tcPr>
          <w:p w:rsidR="006A5A42" w:rsidRPr="008501B1" w:rsidRDefault="006A5A42" w:rsidP="003F15FF">
            <w:pPr>
              <w:spacing w:after="0"/>
              <w:jc w:val="center"/>
              <w:rPr>
                <w:rFonts w:ascii="Times New Roman" w:hAnsi="Times New Roman"/>
                <w:b/>
                <w:bCs/>
                <w:color w:val="000000"/>
                <w:lang w:val="en-US"/>
              </w:rPr>
            </w:pPr>
          </w:p>
        </w:tc>
        <w:tc>
          <w:tcPr>
            <w:tcW w:w="1139" w:type="pct"/>
            <w:tcBorders>
              <w:top w:val="nil"/>
              <w:left w:val="nil"/>
              <w:bottom w:val="nil"/>
              <w:right w:val="nil"/>
            </w:tcBorders>
            <w:shd w:val="clear" w:color="auto" w:fill="auto"/>
            <w:vAlign w:val="center"/>
            <w:hideMark/>
          </w:tcPr>
          <w:p w:rsidR="006A5A42" w:rsidRPr="006A5A42" w:rsidRDefault="006A5A42" w:rsidP="003F15FF">
            <w:pPr>
              <w:spacing w:after="0"/>
              <w:jc w:val="center"/>
              <w:rPr>
                <w:rFonts w:ascii="Times New Roman" w:hAnsi="Times New Roman"/>
                <w:bCs/>
                <w:color w:val="000000"/>
                <w:sz w:val="20"/>
                <w:szCs w:val="20"/>
                <w:lang w:val="en-US"/>
              </w:rPr>
            </w:pPr>
            <w:r w:rsidRPr="006A5A42">
              <w:rPr>
                <w:rFonts w:ascii="Times New Roman" w:hAnsi="Times New Roman"/>
                <w:bCs/>
                <w:color w:val="000000"/>
                <w:sz w:val="20"/>
                <w:szCs w:val="20"/>
                <w:lang w:eastAsia="es-ES"/>
              </w:rPr>
              <w:t>PS-MOR</w:t>
            </w:r>
            <w:r w:rsidR="003F15FF">
              <w:rPr>
                <w:rFonts w:ascii="Times New Roman" w:hAnsi="Times New Roman"/>
                <w:bCs/>
                <w:color w:val="000000"/>
                <w:sz w:val="20"/>
                <w:szCs w:val="20"/>
                <w:lang w:eastAsia="es-ES"/>
              </w:rPr>
              <w:t>/PNC</w:t>
            </w:r>
          </w:p>
        </w:tc>
        <w:tc>
          <w:tcPr>
            <w:tcW w:w="669" w:type="pct"/>
            <w:tcBorders>
              <w:top w:val="nil"/>
              <w:left w:val="nil"/>
              <w:bottom w:val="nil"/>
              <w:right w:val="nil"/>
            </w:tcBorders>
            <w:shd w:val="clear" w:color="auto" w:fill="auto"/>
            <w:noWrap/>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31.9</w:t>
            </w:r>
          </w:p>
        </w:tc>
        <w:tc>
          <w:tcPr>
            <w:tcW w:w="767" w:type="pct"/>
            <w:tcBorders>
              <w:top w:val="nil"/>
              <w:left w:val="nil"/>
              <w:bottom w:val="nil"/>
              <w:right w:val="nil"/>
            </w:tcBorders>
            <w:shd w:val="clear" w:color="auto" w:fill="auto"/>
            <w:noWrap/>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30</w:t>
            </w:r>
            <w:r w:rsidR="006A5A42" w:rsidRPr="008501B1">
              <w:rPr>
                <w:rFonts w:ascii="Times New Roman" w:hAnsi="Times New Roman"/>
                <w:color w:val="000000"/>
                <w:lang w:val="en-US"/>
              </w:rPr>
              <w:t>.</w:t>
            </w:r>
            <w:r>
              <w:rPr>
                <w:rFonts w:ascii="Times New Roman" w:hAnsi="Times New Roman"/>
                <w:color w:val="000000"/>
                <w:lang w:val="en-US"/>
              </w:rPr>
              <w:t>6</w:t>
            </w:r>
          </w:p>
        </w:tc>
        <w:tc>
          <w:tcPr>
            <w:tcW w:w="767" w:type="pct"/>
            <w:tcBorders>
              <w:top w:val="nil"/>
              <w:left w:val="nil"/>
              <w:bottom w:val="nil"/>
              <w:right w:val="nil"/>
            </w:tcBorders>
            <w:shd w:val="clear" w:color="auto" w:fill="auto"/>
            <w:noWrap/>
            <w:vAlign w:val="center"/>
            <w:hideMark/>
          </w:tcPr>
          <w:p w:rsidR="006A5A42" w:rsidRPr="008501B1" w:rsidRDefault="00CD12A3" w:rsidP="003F15FF">
            <w:pPr>
              <w:spacing w:after="0"/>
              <w:jc w:val="center"/>
              <w:rPr>
                <w:rFonts w:ascii="Times New Roman" w:hAnsi="Times New Roman"/>
                <w:color w:val="000000"/>
                <w:lang w:val="en-US"/>
              </w:rPr>
            </w:pPr>
            <w:r>
              <w:rPr>
                <w:rFonts w:ascii="Times New Roman" w:hAnsi="Times New Roman"/>
                <w:color w:val="000000"/>
                <w:lang w:val="en-US"/>
              </w:rPr>
              <w:t>1.3</w:t>
            </w:r>
          </w:p>
        </w:tc>
        <w:tc>
          <w:tcPr>
            <w:tcW w:w="1028" w:type="pct"/>
            <w:tcBorders>
              <w:top w:val="nil"/>
              <w:left w:val="nil"/>
              <w:bottom w:val="nil"/>
              <w:right w:val="single" w:sz="4" w:space="0" w:color="auto"/>
            </w:tcBorders>
            <w:shd w:val="clear" w:color="auto" w:fill="auto"/>
            <w:noWrap/>
            <w:vAlign w:val="center"/>
            <w:hideMark/>
          </w:tcPr>
          <w:p w:rsidR="006A5A42" w:rsidRPr="008501B1" w:rsidRDefault="00CC13B2" w:rsidP="003F15FF">
            <w:pPr>
              <w:spacing w:after="0"/>
              <w:jc w:val="center"/>
              <w:rPr>
                <w:rFonts w:ascii="Times New Roman" w:hAnsi="Times New Roman"/>
                <w:color w:val="000000"/>
                <w:lang w:val="en-US"/>
              </w:rPr>
            </w:pPr>
            <w:r>
              <w:rPr>
                <w:rFonts w:ascii="Times New Roman" w:hAnsi="Times New Roman"/>
                <w:color w:val="000000"/>
                <w:lang w:val="en-US"/>
              </w:rPr>
              <w:t>1.04</w:t>
            </w:r>
          </w:p>
        </w:tc>
      </w:tr>
      <w:tr w:rsidR="003F15FF" w:rsidRPr="005724F1" w:rsidTr="003F15FF">
        <w:trPr>
          <w:trHeight w:val="144"/>
        </w:trPr>
        <w:tc>
          <w:tcPr>
            <w:tcW w:w="630" w:type="pct"/>
            <w:vMerge/>
            <w:tcBorders>
              <w:top w:val="nil"/>
              <w:left w:val="single" w:sz="8" w:space="0" w:color="auto"/>
              <w:bottom w:val="single" w:sz="8" w:space="0" w:color="000000"/>
              <w:right w:val="nil"/>
            </w:tcBorders>
            <w:vAlign w:val="center"/>
            <w:hideMark/>
          </w:tcPr>
          <w:p w:rsidR="006A5A42" w:rsidRPr="008501B1" w:rsidRDefault="006A5A42" w:rsidP="003F15FF">
            <w:pPr>
              <w:spacing w:after="0"/>
              <w:jc w:val="center"/>
              <w:rPr>
                <w:rFonts w:ascii="Times New Roman" w:hAnsi="Times New Roman"/>
                <w:b/>
                <w:bCs/>
                <w:color w:val="000000"/>
                <w:lang w:val="en-US"/>
              </w:rPr>
            </w:pPr>
          </w:p>
        </w:tc>
        <w:tc>
          <w:tcPr>
            <w:tcW w:w="1139" w:type="pct"/>
            <w:tcBorders>
              <w:top w:val="nil"/>
              <w:left w:val="nil"/>
              <w:bottom w:val="single" w:sz="8" w:space="0" w:color="auto"/>
              <w:right w:val="nil"/>
            </w:tcBorders>
            <w:shd w:val="clear" w:color="auto" w:fill="auto"/>
            <w:vAlign w:val="center"/>
            <w:hideMark/>
          </w:tcPr>
          <w:p w:rsidR="006A5A42" w:rsidRPr="006A5A42" w:rsidRDefault="006A5A42" w:rsidP="003F15FF">
            <w:pPr>
              <w:spacing w:after="0"/>
              <w:jc w:val="center"/>
              <w:rPr>
                <w:rFonts w:ascii="Times New Roman" w:hAnsi="Times New Roman"/>
                <w:b/>
                <w:bCs/>
                <w:color w:val="000000"/>
                <w:sz w:val="20"/>
                <w:szCs w:val="20"/>
                <w:lang w:val="en-US"/>
              </w:rPr>
            </w:pPr>
            <w:r w:rsidRPr="006A5A42">
              <w:rPr>
                <w:rFonts w:ascii="Times New Roman" w:hAnsi="Times New Roman"/>
                <w:b/>
                <w:bCs/>
                <w:color w:val="000000"/>
                <w:sz w:val="20"/>
                <w:szCs w:val="20"/>
                <w:lang w:eastAsia="es-ES"/>
              </w:rPr>
              <w:t>PS-JO+MOR</w:t>
            </w:r>
            <w:r w:rsidR="003F15FF">
              <w:rPr>
                <w:rFonts w:ascii="Times New Roman" w:hAnsi="Times New Roman"/>
                <w:b/>
                <w:bCs/>
                <w:color w:val="000000"/>
                <w:sz w:val="20"/>
                <w:szCs w:val="20"/>
                <w:lang w:eastAsia="es-ES"/>
              </w:rPr>
              <w:t>/PNC</w:t>
            </w:r>
          </w:p>
        </w:tc>
        <w:tc>
          <w:tcPr>
            <w:tcW w:w="669" w:type="pct"/>
            <w:tcBorders>
              <w:top w:val="nil"/>
              <w:left w:val="nil"/>
              <w:bottom w:val="single" w:sz="8" w:space="0" w:color="auto"/>
              <w:right w:val="nil"/>
            </w:tcBorders>
            <w:shd w:val="clear" w:color="auto" w:fill="auto"/>
            <w:noWrap/>
            <w:vAlign w:val="center"/>
            <w:hideMark/>
          </w:tcPr>
          <w:p w:rsidR="006A5A42" w:rsidRPr="008501B1" w:rsidRDefault="00CD12A3" w:rsidP="003F15FF">
            <w:pPr>
              <w:spacing w:after="0"/>
              <w:jc w:val="center"/>
              <w:rPr>
                <w:rFonts w:ascii="Times New Roman" w:hAnsi="Times New Roman"/>
                <w:b/>
                <w:bCs/>
                <w:color w:val="000000"/>
                <w:lang w:val="en-US"/>
              </w:rPr>
            </w:pPr>
            <w:r>
              <w:rPr>
                <w:rFonts w:ascii="Times New Roman" w:hAnsi="Times New Roman"/>
                <w:b/>
                <w:bCs/>
                <w:color w:val="000000"/>
                <w:lang w:val="en-US"/>
              </w:rPr>
              <w:t>29.2</w:t>
            </w:r>
          </w:p>
        </w:tc>
        <w:tc>
          <w:tcPr>
            <w:tcW w:w="767" w:type="pct"/>
            <w:tcBorders>
              <w:top w:val="nil"/>
              <w:left w:val="nil"/>
              <w:bottom w:val="single" w:sz="8" w:space="0" w:color="auto"/>
              <w:right w:val="nil"/>
            </w:tcBorders>
            <w:shd w:val="clear" w:color="auto" w:fill="auto"/>
            <w:noWrap/>
            <w:vAlign w:val="center"/>
            <w:hideMark/>
          </w:tcPr>
          <w:p w:rsidR="006A5A42" w:rsidRPr="008501B1" w:rsidRDefault="00CC13B2" w:rsidP="00CC13B2">
            <w:pPr>
              <w:spacing w:after="0"/>
              <w:jc w:val="center"/>
              <w:rPr>
                <w:rFonts w:ascii="Times New Roman" w:hAnsi="Times New Roman"/>
                <w:b/>
                <w:bCs/>
                <w:color w:val="000000"/>
                <w:lang w:val="en-US"/>
              </w:rPr>
            </w:pPr>
            <w:r>
              <w:rPr>
                <w:rFonts w:ascii="Times New Roman" w:hAnsi="Times New Roman"/>
                <w:b/>
                <w:bCs/>
                <w:color w:val="000000"/>
                <w:lang w:val="en-US"/>
              </w:rPr>
              <w:t>25</w:t>
            </w:r>
            <w:r w:rsidR="006A5A42" w:rsidRPr="008501B1">
              <w:rPr>
                <w:rFonts w:ascii="Times New Roman" w:hAnsi="Times New Roman"/>
                <w:b/>
                <w:bCs/>
                <w:color w:val="000000"/>
                <w:lang w:val="en-US"/>
              </w:rPr>
              <w:t>.</w:t>
            </w:r>
            <w:r>
              <w:rPr>
                <w:rFonts w:ascii="Times New Roman" w:hAnsi="Times New Roman"/>
                <w:b/>
                <w:bCs/>
                <w:color w:val="000000"/>
                <w:lang w:val="en-US"/>
              </w:rPr>
              <w:t>9</w:t>
            </w:r>
          </w:p>
        </w:tc>
        <w:tc>
          <w:tcPr>
            <w:tcW w:w="767" w:type="pct"/>
            <w:tcBorders>
              <w:top w:val="nil"/>
              <w:left w:val="nil"/>
              <w:bottom w:val="single" w:sz="8" w:space="0" w:color="auto"/>
              <w:right w:val="nil"/>
            </w:tcBorders>
            <w:shd w:val="clear" w:color="auto" w:fill="auto"/>
            <w:noWrap/>
            <w:vAlign w:val="center"/>
            <w:hideMark/>
          </w:tcPr>
          <w:p w:rsidR="006A5A42" w:rsidRPr="008501B1" w:rsidRDefault="00CC13B2" w:rsidP="00CC13B2">
            <w:pPr>
              <w:spacing w:after="0"/>
              <w:jc w:val="center"/>
              <w:rPr>
                <w:rFonts w:ascii="Times New Roman" w:hAnsi="Times New Roman"/>
                <w:b/>
                <w:bCs/>
                <w:color w:val="000000"/>
                <w:lang w:val="en-US"/>
              </w:rPr>
            </w:pPr>
            <w:r>
              <w:rPr>
                <w:rFonts w:ascii="Times New Roman" w:hAnsi="Times New Roman"/>
                <w:b/>
                <w:bCs/>
                <w:color w:val="000000"/>
                <w:lang w:val="en-US"/>
              </w:rPr>
              <w:t>3.3</w:t>
            </w:r>
          </w:p>
        </w:tc>
        <w:tc>
          <w:tcPr>
            <w:tcW w:w="1028" w:type="pct"/>
            <w:tcBorders>
              <w:top w:val="nil"/>
              <w:left w:val="nil"/>
              <w:bottom w:val="single" w:sz="8" w:space="0" w:color="auto"/>
              <w:right w:val="single" w:sz="4" w:space="0" w:color="auto"/>
            </w:tcBorders>
            <w:shd w:val="clear" w:color="auto" w:fill="auto"/>
            <w:noWrap/>
            <w:vAlign w:val="center"/>
            <w:hideMark/>
          </w:tcPr>
          <w:p w:rsidR="006A5A42" w:rsidRPr="008501B1" w:rsidRDefault="00CC13B2" w:rsidP="003F15FF">
            <w:pPr>
              <w:spacing w:after="0"/>
              <w:jc w:val="center"/>
              <w:rPr>
                <w:rFonts w:ascii="Times New Roman" w:hAnsi="Times New Roman"/>
                <w:b/>
                <w:bCs/>
                <w:color w:val="000000"/>
                <w:lang w:val="en-US"/>
              </w:rPr>
            </w:pPr>
            <w:r>
              <w:rPr>
                <w:rFonts w:ascii="Times New Roman" w:hAnsi="Times New Roman"/>
                <w:b/>
                <w:bCs/>
                <w:color w:val="000000"/>
                <w:lang w:val="en-US"/>
              </w:rPr>
              <w:t>1.09</w:t>
            </w:r>
          </w:p>
        </w:tc>
      </w:tr>
    </w:tbl>
    <w:p w:rsidR="00CC13B2" w:rsidRPr="00F25F77" w:rsidRDefault="00CC13B2" w:rsidP="00CC13B2">
      <w:pPr>
        <w:spacing w:line="360" w:lineRule="auto"/>
        <w:rPr>
          <w:rFonts w:ascii="Times New Roman" w:hAnsi="Times New Roman"/>
          <w:sz w:val="20"/>
          <w:szCs w:val="20"/>
        </w:rPr>
      </w:pPr>
      <w:r w:rsidRPr="00F25F77">
        <w:rPr>
          <w:rFonts w:ascii="Times New Roman" w:hAnsi="Times New Roman"/>
          <w:sz w:val="20"/>
          <w:szCs w:val="20"/>
          <w:u w:val="single"/>
        </w:rPr>
        <w:t>Fuente</w:t>
      </w:r>
      <w:r w:rsidRPr="00F25F77">
        <w:rPr>
          <w:rFonts w:ascii="Times New Roman" w:hAnsi="Times New Roman"/>
          <w:sz w:val="20"/>
          <w:szCs w:val="20"/>
        </w:rPr>
        <w:t>: Ela</w:t>
      </w:r>
      <w:r>
        <w:rPr>
          <w:rFonts w:ascii="Times New Roman" w:hAnsi="Times New Roman"/>
          <w:sz w:val="20"/>
          <w:szCs w:val="20"/>
        </w:rPr>
        <w:t>boración propia en base a ANSES</w:t>
      </w:r>
      <w:r w:rsidRPr="00F25F77">
        <w:rPr>
          <w:rFonts w:ascii="Times New Roman" w:hAnsi="Times New Roman"/>
          <w:sz w:val="20"/>
          <w:szCs w:val="20"/>
        </w:rPr>
        <w:t>.</w:t>
      </w:r>
    </w:p>
    <w:p w:rsidR="00764B4A" w:rsidRDefault="00764B4A" w:rsidP="008501B1">
      <w:pPr>
        <w:spacing w:line="360" w:lineRule="auto"/>
        <w:ind w:firstLine="708"/>
        <w:rPr>
          <w:rFonts w:ascii="Times New Roman" w:hAnsi="Times New Roman"/>
          <w:sz w:val="24"/>
          <w:szCs w:val="24"/>
        </w:rPr>
      </w:pPr>
    </w:p>
    <w:p w:rsidR="003F15FF" w:rsidRPr="00DB4960" w:rsidRDefault="0018275F" w:rsidP="008501B1">
      <w:pPr>
        <w:spacing w:line="360" w:lineRule="auto"/>
        <w:ind w:firstLine="708"/>
        <w:rPr>
          <w:rFonts w:ascii="Times New Roman" w:hAnsi="Times New Roman"/>
          <w:sz w:val="24"/>
          <w:szCs w:val="24"/>
        </w:rPr>
      </w:pPr>
      <w:r>
        <w:rPr>
          <w:rFonts w:ascii="Times New Roman" w:hAnsi="Times New Roman"/>
          <w:sz w:val="24"/>
          <w:szCs w:val="24"/>
        </w:rPr>
        <w:t>Por último,</w:t>
      </w:r>
      <w:r w:rsidR="00764B4A">
        <w:rPr>
          <w:rFonts w:ascii="Times New Roman" w:hAnsi="Times New Roman"/>
          <w:sz w:val="24"/>
          <w:szCs w:val="24"/>
        </w:rPr>
        <w:t xml:space="preserve"> otra forma válida de separar los efectos por edad entre los grupos es la </w:t>
      </w:r>
      <w:r w:rsidR="00766406">
        <w:rPr>
          <w:rFonts w:ascii="Times New Roman" w:hAnsi="Times New Roman"/>
          <w:sz w:val="24"/>
          <w:szCs w:val="24"/>
        </w:rPr>
        <w:t xml:space="preserve">confección de </w:t>
      </w:r>
      <w:r w:rsidR="00764B4A">
        <w:rPr>
          <w:rFonts w:ascii="Times New Roman" w:hAnsi="Times New Roman"/>
          <w:sz w:val="24"/>
          <w:szCs w:val="24"/>
        </w:rPr>
        <w:t>tabla</w:t>
      </w:r>
      <w:r w:rsidR="00766406">
        <w:rPr>
          <w:rFonts w:ascii="Times New Roman" w:hAnsi="Times New Roman"/>
          <w:sz w:val="24"/>
          <w:szCs w:val="24"/>
        </w:rPr>
        <w:t>s</w:t>
      </w:r>
      <w:r w:rsidR="00764B4A">
        <w:rPr>
          <w:rFonts w:ascii="Times New Roman" w:hAnsi="Times New Roman"/>
          <w:sz w:val="24"/>
          <w:szCs w:val="24"/>
        </w:rPr>
        <w:t xml:space="preserve"> de vida</w:t>
      </w:r>
      <w:r w:rsidR="00766406">
        <w:rPr>
          <w:rFonts w:ascii="Times New Roman" w:hAnsi="Times New Roman"/>
          <w:sz w:val="24"/>
          <w:szCs w:val="24"/>
        </w:rPr>
        <w:t xml:space="preserve"> para las distintas categorías</w:t>
      </w:r>
      <w:r w:rsidR="00764B4A">
        <w:rPr>
          <w:rFonts w:ascii="Times New Roman" w:hAnsi="Times New Roman"/>
          <w:sz w:val="24"/>
          <w:szCs w:val="24"/>
        </w:rPr>
        <w:t>, con la esperanza de vida a los 65 años en este caso como indicador resumen</w:t>
      </w:r>
      <w:r w:rsidR="00766406">
        <w:rPr>
          <w:rFonts w:ascii="Times New Roman" w:hAnsi="Times New Roman"/>
          <w:sz w:val="24"/>
          <w:szCs w:val="24"/>
        </w:rPr>
        <w:t xml:space="preserve"> de la mortalidad</w:t>
      </w:r>
      <w:r w:rsidR="00DB4960">
        <w:rPr>
          <w:rFonts w:ascii="Times New Roman" w:hAnsi="Times New Roman"/>
          <w:sz w:val="24"/>
          <w:szCs w:val="24"/>
        </w:rPr>
        <w:t xml:space="preserve"> y la variación en el tiempo vivido como indicador de una mayor dispersión en la mortalidad (asociado a una mayor disparidad e incertidumbre en el tiempo vivido)</w:t>
      </w:r>
      <w:r w:rsidR="00764B4A">
        <w:rPr>
          <w:rFonts w:ascii="Times New Roman" w:hAnsi="Times New Roman"/>
          <w:sz w:val="24"/>
          <w:szCs w:val="24"/>
        </w:rPr>
        <w:t>. La figura 5</w:t>
      </w:r>
      <w:r w:rsidR="002726C1">
        <w:rPr>
          <w:rFonts w:ascii="Times New Roman" w:hAnsi="Times New Roman"/>
          <w:sz w:val="24"/>
          <w:szCs w:val="24"/>
        </w:rPr>
        <w:t xml:space="preserve"> indica las estimaciones </w:t>
      </w:r>
      <w:r w:rsidR="00DB4960">
        <w:rPr>
          <w:rFonts w:ascii="Times New Roman" w:hAnsi="Times New Roman"/>
          <w:sz w:val="24"/>
          <w:szCs w:val="24"/>
        </w:rPr>
        <w:t xml:space="preserve">para ambos indicadores a partir de los datos agregados. </w:t>
      </w:r>
      <w:r w:rsidR="00DB4960" w:rsidRPr="00DB4960">
        <w:rPr>
          <w:rFonts w:ascii="Times New Roman" w:hAnsi="Times New Roman"/>
          <w:sz w:val="24"/>
          <w:szCs w:val="24"/>
        </w:rPr>
        <w:t xml:space="preserve">Para los varones, los </w:t>
      </w:r>
      <w:r w:rsidR="00DB4960">
        <w:rPr>
          <w:rFonts w:ascii="Times New Roman" w:hAnsi="Times New Roman"/>
          <w:sz w:val="24"/>
          <w:szCs w:val="24"/>
        </w:rPr>
        <w:t>beneficiario</w:t>
      </w:r>
      <w:r w:rsidR="00DB4960" w:rsidRPr="00DB4960">
        <w:rPr>
          <w:rFonts w:ascii="Times New Roman" w:hAnsi="Times New Roman"/>
          <w:sz w:val="24"/>
          <w:szCs w:val="24"/>
        </w:rPr>
        <w:t>s de pensiones por viudez viven un año menos en promedio que el</w:t>
      </w:r>
      <w:r w:rsidR="00DB4960">
        <w:rPr>
          <w:rFonts w:ascii="Times New Roman" w:hAnsi="Times New Roman"/>
          <w:sz w:val="24"/>
          <w:szCs w:val="24"/>
        </w:rPr>
        <w:t xml:space="preserve"> total </w:t>
      </w:r>
      <w:r w:rsidR="00DB4960">
        <w:rPr>
          <w:rFonts w:ascii="Times New Roman" w:hAnsi="Times New Roman"/>
          <w:sz w:val="24"/>
          <w:szCs w:val="24"/>
        </w:rPr>
        <w:lastRenderedPageBreak/>
        <w:t xml:space="preserve">de la población y poco menos de dos años en comparación a los JO. </w:t>
      </w:r>
      <w:r w:rsidR="00DB4960" w:rsidRPr="00DB4960">
        <w:rPr>
          <w:rFonts w:ascii="Times New Roman" w:hAnsi="Times New Roman"/>
          <w:sz w:val="24"/>
          <w:szCs w:val="24"/>
        </w:rPr>
        <w:t>Para las mujeres, estas diferencias se acortan a casi medio año para el total (porque las mujeres presentan una mayor proporción de beneficiarias de MOR/PNC) y la brecha entre PS/JO es de casi un año y medio. Con respecto a la variabilidad, los individuos beneficiarios de PS mueren dentro de un rango de 8 años de esperanza de vida restante en promedio, en un valor mayor en comparación a otros grupos</w:t>
      </w:r>
      <w:r w:rsidR="00DB4960">
        <w:rPr>
          <w:rFonts w:ascii="Times New Roman" w:hAnsi="Times New Roman"/>
          <w:sz w:val="24"/>
          <w:szCs w:val="24"/>
        </w:rPr>
        <w:t>. Como se mencionó, un valor más alto se traduce en una mayor incertidumbre</w:t>
      </w:r>
      <w:r w:rsidR="000F0043">
        <w:rPr>
          <w:rFonts w:ascii="Times New Roman" w:hAnsi="Times New Roman"/>
          <w:sz w:val="24"/>
          <w:szCs w:val="24"/>
        </w:rPr>
        <w:t xml:space="preserve"> en el momento de la muerte</w:t>
      </w:r>
      <w:r w:rsidR="00DB4960">
        <w:rPr>
          <w:rFonts w:ascii="Times New Roman" w:hAnsi="Times New Roman"/>
          <w:sz w:val="24"/>
          <w:szCs w:val="24"/>
        </w:rPr>
        <w:t xml:space="preserve"> y</w:t>
      </w:r>
      <w:r w:rsidR="000F0043">
        <w:rPr>
          <w:rFonts w:ascii="Times New Roman" w:hAnsi="Times New Roman"/>
          <w:sz w:val="24"/>
          <w:szCs w:val="24"/>
        </w:rPr>
        <w:t xml:space="preserve"> una mayor</w:t>
      </w:r>
      <w:r w:rsidR="00DB4960">
        <w:rPr>
          <w:rFonts w:ascii="Times New Roman" w:hAnsi="Times New Roman"/>
          <w:sz w:val="24"/>
          <w:szCs w:val="24"/>
        </w:rPr>
        <w:t xml:space="preserve"> fragilidad, </w:t>
      </w:r>
      <w:r w:rsidR="00DB4960" w:rsidRPr="00DB4960">
        <w:rPr>
          <w:rFonts w:ascii="Times New Roman" w:hAnsi="Times New Roman"/>
          <w:sz w:val="24"/>
          <w:szCs w:val="24"/>
        </w:rPr>
        <w:t>lo cual confirma que se trata de un grupo más vulnerable.</w:t>
      </w:r>
      <w:r w:rsidR="00DB4960">
        <w:rPr>
          <w:rFonts w:ascii="Times New Roman" w:hAnsi="Times New Roman"/>
          <w:sz w:val="24"/>
          <w:szCs w:val="24"/>
        </w:rPr>
        <w:t xml:space="preserve"> No parece haber grandes diferencias por sexo con respecto a los grupos. </w:t>
      </w:r>
      <w:r w:rsidR="00DB4960" w:rsidRPr="00DB4960">
        <w:rPr>
          <w:rFonts w:ascii="Times New Roman" w:hAnsi="Times New Roman"/>
          <w:sz w:val="24"/>
          <w:szCs w:val="24"/>
        </w:rPr>
        <w:t xml:space="preserve"> </w:t>
      </w:r>
    </w:p>
    <w:p w:rsidR="00631CC3" w:rsidRDefault="00631CC3" w:rsidP="00631CC3">
      <w:pPr>
        <w:spacing w:line="360" w:lineRule="auto"/>
        <w:rPr>
          <w:rFonts w:ascii="Times New Roman" w:hAnsi="Times New Roman"/>
          <w:b/>
          <w:sz w:val="24"/>
          <w:szCs w:val="24"/>
          <w:lang w:val="es-AR"/>
        </w:rPr>
      </w:pPr>
    </w:p>
    <w:p w:rsidR="00631CC3" w:rsidRPr="003F15FF" w:rsidRDefault="00631CC3" w:rsidP="00631CC3">
      <w:pPr>
        <w:spacing w:line="360" w:lineRule="auto"/>
        <w:rPr>
          <w:rFonts w:ascii="Times New Roman" w:hAnsi="Times New Roman"/>
          <w:b/>
          <w:sz w:val="24"/>
          <w:szCs w:val="24"/>
          <w:lang w:val="es-AR"/>
        </w:rPr>
      </w:pPr>
      <w:r w:rsidRPr="00CC13B2">
        <w:rPr>
          <w:rFonts w:ascii="Times New Roman" w:hAnsi="Times New Roman"/>
          <w:b/>
          <w:sz w:val="24"/>
          <w:szCs w:val="24"/>
          <w:lang w:val="es-AR"/>
        </w:rPr>
        <w:t xml:space="preserve">Tabla </w:t>
      </w:r>
      <w:r>
        <w:rPr>
          <w:rFonts w:ascii="Times New Roman" w:hAnsi="Times New Roman"/>
          <w:b/>
          <w:sz w:val="24"/>
          <w:szCs w:val="24"/>
          <w:lang w:val="es-AR"/>
        </w:rPr>
        <w:t>5</w:t>
      </w:r>
      <w:r w:rsidRPr="00CC13B2">
        <w:rPr>
          <w:rFonts w:ascii="Times New Roman" w:hAnsi="Times New Roman"/>
          <w:b/>
          <w:sz w:val="24"/>
          <w:szCs w:val="24"/>
          <w:lang w:val="es-AR"/>
        </w:rPr>
        <w:t xml:space="preserve">. </w:t>
      </w:r>
      <w:r>
        <w:rPr>
          <w:rFonts w:ascii="Times New Roman" w:hAnsi="Times New Roman"/>
          <w:sz w:val="24"/>
          <w:szCs w:val="24"/>
          <w:lang w:val="es-AR"/>
        </w:rPr>
        <w:t>Estimación de la esperanza de vida a los 65 años y Variación en el tiempo vivido en mayores de 65 años por sexo y tipo de beneficio</w:t>
      </w:r>
      <w:r w:rsidRPr="00631CC3">
        <w:rPr>
          <w:rFonts w:ascii="Times New Roman" w:hAnsi="Times New Roman"/>
          <w:sz w:val="24"/>
          <w:szCs w:val="24"/>
          <w:lang w:val="es-AR"/>
        </w:rPr>
        <w:t xml:space="preserve"> en mayores de 65 años. Argentina, 2015-2016</w:t>
      </w:r>
      <w:r>
        <w:rPr>
          <w:rFonts w:ascii="Times New Roman" w:hAnsi="Times New Roman"/>
          <w:sz w:val="24"/>
          <w:szCs w:val="24"/>
          <w:lang w:val="es-AR"/>
        </w:rPr>
        <w:t>.</w:t>
      </w:r>
    </w:p>
    <w:tbl>
      <w:tblPr>
        <w:tblW w:w="5000" w:type="pct"/>
        <w:tblLook w:val="04A0"/>
      </w:tblPr>
      <w:tblGrid>
        <w:gridCol w:w="1084"/>
        <w:gridCol w:w="635"/>
        <w:gridCol w:w="1636"/>
        <w:gridCol w:w="635"/>
        <w:gridCol w:w="767"/>
        <w:gridCol w:w="492"/>
        <w:gridCol w:w="1493"/>
        <w:gridCol w:w="492"/>
        <w:gridCol w:w="1486"/>
      </w:tblGrid>
      <w:tr w:rsidR="00631CC3" w:rsidRPr="00631CC3" w:rsidTr="00631CC3">
        <w:trPr>
          <w:trHeight w:val="300"/>
        </w:trPr>
        <w:tc>
          <w:tcPr>
            <w:tcW w:w="622" w:type="pct"/>
            <w:vMerge w:val="restart"/>
            <w:tcBorders>
              <w:top w:val="single" w:sz="8" w:space="0" w:color="auto"/>
              <w:left w:val="single" w:sz="8" w:space="0" w:color="auto"/>
              <w:bottom w:val="single" w:sz="8" w:space="0" w:color="000000"/>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lang w:eastAsia="es-ES"/>
              </w:rPr>
              <w:t>Sexo</w:t>
            </w:r>
          </w:p>
        </w:tc>
        <w:tc>
          <w:tcPr>
            <w:tcW w:w="2104" w:type="pct"/>
            <w:gridSpan w:val="4"/>
            <w:vMerge w:val="restart"/>
            <w:tcBorders>
              <w:top w:val="single" w:sz="8" w:space="0" w:color="auto"/>
              <w:left w:val="nil"/>
              <w:bottom w:val="single" w:sz="8" w:space="0" w:color="000000"/>
              <w:right w:val="single" w:sz="8" w:space="0" w:color="000000"/>
            </w:tcBorders>
            <w:shd w:val="clear" w:color="auto" w:fill="auto"/>
            <w:vAlign w:val="center"/>
            <w:hideMark/>
          </w:tcPr>
          <w:p w:rsidR="00631CC3" w:rsidRPr="00631CC3" w:rsidRDefault="00631CC3" w:rsidP="00631CC3">
            <w:pPr>
              <w:spacing w:after="0"/>
              <w:jc w:val="center"/>
              <w:rPr>
                <w:rFonts w:ascii="Times New Roman" w:hAnsi="Times New Roman"/>
                <w:b/>
                <w:bCs/>
                <w:color w:val="000000"/>
                <w:lang w:val="es-AR"/>
              </w:rPr>
            </w:pPr>
            <w:r w:rsidRPr="00631CC3">
              <w:rPr>
                <w:rFonts w:ascii="Times New Roman" w:hAnsi="Times New Roman"/>
                <w:b/>
                <w:bCs/>
                <w:color w:val="000000"/>
                <w:lang w:eastAsia="es-ES"/>
              </w:rPr>
              <w:t>Esperanza de Vida a los 65 años</w:t>
            </w:r>
          </w:p>
        </w:tc>
        <w:tc>
          <w:tcPr>
            <w:tcW w:w="2274" w:type="pct"/>
            <w:gridSpan w:val="4"/>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631CC3" w:rsidRPr="00631CC3" w:rsidRDefault="00631CC3" w:rsidP="00631CC3">
            <w:pPr>
              <w:spacing w:after="0"/>
              <w:jc w:val="center"/>
              <w:rPr>
                <w:rFonts w:ascii="Times New Roman" w:hAnsi="Times New Roman"/>
                <w:b/>
                <w:bCs/>
                <w:color w:val="000000"/>
                <w:lang w:val="es-AR"/>
              </w:rPr>
            </w:pPr>
            <w:r w:rsidRPr="00631CC3">
              <w:rPr>
                <w:rFonts w:ascii="Times New Roman" w:hAnsi="Times New Roman"/>
                <w:b/>
                <w:bCs/>
                <w:color w:val="000000"/>
                <w:lang w:eastAsia="es-ES"/>
              </w:rPr>
              <w:t>Variación en el tiempo vivido (e-dagger) a los 65 años</w:t>
            </w:r>
          </w:p>
        </w:tc>
      </w:tr>
      <w:tr w:rsidR="00631CC3" w:rsidRPr="00631CC3" w:rsidTr="00631CC3">
        <w:trPr>
          <w:trHeight w:val="315"/>
        </w:trPr>
        <w:tc>
          <w:tcPr>
            <w:tcW w:w="622" w:type="pct"/>
            <w:vMerge/>
            <w:tcBorders>
              <w:top w:val="single" w:sz="8" w:space="0" w:color="auto"/>
              <w:left w:val="single" w:sz="8" w:space="0" w:color="auto"/>
              <w:bottom w:val="single" w:sz="8" w:space="0" w:color="000000"/>
              <w:right w:val="nil"/>
            </w:tcBorders>
            <w:vAlign w:val="center"/>
            <w:hideMark/>
          </w:tcPr>
          <w:p w:rsidR="00631CC3" w:rsidRPr="00631CC3" w:rsidRDefault="00631CC3" w:rsidP="00631CC3">
            <w:pPr>
              <w:spacing w:after="0"/>
              <w:jc w:val="center"/>
              <w:rPr>
                <w:rFonts w:ascii="Times New Roman" w:hAnsi="Times New Roman"/>
                <w:b/>
                <w:bCs/>
                <w:color w:val="000000"/>
                <w:lang w:val="es-AR"/>
              </w:rPr>
            </w:pPr>
          </w:p>
        </w:tc>
        <w:tc>
          <w:tcPr>
            <w:tcW w:w="2104" w:type="pct"/>
            <w:gridSpan w:val="4"/>
            <w:vMerge/>
            <w:tcBorders>
              <w:top w:val="single" w:sz="8" w:space="0" w:color="auto"/>
              <w:left w:val="nil"/>
              <w:bottom w:val="single" w:sz="8" w:space="0" w:color="000000"/>
              <w:right w:val="single" w:sz="8" w:space="0" w:color="000000"/>
            </w:tcBorders>
            <w:vAlign w:val="center"/>
            <w:hideMark/>
          </w:tcPr>
          <w:p w:rsidR="00631CC3" w:rsidRPr="00631CC3" w:rsidRDefault="00631CC3" w:rsidP="00631CC3">
            <w:pPr>
              <w:spacing w:after="0"/>
              <w:jc w:val="center"/>
              <w:rPr>
                <w:rFonts w:ascii="Times New Roman" w:hAnsi="Times New Roman"/>
                <w:b/>
                <w:bCs/>
                <w:color w:val="000000"/>
                <w:lang w:val="es-AR"/>
              </w:rPr>
            </w:pPr>
          </w:p>
        </w:tc>
        <w:tc>
          <w:tcPr>
            <w:tcW w:w="2274" w:type="pct"/>
            <w:gridSpan w:val="4"/>
            <w:vMerge/>
            <w:tcBorders>
              <w:top w:val="single" w:sz="8" w:space="0" w:color="auto"/>
              <w:left w:val="single" w:sz="8" w:space="0" w:color="000000"/>
              <w:bottom w:val="single" w:sz="8" w:space="0" w:color="000000"/>
              <w:right w:val="single" w:sz="8" w:space="0" w:color="000000"/>
            </w:tcBorders>
            <w:vAlign w:val="center"/>
            <w:hideMark/>
          </w:tcPr>
          <w:p w:rsidR="00631CC3" w:rsidRPr="00631CC3" w:rsidRDefault="00631CC3" w:rsidP="00631CC3">
            <w:pPr>
              <w:spacing w:after="0"/>
              <w:jc w:val="center"/>
              <w:rPr>
                <w:rFonts w:ascii="Times New Roman" w:hAnsi="Times New Roman"/>
                <w:b/>
                <w:bCs/>
                <w:color w:val="000000"/>
                <w:lang w:val="es-AR"/>
              </w:rPr>
            </w:pPr>
          </w:p>
        </w:tc>
      </w:tr>
      <w:tr w:rsidR="00631CC3" w:rsidRPr="00631CC3" w:rsidTr="00631CC3">
        <w:trPr>
          <w:trHeight w:val="315"/>
        </w:trPr>
        <w:tc>
          <w:tcPr>
            <w:tcW w:w="622" w:type="pct"/>
            <w:vMerge/>
            <w:tcBorders>
              <w:top w:val="single" w:sz="8" w:space="0" w:color="auto"/>
              <w:left w:val="single" w:sz="8" w:space="0" w:color="auto"/>
              <w:bottom w:val="single" w:sz="8" w:space="0" w:color="000000"/>
              <w:right w:val="nil"/>
            </w:tcBorders>
            <w:vAlign w:val="center"/>
            <w:hideMark/>
          </w:tcPr>
          <w:p w:rsidR="00631CC3" w:rsidRPr="00631CC3" w:rsidRDefault="00631CC3" w:rsidP="00631CC3">
            <w:pPr>
              <w:spacing w:after="0"/>
              <w:jc w:val="center"/>
              <w:rPr>
                <w:rFonts w:ascii="Times New Roman" w:hAnsi="Times New Roman"/>
                <w:b/>
                <w:bCs/>
                <w:color w:val="000000"/>
                <w:lang w:val="es-AR"/>
              </w:rPr>
            </w:pPr>
          </w:p>
        </w:tc>
        <w:tc>
          <w:tcPr>
            <w:tcW w:w="364"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JO</w:t>
            </w:r>
          </w:p>
        </w:tc>
        <w:tc>
          <w:tcPr>
            <w:tcW w:w="938"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MOR/PNC</w:t>
            </w:r>
          </w:p>
        </w:tc>
        <w:tc>
          <w:tcPr>
            <w:tcW w:w="364"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rPr>
              <w:t>PS</w:t>
            </w:r>
          </w:p>
        </w:tc>
        <w:tc>
          <w:tcPr>
            <w:tcW w:w="440"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Total</w:t>
            </w:r>
          </w:p>
        </w:tc>
        <w:tc>
          <w:tcPr>
            <w:tcW w:w="282"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JO</w:t>
            </w:r>
          </w:p>
        </w:tc>
        <w:tc>
          <w:tcPr>
            <w:tcW w:w="856" w:type="pct"/>
            <w:tcBorders>
              <w:top w:val="nil"/>
              <w:left w:val="nil"/>
              <w:bottom w:val="single" w:sz="8" w:space="0" w:color="auto"/>
              <w:right w:val="nil"/>
            </w:tcBorders>
            <w:shd w:val="clear" w:color="auto" w:fill="auto"/>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MOR/PNC</w:t>
            </w:r>
          </w:p>
        </w:tc>
        <w:tc>
          <w:tcPr>
            <w:tcW w:w="282"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rPr>
              <w:t>PS</w:t>
            </w:r>
          </w:p>
        </w:tc>
        <w:tc>
          <w:tcPr>
            <w:tcW w:w="856" w:type="pct"/>
            <w:tcBorders>
              <w:top w:val="nil"/>
              <w:left w:val="nil"/>
              <w:bottom w:val="single" w:sz="8" w:space="0" w:color="auto"/>
              <w:right w:val="single" w:sz="8" w:space="0" w:color="auto"/>
            </w:tcBorders>
            <w:shd w:val="clear" w:color="auto" w:fill="auto"/>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Total</w:t>
            </w:r>
          </w:p>
        </w:tc>
      </w:tr>
      <w:tr w:rsidR="00631CC3" w:rsidRPr="00631CC3" w:rsidTr="00631CC3">
        <w:trPr>
          <w:trHeight w:val="300"/>
        </w:trPr>
        <w:tc>
          <w:tcPr>
            <w:tcW w:w="622" w:type="pct"/>
            <w:tcBorders>
              <w:top w:val="nil"/>
              <w:left w:val="single" w:sz="8" w:space="0" w:color="auto"/>
              <w:bottom w:val="nil"/>
              <w:right w:val="nil"/>
            </w:tcBorders>
            <w:shd w:val="clear" w:color="auto" w:fill="auto"/>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lang w:eastAsia="es-ES"/>
              </w:rPr>
              <w:t>Hombres</w:t>
            </w:r>
          </w:p>
        </w:tc>
        <w:tc>
          <w:tcPr>
            <w:tcW w:w="364" w:type="pct"/>
            <w:tcBorders>
              <w:top w:val="nil"/>
              <w:left w:val="nil"/>
              <w:bottom w:val="nil"/>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lang w:val="en-US"/>
              </w:rPr>
              <w:t>16.1</w:t>
            </w:r>
          </w:p>
        </w:tc>
        <w:tc>
          <w:tcPr>
            <w:tcW w:w="938" w:type="pct"/>
            <w:tcBorders>
              <w:top w:val="nil"/>
              <w:left w:val="nil"/>
              <w:bottom w:val="nil"/>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lang w:val="en-US"/>
              </w:rPr>
              <w:t>14.9</w:t>
            </w:r>
          </w:p>
        </w:tc>
        <w:tc>
          <w:tcPr>
            <w:tcW w:w="364" w:type="pct"/>
            <w:tcBorders>
              <w:top w:val="nil"/>
              <w:left w:val="nil"/>
              <w:bottom w:val="nil"/>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lang w:val="en-US"/>
              </w:rPr>
              <w:t>14.3</w:t>
            </w:r>
          </w:p>
        </w:tc>
        <w:tc>
          <w:tcPr>
            <w:tcW w:w="440" w:type="pct"/>
            <w:tcBorders>
              <w:top w:val="nil"/>
              <w:left w:val="nil"/>
              <w:bottom w:val="nil"/>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lang w:val="en-US"/>
              </w:rPr>
              <w:t>15.5</w:t>
            </w:r>
          </w:p>
        </w:tc>
        <w:tc>
          <w:tcPr>
            <w:tcW w:w="282" w:type="pct"/>
            <w:tcBorders>
              <w:top w:val="nil"/>
              <w:left w:val="nil"/>
              <w:bottom w:val="nil"/>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lang w:val="en-US"/>
              </w:rPr>
              <w:t>7.8</w:t>
            </w:r>
          </w:p>
        </w:tc>
        <w:tc>
          <w:tcPr>
            <w:tcW w:w="856" w:type="pct"/>
            <w:tcBorders>
              <w:top w:val="nil"/>
              <w:left w:val="nil"/>
              <w:bottom w:val="nil"/>
              <w:right w:val="nil"/>
            </w:tcBorders>
            <w:shd w:val="clear" w:color="auto" w:fill="auto"/>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lang w:val="en-US"/>
              </w:rPr>
              <w:t>7.9</w:t>
            </w:r>
          </w:p>
        </w:tc>
        <w:tc>
          <w:tcPr>
            <w:tcW w:w="282" w:type="pct"/>
            <w:tcBorders>
              <w:top w:val="nil"/>
              <w:left w:val="nil"/>
              <w:bottom w:val="nil"/>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lang w:val="en-US"/>
              </w:rPr>
              <w:t>8.0</w:t>
            </w:r>
          </w:p>
        </w:tc>
        <w:tc>
          <w:tcPr>
            <w:tcW w:w="856" w:type="pct"/>
            <w:tcBorders>
              <w:top w:val="nil"/>
              <w:left w:val="nil"/>
              <w:bottom w:val="nil"/>
              <w:right w:val="single" w:sz="8" w:space="0" w:color="auto"/>
            </w:tcBorders>
            <w:shd w:val="clear" w:color="auto" w:fill="auto"/>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lang w:val="en-US"/>
              </w:rPr>
              <w:t>7.9</w:t>
            </w:r>
          </w:p>
        </w:tc>
      </w:tr>
      <w:tr w:rsidR="00631CC3" w:rsidRPr="00631CC3" w:rsidTr="00631CC3">
        <w:trPr>
          <w:trHeight w:val="315"/>
        </w:trPr>
        <w:tc>
          <w:tcPr>
            <w:tcW w:w="622" w:type="pct"/>
            <w:tcBorders>
              <w:top w:val="nil"/>
              <w:left w:val="single" w:sz="8" w:space="0" w:color="auto"/>
              <w:bottom w:val="single" w:sz="8" w:space="0" w:color="auto"/>
              <w:right w:val="nil"/>
            </w:tcBorders>
            <w:shd w:val="clear" w:color="auto" w:fill="auto"/>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lang w:eastAsia="es-ES"/>
              </w:rPr>
              <w:t>Mujeres</w:t>
            </w:r>
          </w:p>
        </w:tc>
        <w:tc>
          <w:tcPr>
            <w:tcW w:w="364"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20.2</w:t>
            </w:r>
          </w:p>
        </w:tc>
        <w:tc>
          <w:tcPr>
            <w:tcW w:w="938"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19.1</w:t>
            </w:r>
          </w:p>
        </w:tc>
        <w:tc>
          <w:tcPr>
            <w:tcW w:w="364"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rPr>
              <w:t>18.8</w:t>
            </w:r>
          </w:p>
        </w:tc>
        <w:tc>
          <w:tcPr>
            <w:tcW w:w="440"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19.2</w:t>
            </w:r>
          </w:p>
        </w:tc>
        <w:tc>
          <w:tcPr>
            <w:tcW w:w="282"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7.4</w:t>
            </w:r>
          </w:p>
        </w:tc>
        <w:tc>
          <w:tcPr>
            <w:tcW w:w="856" w:type="pct"/>
            <w:tcBorders>
              <w:top w:val="nil"/>
              <w:left w:val="nil"/>
              <w:bottom w:val="single" w:sz="8" w:space="0" w:color="auto"/>
              <w:right w:val="nil"/>
            </w:tcBorders>
            <w:shd w:val="clear" w:color="auto" w:fill="auto"/>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7.6</w:t>
            </w:r>
          </w:p>
        </w:tc>
        <w:tc>
          <w:tcPr>
            <w:tcW w:w="282" w:type="pct"/>
            <w:tcBorders>
              <w:top w:val="nil"/>
              <w:left w:val="nil"/>
              <w:bottom w:val="single" w:sz="8" w:space="0" w:color="auto"/>
              <w:right w:val="nil"/>
            </w:tcBorders>
            <w:shd w:val="clear" w:color="auto" w:fill="auto"/>
            <w:noWrap/>
            <w:vAlign w:val="center"/>
            <w:hideMark/>
          </w:tcPr>
          <w:p w:rsidR="00631CC3" w:rsidRPr="00631CC3" w:rsidRDefault="00631CC3" w:rsidP="00631CC3">
            <w:pPr>
              <w:spacing w:after="0"/>
              <w:jc w:val="center"/>
              <w:rPr>
                <w:rFonts w:ascii="Times New Roman" w:hAnsi="Times New Roman"/>
                <w:b/>
                <w:bCs/>
                <w:color w:val="000000"/>
                <w:lang w:val="en-US"/>
              </w:rPr>
            </w:pPr>
            <w:r w:rsidRPr="00631CC3">
              <w:rPr>
                <w:rFonts w:ascii="Times New Roman" w:hAnsi="Times New Roman"/>
                <w:b/>
                <w:bCs/>
                <w:color w:val="000000"/>
              </w:rPr>
              <w:t>7.7</w:t>
            </w:r>
          </w:p>
        </w:tc>
        <w:tc>
          <w:tcPr>
            <w:tcW w:w="856" w:type="pct"/>
            <w:tcBorders>
              <w:top w:val="nil"/>
              <w:left w:val="nil"/>
              <w:bottom w:val="single" w:sz="8" w:space="0" w:color="auto"/>
              <w:right w:val="single" w:sz="8" w:space="0" w:color="auto"/>
            </w:tcBorders>
            <w:shd w:val="clear" w:color="auto" w:fill="auto"/>
            <w:vAlign w:val="center"/>
            <w:hideMark/>
          </w:tcPr>
          <w:p w:rsidR="00631CC3" w:rsidRPr="00631CC3" w:rsidRDefault="00631CC3" w:rsidP="00631CC3">
            <w:pPr>
              <w:spacing w:after="0"/>
              <w:jc w:val="center"/>
              <w:rPr>
                <w:rFonts w:ascii="Times New Roman" w:hAnsi="Times New Roman"/>
                <w:color w:val="000000"/>
                <w:lang w:val="en-US"/>
              </w:rPr>
            </w:pPr>
            <w:r w:rsidRPr="00631CC3">
              <w:rPr>
                <w:rFonts w:ascii="Times New Roman" w:hAnsi="Times New Roman"/>
                <w:color w:val="000000"/>
              </w:rPr>
              <w:t>7.6</w:t>
            </w:r>
          </w:p>
        </w:tc>
      </w:tr>
    </w:tbl>
    <w:p w:rsidR="00631CC3" w:rsidRPr="00F25F77" w:rsidRDefault="00631CC3" w:rsidP="00631CC3">
      <w:pPr>
        <w:spacing w:line="360" w:lineRule="auto"/>
        <w:rPr>
          <w:rFonts w:ascii="Times New Roman" w:hAnsi="Times New Roman"/>
          <w:sz w:val="20"/>
          <w:szCs w:val="20"/>
        </w:rPr>
      </w:pPr>
      <w:r w:rsidRPr="00F25F77">
        <w:rPr>
          <w:rFonts w:ascii="Times New Roman" w:hAnsi="Times New Roman"/>
          <w:sz w:val="20"/>
          <w:szCs w:val="20"/>
          <w:u w:val="single"/>
        </w:rPr>
        <w:t>Fuente</w:t>
      </w:r>
      <w:r w:rsidRPr="00F25F77">
        <w:rPr>
          <w:rFonts w:ascii="Times New Roman" w:hAnsi="Times New Roman"/>
          <w:sz w:val="20"/>
          <w:szCs w:val="20"/>
        </w:rPr>
        <w:t>: Ela</w:t>
      </w:r>
      <w:r>
        <w:rPr>
          <w:rFonts w:ascii="Times New Roman" w:hAnsi="Times New Roman"/>
          <w:sz w:val="20"/>
          <w:szCs w:val="20"/>
        </w:rPr>
        <w:t>boración propia en base a ANSES</w:t>
      </w:r>
      <w:r w:rsidRPr="00F25F77">
        <w:rPr>
          <w:rFonts w:ascii="Times New Roman" w:hAnsi="Times New Roman"/>
          <w:sz w:val="20"/>
          <w:szCs w:val="20"/>
        </w:rPr>
        <w:t>.</w:t>
      </w:r>
    </w:p>
    <w:p w:rsidR="00766406" w:rsidRDefault="00766406" w:rsidP="00631CC3">
      <w:pPr>
        <w:spacing w:line="360" w:lineRule="auto"/>
        <w:rPr>
          <w:rFonts w:ascii="Times New Roman" w:hAnsi="Times New Roman"/>
          <w:b/>
          <w:sz w:val="24"/>
          <w:szCs w:val="24"/>
          <w:u w:val="single"/>
        </w:rPr>
      </w:pPr>
    </w:p>
    <w:p w:rsidR="003F15FF" w:rsidRPr="003F15FF" w:rsidRDefault="003F15FF" w:rsidP="003F15FF">
      <w:pPr>
        <w:spacing w:line="360" w:lineRule="auto"/>
        <w:rPr>
          <w:rFonts w:ascii="Times New Roman" w:hAnsi="Times New Roman"/>
          <w:b/>
          <w:sz w:val="24"/>
          <w:szCs w:val="24"/>
          <w:u w:val="single"/>
        </w:rPr>
      </w:pPr>
      <w:r w:rsidRPr="003F15FF">
        <w:rPr>
          <w:rFonts w:ascii="Times New Roman" w:hAnsi="Times New Roman"/>
          <w:b/>
          <w:sz w:val="24"/>
          <w:szCs w:val="24"/>
          <w:u w:val="single"/>
        </w:rPr>
        <w:t>Discusión:</w:t>
      </w:r>
    </w:p>
    <w:p w:rsidR="00764B4A" w:rsidRDefault="00764B4A" w:rsidP="008501B1">
      <w:pPr>
        <w:spacing w:line="360" w:lineRule="auto"/>
        <w:ind w:firstLine="708"/>
        <w:rPr>
          <w:rFonts w:ascii="Times New Roman" w:hAnsi="Times New Roman"/>
          <w:sz w:val="24"/>
          <w:szCs w:val="24"/>
        </w:rPr>
      </w:pPr>
    </w:p>
    <w:p w:rsidR="00766406" w:rsidRPr="00CC13B2" w:rsidRDefault="003F15FF" w:rsidP="00766406">
      <w:pPr>
        <w:spacing w:line="360" w:lineRule="auto"/>
        <w:ind w:firstLine="708"/>
        <w:rPr>
          <w:rFonts w:ascii="Times New Roman" w:hAnsi="Times New Roman"/>
          <w:sz w:val="24"/>
          <w:szCs w:val="24"/>
        </w:rPr>
      </w:pPr>
      <w:r>
        <w:rPr>
          <w:rFonts w:ascii="Times New Roman" w:hAnsi="Times New Roman"/>
          <w:sz w:val="24"/>
          <w:szCs w:val="24"/>
        </w:rPr>
        <w:t>Este trabajo</w:t>
      </w:r>
      <w:r w:rsidR="00764B4A">
        <w:rPr>
          <w:rFonts w:ascii="Times New Roman" w:hAnsi="Times New Roman"/>
          <w:sz w:val="24"/>
          <w:szCs w:val="24"/>
        </w:rPr>
        <w:t xml:space="preserve"> se propuso identificar el riesgo diferencial que presentan las personas que han perdido a su cónyuge a nivel nacional. Mediante técnicas de descomposición de los </w:t>
      </w:r>
      <w:r w:rsidR="001404A8">
        <w:rPr>
          <w:rFonts w:ascii="Times New Roman" w:hAnsi="Times New Roman"/>
          <w:sz w:val="24"/>
          <w:szCs w:val="24"/>
        </w:rPr>
        <w:t xml:space="preserve">distintos </w:t>
      </w:r>
      <w:r w:rsidR="00764B4A">
        <w:rPr>
          <w:rFonts w:ascii="Times New Roman" w:hAnsi="Times New Roman"/>
          <w:sz w:val="24"/>
          <w:szCs w:val="24"/>
        </w:rPr>
        <w:t xml:space="preserve">efectos de edad, se han podido ilustrar algunas medida de riesgo diferencial de esta subpoblación (que </w:t>
      </w:r>
      <w:r w:rsidR="001404A8">
        <w:rPr>
          <w:rFonts w:ascii="Times New Roman" w:hAnsi="Times New Roman"/>
          <w:sz w:val="24"/>
          <w:szCs w:val="24"/>
        </w:rPr>
        <w:t>representa el 25% del total de adultos mayores de Argentina).</w:t>
      </w:r>
      <w:r w:rsidR="00766406">
        <w:rPr>
          <w:rFonts w:ascii="Times New Roman" w:hAnsi="Times New Roman"/>
          <w:sz w:val="24"/>
          <w:szCs w:val="24"/>
        </w:rPr>
        <w:t xml:space="preserve"> Los hallazgos obtenidos son robustos, gracias a disponer de registros que se asemejan y miden</w:t>
      </w:r>
      <w:r w:rsidR="008C1EEC">
        <w:rPr>
          <w:rFonts w:ascii="Times New Roman" w:hAnsi="Times New Roman"/>
          <w:sz w:val="24"/>
          <w:szCs w:val="24"/>
        </w:rPr>
        <w:t xml:space="preserve"> adecuadamente</w:t>
      </w:r>
      <w:r w:rsidR="00766406">
        <w:rPr>
          <w:rFonts w:ascii="Times New Roman" w:hAnsi="Times New Roman"/>
          <w:sz w:val="24"/>
          <w:szCs w:val="24"/>
        </w:rPr>
        <w:t xml:space="preserve"> la mortalidad</w:t>
      </w:r>
      <w:r w:rsidR="008C1EEC">
        <w:rPr>
          <w:rFonts w:ascii="Times New Roman" w:hAnsi="Times New Roman"/>
          <w:sz w:val="24"/>
          <w:szCs w:val="24"/>
        </w:rPr>
        <w:t xml:space="preserve"> de este grupo en particular</w:t>
      </w:r>
      <w:r w:rsidR="00766406">
        <w:rPr>
          <w:rFonts w:ascii="Times New Roman" w:hAnsi="Times New Roman"/>
          <w:sz w:val="24"/>
          <w:szCs w:val="24"/>
        </w:rPr>
        <w:t xml:space="preserve"> para el total nacional</w:t>
      </w:r>
      <w:r w:rsidR="008C1EEC">
        <w:rPr>
          <w:rFonts w:ascii="Times New Roman" w:hAnsi="Times New Roman"/>
          <w:sz w:val="24"/>
          <w:szCs w:val="24"/>
        </w:rPr>
        <w:t xml:space="preserve"> (</w:t>
      </w:r>
      <w:r w:rsidR="00531CBA">
        <w:rPr>
          <w:rFonts w:ascii="Times New Roman" w:hAnsi="Times New Roman"/>
          <w:sz w:val="24"/>
          <w:szCs w:val="24"/>
        </w:rPr>
        <w:t>2</w:t>
      </w:r>
      <w:r w:rsidR="0090191A">
        <w:rPr>
          <w:rFonts w:ascii="Times New Roman" w:hAnsi="Times New Roman"/>
          <w:sz w:val="24"/>
          <w:szCs w:val="24"/>
        </w:rPr>
        <w:t>3</w:t>
      </w:r>
      <w:r w:rsidR="008C1EEC">
        <w:rPr>
          <w:rFonts w:ascii="Times New Roman" w:hAnsi="Times New Roman"/>
          <w:sz w:val="24"/>
          <w:szCs w:val="24"/>
        </w:rPr>
        <w:t>)</w:t>
      </w:r>
      <w:r w:rsidR="00766406">
        <w:rPr>
          <w:rFonts w:ascii="Times New Roman" w:hAnsi="Times New Roman"/>
          <w:sz w:val="24"/>
          <w:szCs w:val="24"/>
        </w:rPr>
        <w:t>. Los resultados presentados en este estudio son relevantes tanto en términos de salud pública como en sistemas de pensiones. En términos de salud pública, porque permitió visualizar un factor de riesgo adicional en los adultos mayores y, pese a ciertas imperfecciones, medirlo adecuadamente por primera vez a nivel nacional</w:t>
      </w:r>
      <w:r w:rsidR="0090191A">
        <w:rPr>
          <w:rFonts w:ascii="Times New Roman" w:hAnsi="Times New Roman"/>
          <w:sz w:val="24"/>
          <w:szCs w:val="24"/>
        </w:rPr>
        <w:t xml:space="preserve"> de diversas maneras (tanto en términos de tasa como en </w:t>
      </w:r>
      <w:r w:rsidR="0090191A">
        <w:rPr>
          <w:rFonts w:ascii="Times New Roman" w:hAnsi="Times New Roman"/>
          <w:sz w:val="24"/>
          <w:szCs w:val="24"/>
        </w:rPr>
        <w:lastRenderedPageBreak/>
        <w:t>tiempo vivido en años)</w:t>
      </w:r>
      <w:r w:rsidR="00766406">
        <w:rPr>
          <w:rFonts w:ascii="Times New Roman" w:hAnsi="Times New Roman"/>
          <w:sz w:val="24"/>
          <w:szCs w:val="24"/>
        </w:rPr>
        <w:t>. Además, en un contexto global particular en que una enfermedad afecta principalmente a los adultos mayores, quienes pertenecen a este grupo presentan un factor de vulnerabilidad adicional.  En términos de seguridad social, este trabajo también contribuye para pensar políticas de cuidado, acompañamiento y mitigación de estos riesgos diferenciales. Y por otra part</w:t>
      </w:r>
      <w:r w:rsidR="0090191A">
        <w:rPr>
          <w:rFonts w:ascii="Times New Roman" w:hAnsi="Times New Roman"/>
          <w:sz w:val="24"/>
          <w:szCs w:val="24"/>
        </w:rPr>
        <w:t>e, asume que percibir ingresos más altos en términos relativos</w:t>
      </w:r>
      <w:r w:rsidR="00766406">
        <w:rPr>
          <w:rFonts w:ascii="Times New Roman" w:hAnsi="Times New Roman"/>
          <w:sz w:val="24"/>
          <w:szCs w:val="24"/>
        </w:rPr>
        <w:t xml:space="preserve"> no necesariamente representa una ventaja  en términos de salud (ya que su mortalidad es también más alta en comparación a aquellos individuos que perciben beneficios no contributivos).</w:t>
      </w:r>
    </w:p>
    <w:p w:rsidR="00764B4A" w:rsidRPr="00766406" w:rsidRDefault="00764B4A" w:rsidP="008501B1">
      <w:pPr>
        <w:spacing w:line="360" w:lineRule="auto"/>
        <w:ind w:firstLine="708"/>
        <w:rPr>
          <w:rFonts w:ascii="Times New Roman" w:hAnsi="Times New Roman"/>
          <w:sz w:val="24"/>
          <w:szCs w:val="24"/>
          <w:lang w:val="es-AR"/>
        </w:rPr>
      </w:pPr>
    </w:p>
    <w:p w:rsidR="00766406" w:rsidRPr="00766406" w:rsidRDefault="00766406" w:rsidP="00766406">
      <w:pPr>
        <w:spacing w:line="360" w:lineRule="auto"/>
        <w:rPr>
          <w:rFonts w:ascii="Times New Roman" w:hAnsi="Times New Roman"/>
          <w:sz w:val="24"/>
          <w:szCs w:val="24"/>
          <w:u w:val="single"/>
        </w:rPr>
      </w:pPr>
      <w:r w:rsidRPr="00766406">
        <w:rPr>
          <w:rFonts w:ascii="Times New Roman" w:hAnsi="Times New Roman"/>
          <w:sz w:val="24"/>
          <w:szCs w:val="24"/>
          <w:u w:val="single"/>
        </w:rPr>
        <w:t>Limitaciones:</w:t>
      </w:r>
    </w:p>
    <w:p w:rsidR="001404A8" w:rsidRDefault="001404A8" w:rsidP="001404A8">
      <w:pPr>
        <w:spacing w:line="360" w:lineRule="auto"/>
        <w:ind w:firstLine="708"/>
        <w:rPr>
          <w:rFonts w:ascii="Times New Roman" w:hAnsi="Times New Roman"/>
          <w:sz w:val="24"/>
          <w:szCs w:val="24"/>
          <w:lang w:val="es-AR"/>
        </w:rPr>
      </w:pPr>
      <w:r>
        <w:rPr>
          <w:rFonts w:ascii="Times New Roman" w:hAnsi="Times New Roman"/>
          <w:sz w:val="24"/>
          <w:szCs w:val="24"/>
          <w:lang w:val="es-AR"/>
        </w:rPr>
        <w:t xml:space="preserve">Sin embargo, lamentablemente no podemos asumir que estos diferenciales en la mortalidad se deban enteramente a la viudez y no a otros aspectos específicos de esta subpoblación que exceden las capacidades de este estudio (quizás la falta de otras redes sociales de contención o familiares, debido a su mayor edad promedio). Sin embargo, estudios futuros en medida de lo posible deberían considerar estos factores, así como incorporar la mortalidad por causas al análisis. También es posible considerar a la dimensión de la duración de la viudez como determinante: tiempos más cortos del suceso de la viudez pueden encontrarse relacionados </w:t>
      </w:r>
      <w:r w:rsidR="002726C1">
        <w:rPr>
          <w:rFonts w:ascii="Times New Roman" w:hAnsi="Times New Roman"/>
          <w:sz w:val="24"/>
          <w:szCs w:val="24"/>
          <w:lang w:val="es-AR"/>
        </w:rPr>
        <w:t>con mayores riesgos de muerte (</w:t>
      </w:r>
      <w:r w:rsidR="00531CBA">
        <w:rPr>
          <w:rFonts w:ascii="Times New Roman" w:hAnsi="Times New Roman"/>
          <w:sz w:val="24"/>
          <w:szCs w:val="24"/>
          <w:lang w:val="es-AR"/>
        </w:rPr>
        <w:t>10</w:t>
      </w:r>
      <w:r>
        <w:rPr>
          <w:rFonts w:ascii="Times New Roman" w:hAnsi="Times New Roman"/>
          <w:sz w:val="24"/>
          <w:szCs w:val="24"/>
          <w:lang w:val="es-AR"/>
        </w:rPr>
        <w:t>)</w:t>
      </w:r>
      <w:r w:rsidR="00631CC3">
        <w:rPr>
          <w:rFonts w:ascii="Times New Roman" w:hAnsi="Times New Roman"/>
          <w:sz w:val="24"/>
          <w:szCs w:val="24"/>
          <w:lang w:val="es-AR"/>
        </w:rPr>
        <w:t>, algo que no es posible distinguir en las estimaciones, desafortunadamente</w:t>
      </w:r>
      <w:r>
        <w:rPr>
          <w:rFonts w:ascii="Times New Roman" w:hAnsi="Times New Roman"/>
          <w:sz w:val="24"/>
          <w:szCs w:val="24"/>
          <w:lang w:val="es-AR"/>
        </w:rPr>
        <w:t xml:space="preserve">. </w:t>
      </w:r>
    </w:p>
    <w:p w:rsidR="00766406" w:rsidRPr="008501B1" w:rsidRDefault="00766406" w:rsidP="001404A8">
      <w:pPr>
        <w:spacing w:line="360" w:lineRule="auto"/>
        <w:ind w:firstLine="708"/>
        <w:rPr>
          <w:rFonts w:ascii="Times New Roman" w:hAnsi="Times New Roman"/>
          <w:sz w:val="24"/>
          <w:szCs w:val="24"/>
          <w:lang w:val="es-AR"/>
        </w:rPr>
      </w:pPr>
    </w:p>
    <w:p w:rsidR="00766406" w:rsidRPr="00766406" w:rsidRDefault="00766406" w:rsidP="00766406">
      <w:pPr>
        <w:spacing w:line="360" w:lineRule="auto"/>
        <w:rPr>
          <w:rFonts w:ascii="Times New Roman" w:hAnsi="Times New Roman"/>
          <w:sz w:val="24"/>
          <w:szCs w:val="24"/>
          <w:u w:val="single"/>
        </w:rPr>
      </w:pPr>
      <w:r>
        <w:rPr>
          <w:rFonts w:ascii="Times New Roman" w:hAnsi="Times New Roman"/>
          <w:sz w:val="24"/>
          <w:szCs w:val="24"/>
          <w:u w:val="single"/>
        </w:rPr>
        <w:t>Conclusión</w:t>
      </w:r>
      <w:r w:rsidRPr="00766406">
        <w:rPr>
          <w:rFonts w:ascii="Times New Roman" w:hAnsi="Times New Roman"/>
          <w:sz w:val="24"/>
          <w:szCs w:val="24"/>
          <w:u w:val="single"/>
        </w:rPr>
        <w:t>:</w:t>
      </w:r>
    </w:p>
    <w:p w:rsidR="00346E72" w:rsidRDefault="00766406" w:rsidP="00241C39">
      <w:pPr>
        <w:spacing w:line="360" w:lineRule="auto"/>
        <w:rPr>
          <w:rFonts w:ascii="Times New Roman" w:hAnsi="Times New Roman"/>
          <w:sz w:val="24"/>
          <w:szCs w:val="24"/>
          <w:lang w:val="es-AR"/>
        </w:rPr>
      </w:pPr>
      <w:r>
        <w:rPr>
          <w:rFonts w:ascii="Times New Roman" w:hAnsi="Times New Roman"/>
          <w:sz w:val="24"/>
          <w:szCs w:val="24"/>
          <w:lang w:val="es-AR"/>
        </w:rPr>
        <w:tab/>
        <w:t>En Argentina los adultos mayores que han perdido a su cónyuge y perciben una prestación por viudez presentaron un riesgo relativo de muerte más alto</w:t>
      </w:r>
      <w:r w:rsidR="0090191A">
        <w:rPr>
          <w:rFonts w:ascii="Times New Roman" w:hAnsi="Times New Roman"/>
          <w:sz w:val="24"/>
          <w:szCs w:val="24"/>
          <w:lang w:val="es-AR"/>
        </w:rPr>
        <w:t>, una menor esperanza de vida y una mayor incertidumbre en el tiempo vivido</w:t>
      </w:r>
      <w:r>
        <w:rPr>
          <w:rFonts w:ascii="Times New Roman" w:hAnsi="Times New Roman"/>
          <w:sz w:val="24"/>
          <w:szCs w:val="24"/>
          <w:lang w:val="es-AR"/>
        </w:rPr>
        <w:t xml:space="preserve"> en comparación a quienes no. Estas brechas de riesgo se intensifican para los hombres, y se reducen para las mujeres. </w:t>
      </w:r>
    </w:p>
    <w:p w:rsidR="00766406" w:rsidRPr="001404A8" w:rsidRDefault="00766406" w:rsidP="00241C39">
      <w:pPr>
        <w:spacing w:line="360" w:lineRule="auto"/>
        <w:rPr>
          <w:rFonts w:ascii="Times New Roman" w:hAnsi="Times New Roman"/>
          <w:sz w:val="24"/>
          <w:szCs w:val="24"/>
          <w:lang w:val="es-AR"/>
        </w:rPr>
      </w:pPr>
    </w:p>
    <w:p w:rsidR="00346E72" w:rsidRPr="001404A8" w:rsidRDefault="00346E72" w:rsidP="00241C39">
      <w:pPr>
        <w:spacing w:line="360" w:lineRule="auto"/>
        <w:rPr>
          <w:rFonts w:ascii="Times New Roman" w:hAnsi="Times New Roman"/>
          <w:sz w:val="24"/>
          <w:szCs w:val="24"/>
          <w:lang w:val="es-AR"/>
        </w:rPr>
      </w:pPr>
    </w:p>
    <w:p w:rsidR="00194438" w:rsidRPr="000226F8" w:rsidRDefault="00194438" w:rsidP="00194438">
      <w:pPr>
        <w:pStyle w:val="Prrafodelista"/>
        <w:spacing w:line="360" w:lineRule="auto"/>
        <w:rPr>
          <w:rFonts w:ascii="Times New Roman" w:hAnsi="Times New Roman"/>
          <w:b/>
          <w:sz w:val="24"/>
          <w:szCs w:val="24"/>
          <w:u w:val="single"/>
        </w:rPr>
      </w:pPr>
    </w:p>
    <w:p w:rsidR="001F4D99" w:rsidRDefault="001F4D99" w:rsidP="00216CF6">
      <w:pPr>
        <w:spacing w:line="360" w:lineRule="auto"/>
        <w:ind w:firstLine="708"/>
      </w:pPr>
      <w:r>
        <w:br w:type="page"/>
      </w:r>
    </w:p>
    <w:p w:rsidR="000226F8" w:rsidRPr="000226F8" w:rsidRDefault="000226F8" w:rsidP="00531CBA">
      <w:pPr>
        <w:pStyle w:val="Prrafodelista"/>
        <w:spacing w:line="360" w:lineRule="auto"/>
        <w:rPr>
          <w:rFonts w:ascii="Times New Roman" w:hAnsi="Times New Roman"/>
          <w:b/>
          <w:sz w:val="24"/>
          <w:szCs w:val="24"/>
          <w:u w:val="single"/>
        </w:rPr>
      </w:pPr>
      <w:r w:rsidRPr="000226F8">
        <w:rPr>
          <w:rFonts w:ascii="Times New Roman" w:hAnsi="Times New Roman"/>
          <w:b/>
          <w:sz w:val="24"/>
          <w:szCs w:val="24"/>
          <w:u w:val="single"/>
        </w:rPr>
        <w:lastRenderedPageBreak/>
        <w:t>Referencias bibliográficas consultadas:</w:t>
      </w:r>
    </w:p>
    <w:p w:rsidR="003E636F" w:rsidRPr="002726C1" w:rsidRDefault="003E636F">
      <w:pPr>
        <w:rPr>
          <w:rFonts w:ascii="Times New Roman" w:hAnsi="Times New Roman"/>
          <w:lang w:val="en-US"/>
        </w:rPr>
      </w:pPr>
    </w:p>
    <w:p w:rsidR="00531CBA" w:rsidRPr="0090191A" w:rsidRDefault="0090191A" w:rsidP="0090191A">
      <w:pPr>
        <w:pStyle w:val="Prrafodelista"/>
        <w:numPr>
          <w:ilvl w:val="0"/>
          <w:numId w:val="7"/>
        </w:numPr>
        <w:shd w:val="clear" w:color="auto" w:fill="FFFFFF"/>
        <w:spacing w:after="0"/>
        <w:jc w:val="left"/>
        <w:rPr>
          <w:rFonts w:ascii="Times New Roman" w:hAnsi="Times New Roman"/>
          <w:lang w:val="en-US"/>
        </w:rPr>
      </w:pPr>
      <w:r w:rsidRPr="0090191A">
        <w:rPr>
          <w:rFonts w:ascii="Times New Roman" w:hAnsi="Times New Roman"/>
          <w:lang w:val="en-US"/>
        </w:rPr>
        <w:t>Cutler D</w:t>
      </w:r>
      <w:r w:rsidR="00531CBA" w:rsidRPr="0090191A">
        <w:rPr>
          <w:rFonts w:ascii="Times New Roman" w:hAnsi="Times New Roman"/>
          <w:lang w:val="en-US"/>
        </w:rPr>
        <w:t>, Deat</w:t>
      </w:r>
      <w:r w:rsidRPr="0090191A">
        <w:rPr>
          <w:rFonts w:ascii="Times New Roman" w:hAnsi="Times New Roman"/>
          <w:lang w:val="en-US"/>
        </w:rPr>
        <w:t>on A, Lleras-Mulney, A.</w:t>
      </w:r>
      <w:r w:rsidR="00531CBA" w:rsidRPr="0090191A">
        <w:rPr>
          <w:rFonts w:ascii="Times New Roman" w:hAnsi="Times New Roman"/>
          <w:lang w:val="en-US"/>
        </w:rPr>
        <w:t xml:space="preserve"> The determinants of mortality. Journal of Economic Perspectives,</w:t>
      </w:r>
      <w:r w:rsidRPr="0090191A">
        <w:rPr>
          <w:rFonts w:ascii="Times New Roman" w:hAnsi="Times New Roman"/>
          <w:lang w:val="en-US"/>
        </w:rPr>
        <w:t xml:space="preserve"> 2006,</w:t>
      </w:r>
      <w:r w:rsidR="00531CBA" w:rsidRPr="0090191A">
        <w:rPr>
          <w:rFonts w:ascii="Times New Roman" w:hAnsi="Times New Roman"/>
          <w:lang w:val="en-US"/>
        </w:rPr>
        <w:t xml:space="preserve"> 20(3), 97-120. </w:t>
      </w:r>
      <w:r w:rsidR="00531CBA" w:rsidRPr="0090191A">
        <w:rPr>
          <w:rFonts w:ascii="Times New Roman" w:hAnsi="Times New Roman"/>
          <w:u w:val="single"/>
          <w:lang w:val="en-US"/>
        </w:rPr>
        <w:t>doi:10.1257/jep.20.3.97</w:t>
      </w:r>
    </w:p>
    <w:p w:rsidR="00A27B24" w:rsidRPr="0090191A" w:rsidRDefault="00531CBA" w:rsidP="0090191A">
      <w:pPr>
        <w:pStyle w:val="Prrafodelista"/>
        <w:numPr>
          <w:ilvl w:val="0"/>
          <w:numId w:val="7"/>
        </w:numPr>
        <w:shd w:val="clear" w:color="auto" w:fill="FFFFFF"/>
        <w:spacing w:before="15" w:after="0"/>
        <w:jc w:val="left"/>
        <w:rPr>
          <w:rFonts w:ascii="Times New Roman" w:hAnsi="Times New Roman"/>
          <w:lang w:val="en-US"/>
        </w:rPr>
      </w:pPr>
      <w:r w:rsidRPr="0090191A">
        <w:rPr>
          <w:rFonts w:ascii="Times New Roman" w:hAnsi="Times New Roman"/>
          <w:lang w:val="en-US"/>
        </w:rPr>
        <w:t>Marmot, M</w:t>
      </w:r>
      <w:r w:rsidR="0090191A" w:rsidRPr="0090191A">
        <w:rPr>
          <w:rFonts w:ascii="Times New Roman" w:hAnsi="Times New Roman"/>
          <w:lang w:val="en-US"/>
        </w:rPr>
        <w:t xml:space="preserve">. </w:t>
      </w:r>
      <w:r w:rsidRPr="0090191A">
        <w:rPr>
          <w:rFonts w:ascii="Times New Roman" w:hAnsi="Times New Roman"/>
          <w:lang w:val="en-GB"/>
        </w:rPr>
        <w:t>Social determinants of health inequalities</w:t>
      </w:r>
      <w:r w:rsidR="0090191A" w:rsidRPr="0090191A">
        <w:rPr>
          <w:rFonts w:ascii="Times New Roman" w:hAnsi="Times New Roman"/>
          <w:lang w:val="en-GB"/>
        </w:rPr>
        <w:t xml:space="preserve">. </w:t>
      </w:r>
      <w:r w:rsidRPr="0090191A">
        <w:rPr>
          <w:rFonts w:ascii="Times New Roman" w:hAnsi="Times New Roman"/>
          <w:lang w:val="en-GB"/>
        </w:rPr>
        <w:t>The Lancet</w:t>
      </w:r>
      <w:r w:rsidR="0090191A" w:rsidRPr="0090191A">
        <w:rPr>
          <w:rFonts w:ascii="Times New Roman" w:hAnsi="Times New Roman"/>
          <w:lang w:val="en-GB"/>
        </w:rPr>
        <w:t>, 2005</w:t>
      </w:r>
      <w:r w:rsidRPr="0090191A">
        <w:rPr>
          <w:rFonts w:ascii="Times New Roman" w:hAnsi="Times New Roman"/>
          <w:lang w:val="en-GB"/>
        </w:rPr>
        <w:t xml:space="preserve"> Nº 365:1099-1104. </w:t>
      </w:r>
      <w:r w:rsidRPr="0090191A">
        <w:rPr>
          <w:rFonts w:ascii="Times New Roman" w:hAnsi="Times New Roman"/>
          <w:u w:val="single"/>
          <w:lang w:val="en-US"/>
        </w:rPr>
        <w:t>doi: 10.1016/S0140-6736(05)71146-6</w:t>
      </w:r>
      <w:r w:rsidRPr="0090191A">
        <w:rPr>
          <w:rFonts w:ascii="Times New Roman" w:hAnsi="Times New Roman"/>
          <w:u w:val="single"/>
          <w:lang w:val="en-GB"/>
        </w:rPr>
        <w:t xml:space="preserve">     </w:t>
      </w:r>
    </w:p>
    <w:p w:rsidR="0041467F" w:rsidRPr="0090191A" w:rsidRDefault="0041467F" w:rsidP="0090191A">
      <w:pPr>
        <w:pStyle w:val="Prrafodelista"/>
        <w:numPr>
          <w:ilvl w:val="0"/>
          <w:numId w:val="7"/>
        </w:numPr>
        <w:jc w:val="left"/>
        <w:rPr>
          <w:rFonts w:ascii="Times New Roman" w:hAnsi="Times New Roman"/>
          <w:lang w:val="en-US"/>
        </w:rPr>
      </w:pPr>
      <w:r w:rsidRPr="0090191A">
        <w:rPr>
          <w:rFonts w:ascii="Times New Roman" w:hAnsi="Times New Roman"/>
          <w:shd w:val="clear" w:color="auto" w:fill="FFFFFF"/>
          <w:lang w:val="en-US"/>
        </w:rPr>
        <w:t>Vaupel JW, Yashin AI</w:t>
      </w:r>
      <w:r w:rsidR="0090191A" w:rsidRPr="0090191A">
        <w:rPr>
          <w:rFonts w:ascii="Times New Roman" w:hAnsi="Times New Roman"/>
          <w:shd w:val="clear" w:color="auto" w:fill="FFFFFF"/>
          <w:lang w:val="en-US"/>
        </w:rPr>
        <w:t xml:space="preserve"> </w:t>
      </w:r>
      <w:r w:rsidRPr="0090191A">
        <w:rPr>
          <w:rFonts w:ascii="Times New Roman" w:hAnsi="Times New Roman"/>
          <w:shd w:val="clear" w:color="auto" w:fill="FFFFFF"/>
          <w:lang w:val="en-US"/>
        </w:rPr>
        <w:t xml:space="preserve"> Heterogeneity's ruses: some surprising effects of selection on population dynamics.</w:t>
      </w:r>
      <w:r w:rsidR="0090191A" w:rsidRPr="0090191A">
        <w:rPr>
          <w:rFonts w:ascii="Times New Roman" w:hAnsi="Times New Roman"/>
          <w:shd w:val="clear" w:color="auto" w:fill="FFFFFF"/>
          <w:lang w:val="en-US"/>
        </w:rPr>
        <w:t xml:space="preserve"> </w:t>
      </w:r>
      <w:r w:rsidR="0090191A" w:rsidRPr="0090191A">
        <w:rPr>
          <w:rFonts w:ascii="Times New Roman" w:hAnsi="Times New Roman"/>
          <w:iCs/>
          <w:shd w:val="clear" w:color="auto" w:fill="FFFFFF"/>
          <w:lang w:val="en-US"/>
        </w:rPr>
        <w:t>Am Stat, 1985</w:t>
      </w:r>
      <w:r w:rsidRPr="0090191A">
        <w:rPr>
          <w:rFonts w:ascii="Times New Roman" w:hAnsi="Times New Roman"/>
          <w:shd w:val="clear" w:color="auto" w:fill="FFFFFF"/>
          <w:lang w:val="en-US"/>
        </w:rPr>
        <w:t>. ;39(3):176-185.</w:t>
      </w:r>
    </w:p>
    <w:p w:rsidR="00531CBA" w:rsidRPr="0090191A" w:rsidRDefault="0090191A" w:rsidP="0090191A">
      <w:pPr>
        <w:pStyle w:val="Prrafodelista"/>
        <w:numPr>
          <w:ilvl w:val="0"/>
          <w:numId w:val="7"/>
        </w:numPr>
        <w:jc w:val="left"/>
        <w:rPr>
          <w:rFonts w:ascii="Times New Roman" w:hAnsi="Times New Roman"/>
          <w:u w:val="single"/>
          <w:lang w:val="en-US"/>
        </w:rPr>
      </w:pPr>
      <w:r w:rsidRPr="0090191A">
        <w:rPr>
          <w:rFonts w:ascii="Times New Roman" w:hAnsi="Times New Roman"/>
          <w:shd w:val="clear" w:color="auto" w:fill="FFFFFF"/>
          <w:lang w:val="en-US"/>
        </w:rPr>
        <w:t>Davies, NG, Klepac P, Liu Y</w:t>
      </w:r>
      <w:r w:rsidR="00531CBA" w:rsidRPr="0090191A">
        <w:rPr>
          <w:rFonts w:ascii="Times New Roman" w:hAnsi="Times New Roman"/>
          <w:shd w:val="clear" w:color="auto" w:fill="FFFFFF"/>
          <w:lang w:val="en-US"/>
        </w:rPr>
        <w:t> </w:t>
      </w:r>
      <w:r w:rsidR="00531CBA" w:rsidRPr="0090191A">
        <w:rPr>
          <w:rFonts w:ascii="Times New Roman" w:hAnsi="Times New Roman"/>
          <w:i/>
          <w:iCs/>
          <w:shd w:val="clear" w:color="auto" w:fill="FFFFFF"/>
          <w:lang w:val="en-US"/>
        </w:rPr>
        <w:t>et al.</w:t>
      </w:r>
      <w:r w:rsidR="00531CBA" w:rsidRPr="0090191A">
        <w:rPr>
          <w:rFonts w:ascii="Times New Roman" w:hAnsi="Times New Roman"/>
          <w:shd w:val="clear" w:color="auto" w:fill="FFFFFF"/>
          <w:lang w:val="en-US"/>
        </w:rPr>
        <w:t> Age-dependent effects in the transmission and control of COVID-19 epidemics. </w:t>
      </w:r>
      <w:r w:rsidR="00531CBA" w:rsidRPr="0090191A">
        <w:rPr>
          <w:rFonts w:ascii="Times New Roman" w:hAnsi="Times New Roman"/>
          <w:i/>
          <w:iCs/>
          <w:shd w:val="clear" w:color="auto" w:fill="FFFFFF"/>
          <w:lang w:val="en-US"/>
        </w:rPr>
        <w:t>Nat Med</w:t>
      </w:r>
      <w:r w:rsidR="00531CBA" w:rsidRPr="0090191A">
        <w:rPr>
          <w:rFonts w:ascii="Times New Roman" w:hAnsi="Times New Roman"/>
          <w:shd w:val="clear" w:color="auto" w:fill="FFFFFF"/>
          <w:lang w:val="en-US"/>
        </w:rPr>
        <w:t xml:space="preserve"> </w:t>
      </w:r>
      <w:r w:rsidRPr="0090191A">
        <w:rPr>
          <w:rFonts w:ascii="Times New Roman" w:hAnsi="Times New Roman"/>
          <w:shd w:val="clear" w:color="auto" w:fill="FFFFFF"/>
          <w:lang w:val="en-US"/>
        </w:rPr>
        <w:t xml:space="preserve"> 2020</w:t>
      </w:r>
      <w:r w:rsidR="00531CBA" w:rsidRPr="0090191A">
        <w:rPr>
          <w:rFonts w:ascii="Times New Roman" w:hAnsi="Times New Roman"/>
          <w:shd w:val="clear" w:color="auto" w:fill="FFFFFF"/>
          <w:lang w:val="en-US"/>
        </w:rPr>
        <w:t xml:space="preserve"> </w:t>
      </w:r>
      <w:r w:rsidR="00531CBA" w:rsidRPr="0090191A">
        <w:rPr>
          <w:rFonts w:ascii="Times New Roman" w:hAnsi="Times New Roman"/>
          <w:u w:val="single"/>
          <w:shd w:val="clear" w:color="auto" w:fill="FFFFFF"/>
          <w:lang w:val="en-US"/>
        </w:rPr>
        <w:t>https://doi.org/10.1038/s41591-020-0962-9</w:t>
      </w:r>
    </w:p>
    <w:p w:rsidR="00A27B24" w:rsidRPr="0090191A" w:rsidRDefault="0090191A" w:rsidP="0090191A">
      <w:pPr>
        <w:pStyle w:val="Prrafodelista"/>
        <w:numPr>
          <w:ilvl w:val="0"/>
          <w:numId w:val="7"/>
        </w:numPr>
        <w:jc w:val="left"/>
        <w:rPr>
          <w:rFonts w:ascii="Times New Roman" w:hAnsi="Times New Roman"/>
          <w:lang w:val="en-US"/>
        </w:rPr>
      </w:pPr>
      <w:r w:rsidRPr="0090191A">
        <w:rPr>
          <w:rFonts w:ascii="Times New Roman" w:hAnsi="Times New Roman"/>
          <w:shd w:val="clear" w:color="auto" w:fill="FFFFFF"/>
          <w:lang w:val="en-US"/>
        </w:rPr>
        <w:t>Kashnitsky I., Aburto JM,</w:t>
      </w:r>
      <w:r w:rsidR="00A27B24" w:rsidRPr="0090191A">
        <w:rPr>
          <w:rFonts w:ascii="Times New Roman" w:hAnsi="Times New Roman"/>
          <w:shd w:val="clear" w:color="auto" w:fill="FFFFFF"/>
          <w:lang w:val="en-US"/>
        </w:rPr>
        <w:t xml:space="preserve"> </w:t>
      </w:r>
      <w:hyperlink r:id="rId14" w:history="1">
        <w:r w:rsidR="00A27B24" w:rsidRPr="0090191A">
          <w:rPr>
            <w:rStyle w:val="Hipervnculo"/>
            <w:rFonts w:ascii="Times New Roman" w:hAnsi="Times New Roman"/>
            <w:bCs/>
            <w:color w:val="auto"/>
            <w:u w:val="none"/>
            <w:lang w:val="en-US"/>
          </w:rPr>
          <w:t>COVID-19 in unequally ageing European regions</w:t>
        </w:r>
      </w:hyperlink>
      <w:r w:rsidR="00A27B24" w:rsidRPr="0090191A">
        <w:rPr>
          <w:rFonts w:ascii="Times New Roman" w:hAnsi="Times New Roman"/>
          <w:shd w:val="clear" w:color="auto" w:fill="FFFFFF"/>
          <w:lang w:val="en-US"/>
        </w:rPr>
        <w:t> </w:t>
      </w:r>
      <w:hyperlink r:id="rId15" w:history="1">
        <w:r w:rsidR="00A27B24" w:rsidRPr="0090191A">
          <w:rPr>
            <w:rStyle w:val="Hipervnculo"/>
            <w:rFonts w:ascii="Times New Roman" w:hAnsi="Times New Roman"/>
            <w:color w:val="auto"/>
            <w:u w:val="none"/>
            <w:lang w:val="en-US"/>
          </w:rPr>
          <w:t>OSF Preprints</w:t>
        </w:r>
      </w:hyperlink>
      <w:r w:rsidRPr="0090191A">
        <w:rPr>
          <w:rFonts w:ascii="Times New Roman" w:hAnsi="Times New Roman"/>
          <w:lang w:val="en-US"/>
        </w:rPr>
        <w:t>, 2020</w:t>
      </w:r>
      <w:r w:rsidR="00A27B24" w:rsidRPr="0090191A">
        <w:rPr>
          <w:rFonts w:ascii="Times New Roman" w:hAnsi="Times New Roman"/>
          <w:shd w:val="clear" w:color="auto" w:fill="FFFFFF"/>
          <w:lang w:val="en-US"/>
        </w:rPr>
        <w:t> abx7s, Center for Open Science.</w:t>
      </w:r>
    </w:p>
    <w:p w:rsidR="00A27B24" w:rsidRPr="0090191A" w:rsidRDefault="0090191A" w:rsidP="0090191A">
      <w:pPr>
        <w:pStyle w:val="Prrafodelista"/>
        <w:numPr>
          <w:ilvl w:val="0"/>
          <w:numId w:val="7"/>
        </w:numPr>
        <w:jc w:val="left"/>
        <w:rPr>
          <w:rFonts w:ascii="Times New Roman" w:hAnsi="Times New Roman"/>
          <w:lang w:val="en-US"/>
        </w:rPr>
      </w:pPr>
      <w:r w:rsidRPr="0090191A">
        <w:rPr>
          <w:rFonts w:ascii="Times New Roman" w:hAnsi="Times New Roman"/>
          <w:lang w:val="en-US"/>
        </w:rPr>
        <w:t xml:space="preserve">Dowd JB, Rotondi, V, Andriano, L , Brazel DM, Block P, Ding X, Liu Y,  Mills MC </w:t>
      </w:r>
      <w:r w:rsidR="00A27B24" w:rsidRPr="0090191A">
        <w:rPr>
          <w:rFonts w:ascii="Times New Roman" w:hAnsi="Times New Roman"/>
          <w:lang w:val="en-US"/>
        </w:rPr>
        <w:t xml:space="preserve"> Demographic science aids in understanding the spread and fatality rates of COVID-19</w:t>
      </w:r>
      <w:r w:rsidRPr="0090191A">
        <w:rPr>
          <w:rFonts w:ascii="Times New Roman" w:hAnsi="Times New Roman"/>
          <w:lang w:val="en-US"/>
        </w:rPr>
        <w:t xml:space="preserve"> Leverhulme Centre for Demo</w:t>
      </w:r>
      <w:r w:rsidR="002726C1" w:rsidRPr="0090191A">
        <w:rPr>
          <w:rFonts w:ascii="Times New Roman" w:hAnsi="Times New Roman"/>
          <w:lang w:val="en-US"/>
        </w:rPr>
        <w:t>graphic Science</w:t>
      </w:r>
      <w:r w:rsidRPr="0090191A">
        <w:rPr>
          <w:rFonts w:ascii="Times New Roman" w:hAnsi="Times New Roman"/>
          <w:lang w:val="en-US"/>
        </w:rPr>
        <w:t>, 2020</w:t>
      </w:r>
      <w:r w:rsidR="002726C1" w:rsidRPr="0090191A">
        <w:rPr>
          <w:rFonts w:ascii="Times New Roman" w:hAnsi="Times New Roman"/>
          <w:lang w:val="en-US"/>
        </w:rPr>
        <w:t xml:space="preserve">. </w:t>
      </w:r>
      <w:r w:rsidR="00A27B24" w:rsidRPr="0090191A">
        <w:rPr>
          <w:rFonts w:ascii="Times New Roman" w:hAnsi="Times New Roman"/>
          <w:lang w:val="en-US"/>
        </w:rPr>
        <w:t xml:space="preserve"> </w:t>
      </w:r>
      <w:r w:rsidR="002726C1" w:rsidRPr="0090191A">
        <w:rPr>
          <w:rFonts w:ascii="Times New Roman" w:hAnsi="Times New Roman"/>
          <w:lang w:val="en-US"/>
        </w:rPr>
        <w:t xml:space="preserve">medRxiv doi: </w:t>
      </w:r>
      <w:r w:rsidR="002726C1" w:rsidRPr="0090191A">
        <w:rPr>
          <w:rFonts w:ascii="Times New Roman" w:hAnsi="Times New Roman"/>
          <w:u w:val="single"/>
          <w:lang w:val="en-US"/>
        </w:rPr>
        <w:t>https://doi.org/10.1101/2020.03.15.20036293</w:t>
      </w:r>
    </w:p>
    <w:p w:rsidR="008C1EEC" w:rsidRPr="0090191A" w:rsidRDefault="000F0043" w:rsidP="0090191A">
      <w:pPr>
        <w:pStyle w:val="Prrafodelista"/>
        <w:numPr>
          <w:ilvl w:val="0"/>
          <w:numId w:val="7"/>
        </w:numPr>
        <w:spacing w:line="276" w:lineRule="auto"/>
        <w:jc w:val="left"/>
        <w:rPr>
          <w:rFonts w:ascii="Times New Roman" w:hAnsi="Times New Roman"/>
        </w:rPr>
      </w:pPr>
      <w:r w:rsidRPr="0090191A">
        <w:rPr>
          <w:rFonts w:ascii="Times New Roman" w:hAnsi="Times New Roman"/>
        </w:rPr>
        <w:t xml:space="preserve">Grushka C, Gaiada, JC, </w:t>
      </w:r>
      <w:r w:rsidR="008C1EEC" w:rsidRPr="0090191A">
        <w:rPr>
          <w:rFonts w:ascii="Times New Roman" w:hAnsi="Times New Roman"/>
        </w:rPr>
        <w:t xml:space="preserve">Calabria </w:t>
      </w:r>
      <w:r w:rsidRPr="0090191A">
        <w:rPr>
          <w:rFonts w:ascii="Times New Roman" w:hAnsi="Times New Roman"/>
        </w:rPr>
        <w:t>AA</w:t>
      </w:r>
      <w:r w:rsidR="008C1EEC" w:rsidRPr="0090191A">
        <w:rPr>
          <w:rFonts w:ascii="Times New Roman" w:hAnsi="Times New Roman"/>
        </w:rPr>
        <w:t xml:space="preserve">  Sistema(s) previsional(es) en la Argentina y cobertura: análisis de las diversas fuentes de datos y de los diferenciales por edad, sexo y jurisdicción. </w:t>
      </w:r>
      <w:r w:rsidRPr="0090191A">
        <w:rPr>
          <w:rFonts w:ascii="Times New Roman" w:hAnsi="Times New Roman"/>
        </w:rPr>
        <w:t xml:space="preserve">2017 </w:t>
      </w:r>
      <w:r w:rsidR="008C1EEC" w:rsidRPr="0090191A">
        <w:rPr>
          <w:rFonts w:ascii="Times New Roman" w:hAnsi="Times New Roman"/>
        </w:rPr>
        <w:t>Ciudad Autónoma de Bs.As, Dirección de Estudios de la Seg. Social.</w:t>
      </w:r>
      <w:r w:rsidR="0090191A" w:rsidRPr="0090191A">
        <w:rPr>
          <w:rFonts w:ascii="Times New Roman" w:hAnsi="Times New Roman"/>
        </w:rPr>
        <w:t>[</w:t>
      </w:r>
      <w:r w:rsidR="008C1EEC" w:rsidRPr="0090191A">
        <w:rPr>
          <w:rFonts w:ascii="Times New Roman" w:hAnsi="Times New Roman"/>
        </w:rPr>
        <w:t>Disponible en</w:t>
      </w:r>
      <w:r w:rsidR="0090191A" w:rsidRPr="0090191A">
        <w:rPr>
          <w:rFonts w:ascii="Times New Roman" w:hAnsi="Times New Roman"/>
        </w:rPr>
        <w:t>]</w:t>
      </w:r>
      <w:r w:rsidR="008C1EEC" w:rsidRPr="0090191A">
        <w:rPr>
          <w:rFonts w:ascii="Times New Roman" w:hAnsi="Times New Roman"/>
        </w:rPr>
        <w:t xml:space="preserve"> </w:t>
      </w:r>
      <w:hyperlink r:id="rId16" w:history="1">
        <w:r w:rsidR="008C1EEC" w:rsidRPr="0090191A">
          <w:rPr>
            <w:rStyle w:val="Hipervnculo"/>
            <w:rFonts w:ascii="Times New Roman" w:hAnsi="Times New Roman"/>
            <w:color w:val="auto"/>
          </w:rPr>
          <w:t>http://observatorio.anses.gob.ar/archivos/documentos/DT_1601_Cobertura%20Previsional.pdf</w:t>
        </w:r>
        <w:r w:rsidR="008C1EEC" w:rsidRPr="0090191A">
          <w:rPr>
            <w:rStyle w:val="Hipervnculo"/>
            <w:rFonts w:ascii="Times New Roman" w:hAnsi="Times New Roman"/>
            <w:color w:val="auto"/>
            <w:u w:val="none"/>
          </w:rPr>
          <w:t xml:space="preserve"> </w:t>
        </w:r>
      </w:hyperlink>
      <w:r w:rsidRPr="0090191A">
        <w:rPr>
          <w:rFonts w:ascii="Times New Roman" w:hAnsi="Times New Roman"/>
        </w:rPr>
        <w:t xml:space="preserve"> </w:t>
      </w:r>
    </w:p>
    <w:p w:rsidR="008C1EEC" w:rsidRPr="0090191A" w:rsidRDefault="008C1EEC" w:rsidP="0090191A">
      <w:pPr>
        <w:pStyle w:val="Prrafodelista"/>
        <w:numPr>
          <w:ilvl w:val="0"/>
          <w:numId w:val="7"/>
        </w:numPr>
        <w:autoSpaceDE w:val="0"/>
        <w:autoSpaceDN w:val="0"/>
        <w:adjustRightInd w:val="0"/>
        <w:spacing w:line="276" w:lineRule="auto"/>
        <w:jc w:val="left"/>
        <w:rPr>
          <w:rFonts w:ascii="Times New Roman" w:hAnsi="Times New Roman"/>
          <w:u w:val="single"/>
        </w:rPr>
      </w:pPr>
      <w:r w:rsidRPr="0090191A">
        <w:rPr>
          <w:rFonts w:ascii="Times New Roman" w:hAnsi="Times New Roman"/>
          <w:lang w:val="sv-SE"/>
        </w:rPr>
        <w:t xml:space="preserve">Helsing </w:t>
      </w:r>
      <w:r w:rsidR="000F0043" w:rsidRPr="0090191A">
        <w:rPr>
          <w:rFonts w:ascii="Times New Roman" w:hAnsi="Times New Roman"/>
          <w:lang w:val="sv-SE"/>
        </w:rPr>
        <w:t>K, Szklo M, Comstock G</w:t>
      </w:r>
      <w:r w:rsidRPr="0090191A">
        <w:rPr>
          <w:rFonts w:ascii="Times New Roman" w:hAnsi="Times New Roman"/>
          <w:lang w:val="sv-SE"/>
        </w:rPr>
        <w:t xml:space="preserve">.  </w:t>
      </w:r>
      <w:r w:rsidRPr="0090191A">
        <w:rPr>
          <w:rFonts w:ascii="Times New Roman" w:hAnsi="Times New Roman"/>
          <w:lang w:val="en-US"/>
        </w:rPr>
        <w:t xml:space="preserve">Factors associated  with mortality and widowhood. American Journal of Public Health, Vol. 71 Nº8, August 1981. Washington D.C.  </w:t>
      </w:r>
      <w:r w:rsidRPr="0090191A">
        <w:rPr>
          <w:rFonts w:ascii="Times New Roman" w:hAnsi="Times New Roman"/>
        </w:rPr>
        <w:t xml:space="preserve">pp 802-809.  </w:t>
      </w:r>
      <w:hyperlink r:id="rId17" w:tooltip="Factors associated with mortality after widowhood." w:history="1">
        <w:r w:rsidRPr="0090191A">
          <w:rPr>
            <w:rStyle w:val="Hipervnculo"/>
            <w:rFonts w:ascii="Times New Roman" w:hAnsi="Times New Roman"/>
            <w:color w:val="auto"/>
          </w:rPr>
          <w:t>https://doi.org/10.2105/AJPH.71.8.802</w:t>
        </w:r>
      </w:hyperlink>
    </w:p>
    <w:p w:rsidR="00493A36" w:rsidRPr="0090191A" w:rsidRDefault="00493A36" w:rsidP="0090191A">
      <w:pPr>
        <w:pStyle w:val="Prrafodelista"/>
        <w:numPr>
          <w:ilvl w:val="0"/>
          <w:numId w:val="7"/>
        </w:numPr>
        <w:spacing w:line="276" w:lineRule="auto"/>
        <w:jc w:val="left"/>
        <w:rPr>
          <w:rFonts w:ascii="Times New Roman" w:hAnsi="Times New Roman"/>
          <w:shd w:val="clear" w:color="auto" w:fill="FFFFFF"/>
          <w:lang w:val="en-US"/>
        </w:rPr>
      </w:pPr>
      <w:r w:rsidRPr="0090191A">
        <w:rPr>
          <w:rFonts w:ascii="Times New Roman" w:hAnsi="Times New Roman"/>
          <w:shd w:val="clear" w:color="auto" w:fill="FFFFFF"/>
          <w:lang w:val="en-US"/>
        </w:rPr>
        <w:t>Stroebe. M.S. The Broken Heart phoenomenon: an examination of the mortality of bereavement. Journal of Community &amp; Applied Psychology, 4, pp 47-61</w:t>
      </w:r>
      <w:r w:rsidR="000F0043" w:rsidRPr="0090191A">
        <w:rPr>
          <w:rFonts w:ascii="Times New Roman" w:hAnsi="Times New Roman"/>
          <w:shd w:val="clear" w:color="auto" w:fill="FFFFFF"/>
          <w:lang w:val="en-US"/>
        </w:rPr>
        <w:t xml:space="preserve"> 1994</w:t>
      </w:r>
      <w:r w:rsidRPr="0090191A">
        <w:rPr>
          <w:rFonts w:ascii="Times New Roman" w:hAnsi="Times New Roman"/>
          <w:shd w:val="clear" w:color="auto" w:fill="FFFFFF"/>
          <w:lang w:val="en-US"/>
        </w:rPr>
        <w:t xml:space="preserve">. </w:t>
      </w:r>
      <w:hyperlink r:id="rId18" w:history="1">
        <w:r w:rsidRPr="0090191A">
          <w:rPr>
            <w:rStyle w:val="Hipervnculo"/>
            <w:rFonts w:ascii="Times New Roman" w:hAnsi="Times New Roman"/>
            <w:color w:val="auto"/>
            <w:shd w:val="clear" w:color="auto" w:fill="FFFFFF"/>
            <w:lang w:val="en-US"/>
          </w:rPr>
          <w:t>https://doi.org/10.1002/casp.2450040110</w:t>
        </w:r>
      </w:hyperlink>
      <w:r w:rsidRPr="0090191A">
        <w:rPr>
          <w:rFonts w:ascii="Times New Roman" w:hAnsi="Times New Roman"/>
          <w:u w:val="single"/>
          <w:shd w:val="clear" w:color="auto" w:fill="FFFFFF"/>
          <w:lang w:val="en-US"/>
        </w:rPr>
        <w:t xml:space="preserve"> </w:t>
      </w:r>
    </w:p>
    <w:p w:rsidR="00493A36" w:rsidRPr="0090191A" w:rsidRDefault="00493A36" w:rsidP="0090191A">
      <w:pPr>
        <w:pStyle w:val="Prrafodelista"/>
        <w:numPr>
          <w:ilvl w:val="0"/>
          <w:numId w:val="7"/>
        </w:numPr>
        <w:spacing w:line="276" w:lineRule="auto"/>
        <w:jc w:val="left"/>
        <w:rPr>
          <w:rFonts w:ascii="Times New Roman" w:hAnsi="Times New Roman"/>
          <w:lang w:val="en-US"/>
        </w:rPr>
      </w:pPr>
      <w:r w:rsidRPr="0090191A">
        <w:rPr>
          <w:rFonts w:ascii="Times New Roman" w:hAnsi="Times New Roman"/>
          <w:lang w:val="en-US"/>
        </w:rPr>
        <w:t xml:space="preserve">Thierry, X. </w:t>
      </w:r>
      <w:r w:rsidRPr="0090191A">
        <w:rPr>
          <w:rFonts w:ascii="Times New Roman" w:hAnsi="Times New Roman"/>
          <w:shd w:val="clear" w:color="auto" w:fill="FFFFFF"/>
          <w:lang w:val="en-US"/>
        </w:rPr>
        <w:t>Risks of Mortality and Excess Mortality during the First Ten Years of Widowhood. In: </w:t>
      </w:r>
      <w:r w:rsidRPr="0090191A">
        <w:rPr>
          <w:rStyle w:val="nfasis"/>
          <w:rFonts w:ascii="Times New Roman" w:hAnsi="Times New Roman"/>
          <w:shd w:val="clear" w:color="auto" w:fill="FFFFFF"/>
          <w:lang w:val="en-US"/>
        </w:rPr>
        <w:t>Population</w:t>
      </w:r>
      <w:r w:rsidRPr="0090191A">
        <w:rPr>
          <w:rFonts w:ascii="Times New Roman" w:hAnsi="Times New Roman"/>
          <w:shd w:val="clear" w:color="auto" w:fill="FFFFFF"/>
          <w:lang w:val="en-US"/>
        </w:rPr>
        <w:t>, an English selection</w:t>
      </w:r>
      <w:r w:rsidR="000F0043" w:rsidRPr="0090191A">
        <w:rPr>
          <w:rFonts w:ascii="Times New Roman" w:hAnsi="Times New Roman"/>
          <w:shd w:val="clear" w:color="auto" w:fill="FFFFFF"/>
          <w:lang w:val="en-US"/>
        </w:rPr>
        <w:t xml:space="preserve"> 2000</w:t>
      </w:r>
      <w:r w:rsidRPr="0090191A">
        <w:rPr>
          <w:rFonts w:ascii="Times New Roman" w:hAnsi="Times New Roman"/>
          <w:shd w:val="clear" w:color="auto" w:fill="FFFFFF"/>
          <w:lang w:val="en-US"/>
        </w:rPr>
        <w:t>, 12</w:t>
      </w:r>
      <w:r w:rsidRPr="0090191A">
        <w:rPr>
          <w:rFonts w:ascii="Times New Roman" w:hAnsi="Times New Roman"/>
          <w:shd w:val="clear" w:color="auto" w:fill="FFFFFF"/>
        </w:rPr>
        <w:t>ᵉ</w:t>
      </w:r>
      <w:r w:rsidRPr="0090191A">
        <w:rPr>
          <w:rFonts w:ascii="Times New Roman" w:hAnsi="Times New Roman"/>
          <w:shd w:val="clear" w:color="auto" w:fill="FFFFFF"/>
          <w:lang w:val="en-US"/>
        </w:rPr>
        <w:t xml:space="preserve"> année, n°1, 2000. pp. 81-109.</w:t>
      </w:r>
      <w:r w:rsidRPr="0090191A">
        <w:rPr>
          <w:rFonts w:ascii="Times New Roman" w:hAnsi="Times New Roman"/>
          <w:lang w:val="en-US"/>
        </w:rPr>
        <w:t xml:space="preserve">  </w:t>
      </w:r>
      <w:r w:rsidRPr="0090191A">
        <w:rPr>
          <w:rFonts w:ascii="Times New Roman" w:hAnsi="Times New Roman"/>
          <w:lang w:val="fr-FR"/>
        </w:rPr>
        <w:t>[</w:t>
      </w:r>
      <w:r w:rsidR="0090191A">
        <w:rPr>
          <w:rFonts w:ascii="Times New Roman" w:hAnsi="Times New Roman"/>
          <w:lang w:val="fr-FR"/>
        </w:rPr>
        <w:t>Disponible en</w:t>
      </w:r>
      <w:r w:rsidRPr="0090191A">
        <w:rPr>
          <w:rFonts w:ascii="Times New Roman" w:hAnsi="Times New Roman"/>
          <w:lang w:val="fr-FR"/>
        </w:rPr>
        <w:t>]</w:t>
      </w:r>
      <w:r w:rsidR="0090191A">
        <w:rPr>
          <w:rFonts w:ascii="Times New Roman" w:hAnsi="Times New Roman"/>
          <w:lang w:val="fr-FR"/>
        </w:rPr>
        <w:t> :</w:t>
      </w:r>
      <w:r w:rsidRPr="0090191A">
        <w:rPr>
          <w:rFonts w:ascii="Times New Roman" w:hAnsi="Times New Roman"/>
          <w:lang w:val="fr-FR"/>
        </w:rPr>
        <w:t xml:space="preserve"> </w:t>
      </w:r>
      <w:hyperlink r:id="rId19" w:history="1">
        <w:r w:rsidRPr="0090191A">
          <w:rPr>
            <w:rStyle w:val="Hipervnculo"/>
            <w:rFonts w:ascii="Times New Roman" w:hAnsi="Times New Roman"/>
            <w:color w:val="auto"/>
            <w:lang w:val="fr-FR"/>
          </w:rPr>
          <w:t>https://www.persee.fr/doc/pop_0032-4663_2000_hos_12_1_7084</w:t>
        </w:r>
      </w:hyperlink>
      <w:r w:rsidRPr="0090191A">
        <w:rPr>
          <w:rFonts w:ascii="Times New Roman" w:hAnsi="Times New Roman"/>
          <w:lang w:val="fr-FR"/>
        </w:rPr>
        <w:t xml:space="preserve"> </w:t>
      </w:r>
    </w:p>
    <w:p w:rsidR="00493A36" w:rsidRPr="0090191A" w:rsidRDefault="000F0043" w:rsidP="0090191A">
      <w:pPr>
        <w:pStyle w:val="Prrafodelista"/>
        <w:numPr>
          <w:ilvl w:val="0"/>
          <w:numId w:val="7"/>
        </w:numPr>
        <w:spacing w:line="276" w:lineRule="auto"/>
        <w:jc w:val="left"/>
        <w:rPr>
          <w:rFonts w:ascii="Times New Roman" w:hAnsi="Times New Roman"/>
        </w:rPr>
      </w:pPr>
      <w:r w:rsidRPr="0090191A">
        <w:rPr>
          <w:rFonts w:ascii="Times New Roman" w:hAnsi="Times New Roman"/>
        </w:rPr>
        <w:t>Durkheim E</w:t>
      </w:r>
      <w:r w:rsidR="00493A36" w:rsidRPr="0090191A">
        <w:rPr>
          <w:rFonts w:ascii="Times New Roman" w:hAnsi="Times New Roman"/>
        </w:rPr>
        <w:t xml:space="preserve">  El Suicidio. Estudio de Sociología. Buenos Aires, Ediciones Miño y Dávila. 4ta ed. </w:t>
      </w:r>
      <w:r w:rsidRPr="0090191A">
        <w:rPr>
          <w:rFonts w:ascii="Times New Roman" w:hAnsi="Times New Roman"/>
        </w:rPr>
        <w:t>2006</w:t>
      </w:r>
    </w:p>
    <w:p w:rsidR="00493A36" w:rsidRPr="0090191A" w:rsidRDefault="00493A36" w:rsidP="0090191A">
      <w:pPr>
        <w:pStyle w:val="Prrafodelista"/>
        <w:numPr>
          <w:ilvl w:val="0"/>
          <w:numId w:val="7"/>
        </w:numPr>
        <w:autoSpaceDE w:val="0"/>
        <w:autoSpaceDN w:val="0"/>
        <w:adjustRightInd w:val="0"/>
        <w:spacing w:line="276" w:lineRule="auto"/>
        <w:jc w:val="left"/>
        <w:rPr>
          <w:rFonts w:ascii="Times New Roman" w:hAnsi="Times New Roman"/>
          <w:lang w:val="es-AR"/>
        </w:rPr>
      </w:pPr>
      <w:r w:rsidRPr="0090191A">
        <w:rPr>
          <w:rFonts w:ascii="Times New Roman" w:hAnsi="Times New Roman"/>
        </w:rPr>
        <w:t>Ros</w:t>
      </w:r>
      <w:r w:rsidR="000F0043" w:rsidRPr="0090191A">
        <w:rPr>
          <w:rFonts w:ascii="Times New Roman" w:hAnsi="Times New Roman"/>
        </w:rPr>
        <w:t>ero-Bixby L, Brenes G, Collado-Chaves A</w:t>
      </w:r>
      <w:r w:rsidRPr="0090191A">
        <w:rPr>
          <w:rFonts w:ascii="Times New Roman" w:hAnsi="Times New Roman"/>
        </w:rPr>
        <w:t xml:space="preserve">. Mortalidad específica de los derecho habientes del régimen contributivo de pensiones. </w:t>
      </w:r>
      <w:r w:rsidRPr="0090191A">
        <w:rPr>
          <w:rFonts w:ascii="Times New Roman" w:hAnsi="Times New Roman"/>
          <w:lang w:val="es-AR"/>
        </w:rPr>
        <w:t>Costa Rica 2000-2002.  Reporte Técnico. Centro Centroamericano de Población</w:t>
      </w:r>
      <w:r w:rsidR="000F0043" w:rsidRPr="0090191A">
        <w:rPr>
          <w:rFonts w:ascii="Times New Roman" w:hAnsi="Times New Roman"/>
          <w:lang w:val="es-AR"/>
        </w:rPr>
        <w:t xml:space="preserve"> 2002</w:t>
      </w:r>
      <w:r w:rsidRPr="0090191A">
        <w:rPr>
          <w:rFonts w:ascii="Times New Roman" w:hAnsi="Times New Roman"/>
          <w:lang w:val="es-AR"/>
        </w:rPr>
        <w:t>.</w:t>
      </w:r>
    </w:p>
    <w:p w:rsidR="00493A36" w:rsidRPr="0090191A" w:rsidRDefault="000F0043" w:rsidP="0090191A">
      <w:pPr>
        <w:pStyle w:val="Prrafodelista"/>
        <w:numPr>
          <w:ilvl w:val="0"/>
          <w:numId w:val="7"/>
        </w:numPr>
        <w:shd w:val="clear" w:color="auto" w:fill="FFFFFF"/>
        <w:spacing w:line="276" w:lineRule="auto"/>
        <w:jc w:val="left"/>
        <w:rPr>
          <w:rFonts w:ascii="Times New Roman" w:hAnsi="Times New Roman"/>
        </w:rPr>
      </w:pPr>
      <w:r w:rsidRPr="0090191A">
        <w:rPr>
          <w:rFonts w:ascii="Times New Roman" w:hAnsi="Times New Roman"/>
        </w:rPr>
        <w:t>Gomes</w:t>
      </w:r>
      <w:r w:rsidR="00493A36" w:rsidRPr="0090191A">
        <w:rPr>
          <w:rFonts w:ascii="Times New Roman" w:hAnsi="Times New Roman"/>
        </w:rPr>
        <w:t xml:space="preserve"> MMF</w:t>
      </w:r>
      <w:r w:rsidRPr="0090191A">
        <w:rPr>
          <w:rFonts w:ascii="Times New Roman" w:hAnsi="Times New Roman"/>
        </w:rPr>
        <w:t>, Turra</w:t>
      </w:r>
      <w:r w:rsidR="00493A36" w:rsidRPr="0090191A">
        <w:rPr>
          <w:rFonts w:ascii="Times New Roman" w:hAnsi="Times New Roman"/>
        </w:rPr>
        <w:t xml:space="preserve"> C</w:t>
      </w:r>
      <w:r w:rsidRPr="0090191A">
        <w:rPr>
          <w:rFonts w:ascii="Times New Roman" w:hAnsi="Times New Roman"/>
        </w:rPr>
        <w:t>M, Goncalves M, Duarte Y,</w:t>
      </w:r>
      <w:r w:rsidR="00493A36" w:rsidRPr="0090191A">
        <w:rPr>
          <w:rFonts w:ascii="Times New Roman" w:hAnsi="Times New Roman"/>
        </w:rPr>
        <w:t xml:space="preserve"> Lebr</w:t>
      </w:r>
      <w:r w:rsidR="00493A36" w:rsidRPr="0090191A">
        <w:rPr>
          <w:rFonts w:ascii="Times New Roman" w:hAnsi="Times New Roman"/>
          <w:shd w:val="clear" w:color="auto" w:fill="FFFFFF"/>
        </w:rPr>
        <w:t>ã</w:t>
      </w:r>
      <w:r w:rsidRPr="0090191A">
        <w:rPr>
          <w:rFonts w:ascii="Times New Roman" w:hAnsi="Times New Roman"/>
        </w:rPr>
        <w:t>o ML</w:t>
      </w:r>
      <w:r w:rsidR="00493A36" w:rsidRPr="0090191A">
        <w:rPr>
          <w:rFonts w:ascii="Times New Roman" w:hAnsi="Times New Roman"/>
        </w:rPr>
        <w:t xml:space="preserve"> Associac</w:t>
      </w:r>
      <w:r w:rsidR="00493A36" w:rsidRPr="0090191A">
        <w:rPr>
          <w:rFonts w:ascii="Times New Roman" w:hAnsi="Times New Roman"/>
          <w:shd w:val="clear" w:color="auto" w:fill="FFFFFF"/>
        </w:rPr>
        <w:t>ã</w:t>
      </w:r>
      <w:r w:rsidR="00493A36" w:rsidRPr="0090191A">
        <w:rPr>
          <w:rFonts w:ascii="Times New Roman" w:hAnsi="Times New Roman"/>
        </w:rPr>
        <w:t>o entre mortalidade e estado marital: uma analise para idosos residentes no Município de Sao Paulo, Brasil, Estudio SABE, 2000 e 2006.  Cad. Saúde Pública Nº 29(3)</w:t>
      </w:r>
      <w:r w:rsidRPr="0090191A">
        <w:rPr>
          <w:rFonts w:ascii="Times New Roman" w:hAnsi="Times New Roman"/>
        </w:rPr>
        <w:t xml:space="preserve"> 2013</w:t>
      </w:r>
      <w:r w:rsidR="00493A36" w:rsidRPr="0090191A">
        <w:rPr>
          <w:rFonts w:ascii="Times New Roman" w:hAnsi="Times New Roman"/>
        </w:rPr>
        <w:t xml:space="preserve">  pp 566-578  </w:t>
      </w:r>
      <w:hyperlink r:id="rId20" w:history="1">
        <w:r w:rsidR="00493A36" w:rsidRPr="0090191A">
          <w:rPr>
            <w:rStyle w:val="Hipervnculo"/>
            <w:rFonts w:ascii="Times New Roman" w:hAnsi="Times New Roman"/>
            <w:color w:val="auto"/>
          </w:rPr>
          <w:t>http://dx.doi.org/10.1590/S0102-311X2013000300014</w:t>
        </w:r>
      </w:hyperlink>
      <w:r w:rsidR="00493A36" w:rsidRPr="0090191A">
        <w:rPr>
          <w:rFonts w:ascii="Times New Roman" w:hAnsi="Times New Roman"/>
        </w:rPr>
        <w:t xml:space="preserve">   </w:t>
      </w:r>
    </w:p>
    <w:p w:rsidR="00493A36" w:rsidRPr="0090191A" w:rsidRDefault="00493A36" w:rsidP="0090191A">
      <w:pPr>
        <w:pStyle w:val="Prrafodelista"/>
        <w:numPr>
          <w:ilvl w:val="0"/>
          <w:numId w:val="7"/>
        </w:numPr>
        <w:autoSpaceDE w:val="0"/>
        <w:autoSpaceDN w:val="0"/>
        <w:adjustRightInd w:val="0"/>
        <w:spacing w:line="276" w:lineRule="auto"/>
        <w:jc w:val="left"/>
        <w:rPr>
          <w:rFonts w:ascii="Times New Roman" w:hAnsi="Times New Roman"/>
          <w:lang w:val="es-AR"/>
        </w:rPr>
      </w:pPr>
      <w:r w:rsidRPr="0090191A">
        <w:rPr>
          <w:rFonts w:ascii="Times New Roman" w:hAnsi="Times New Roman"/>
          <w:shd w:val="clear" w:color="auto" w:fill="FFFFFF"/>
          <w:lang w:val="en-US"/>
        </w:rPr>
        <w:t>Naing NN 1999. Easy way to learn standardization: direct and indirect methods.</w:t>
      </w:r>
      <w:r w:rsidRPr="0090191A">
        <w:rPr>
          <w:rStyle w:val="apple-converted-space"/>
          <w:rFonts w:ascii="Times New Roman" w:hAnsi="Times New Roman"/>
          <w:shd w:val="clear" w:color="auto" w:fill="FFFFFF"/>
          <w:lang w:val="en-US"/>
        </w:rPr>
        <w:t> </w:t>
      </w:r>
      <w:r w:rsidRPr="0090191A">
        <w:rPr>
          <w:rStyle w:val="ref-journal"/>
          <w:rFonts w:ascii="Times New Roman" w:eastAsia="Calibri" w:hAnsi="Times New Roman"/>
          <w:shd w:val="clear" w:color="auto" w:fill="FFFFFF"/>
          <w:lang w:val="en-US"/>
        </w:rPr>
        <w:t>Malaysian Journal of Medical Science.</w:t>
      </w:r>
      <w:r w:rsidRPr="0090191A">
        <w:rPr>
          <w:rStyle w:val="apple-converted-space"/>
          <w:rFonts w:ascii="Times New Roman" w:hAnsi="Times New Roman"/>
          <w:shd w:val="clear" w:color="auto" w:fill="FFFFFF"/>
          <w:lang w:val="en-US"/>
        </w:rPr>
        <w:t> </w:t>
      </w:r>
      <w:r w:rsidRPr="0090191A">
        <w:rPr>
          <w:rFonts w:ascii="Times New Roman" w:hAnsi="Times New Roman"/>
          <w:shd w:val="clear" w:color="auto" w:fill="FFFFFF"/>
          <w:lang w:val="en-US"/>
        </w:rPr>
        <w:t>2000;</w:t>
      </w:r>
      <w:r w:rsidRPr="0090191A">
        <w:rPr>
          <w:rStyle w:val="ref-vol"/>
          <w:rFonts w:ascii="Times New Roman" w:hAnsi="Times New Roman"/>
          <w:shd w:val="clear" w:color="auto" w:fill="FFFFFF"/>
          <w:lang w:val="en-US"/>
        </w:rPr>
        <w:t>7</w:t>
      </w:r>
      <w:r w:rsidRPr="0090191A">
        <w:rPr>
          <w:rFonts w:ascii="Times New Roman" w:hAnsi="Times New Roman"/>
          <w:shd w:val="clear" w:color="auto" w:fill="FFFFFF"/>
          <w:lang w:val="en-US"/>
        </w:rPr>
        <w:t xml:space="preserve">:10–5.   </w:t>
      </w:r>
      <w:r w:rsidR="0090191A" w:rsidRPr="0090191A">
        <w:rPr>
          <w:rFonts w:ascii="Times New Roman" w:hAnsi="Times New Roman"/>
          <w:shd w:val="clear" w:color="auto" w:fill="FFFFFF"/>
          <w:lang w:val="es-AR"/>
        </w:rPr>
        <w:t>[</w:t>
      </w:r>
      <w:r w:rsidRPr="0090191A">
        <w:rPr>
          <w:rFonts w:ascii="Times New Roman" w:hAnsi="Times New Roman"/>
          <w:shd w:val="clear" w:color="auto" w:fill="FFFFFF"/>
          <w:lang w:val="es-AR"/>
        </w:rPr>
        <w:t>Disponible en</w:t>
      </w:r>
      <w:r w:rsidR="0090191A">
        <w:rPr>
          <w:rFonts w:ascii="Times New Roman" w:hAnsi="Times New Roman"/>
          <w:shd w:val="clear" w:color="auto" w:fill="FFFFFF"/>
          <w:lang w:val="es-AR"/>
        </w:rPr>
        <w:t>]:</w:t>
      </w:r>
      <w:r w:rsidRPr="0090191A">
        <w:rPr>
          <w:rFonts w:ascii="Times New Roman" w:hAnsi="Times New Roman"/>
          <w:shd w:val="clear" w:color="auto" w:fill="FFFFFF"/>
          <w:lang w:val="es-AR"/>
        </w:rPr>
        <w:t xml:space="preserve">     </w:t>
      </w:r>
      <w:hyperlink r:id="rId21" w:history="1">
        <w:r w:rsidRPr="0090191A">
          <w:rPr>
            <w:rStyle w:val="Hipervnculo"/>
            <w:rFonts w:ascii="Times New Roman" w:hAnsi="Times New Roman"/>
            <w:color w:val="auto"/>
            <w:shd w:val="clear" w:color="auto" w:fill="FFFFFF"/>
            <w:lang w:val="es-AR"/>
          </w:rPr>
          <w:t>https://www.ncbi.nlm.nih.gov/pmc/articles/PMC3406211/</w:t>
        </w:r>
      </w:hyperlink>
      <w:r w:rsidRPr="0090191A">
        <w:rPr>
          <w:rFonts w:ascii="Times New Roman" w:hAnsi="Times New Roman"/>
          <w:u w:val="single"/>
          <w:shd w:val="clear" w:color="auto" w:fill="FFFFFF"/>
          <w:lang w:val="es-AR"/>
        </w:rPr>
        <w:t xml:space="preserve">   </w:t>
      </w:r>
    </w:p>
    <w:p w:rsidR="00493A36" w:rsidRPr="0090191A" w:rsidRDefault="00493A36" w:rsidP="0090191A">
      <w:pPr>
        <w:pStyle w:val="Prrafodelista"/>
        <w:numPr>
          <w:ilvl w:val="0"/>
          <w:numId w:val="7"/>
        </w:numPr>
        <w:autoSpaceDE w:val="0"/>
        <w:autoSpaceDN w:val="0"/>
        <w:adjustRightInd w:val="0"/>
        <w:spacing w:line="276" w:lineRule="auto"/>
        <w:jc w:val="left"/>
        <w:rPr>
          <w:rFonts w:ascii="Times New Roman" w:hAnsi="Times New Roman"/>
          <w:lang w:val="es-AR"/>
        </w:rPr>
      </w:pPr>
      <w:r w:rsidRPr="0090191A">
        <w:rPr>
          <w:rFonts w:ascii="Times New Roman" w:hAnsi="Times New Roman"/>
        </w:rPr>
        <w:t>Organizaci</w:t>
      </w:r>
      <w:r w:rsidR="000F0043" w:rsidRPr="0090191A">
        <w:rPr>
          <w:rFonts w:ascii="Times New Roman" w:hAnsi="Times New Roman"/>
        </w:rPr>
        <w:t>ón Panamericana de la Salud L</w:t>
      </w:r>
      <w:r w:rsidRPr="0090191A">
        <w:rPr>
          <w:rFonts w:ascii="Times New Roman" w:hAnsi="Times New Roman"/>
        </w:rPr>
        <w:t>a Estandarización: un Método Clásic</w:t>
      </w:r>
      <w:r w:rsidR="000F0043" w:rsidRPr="0090191A">
        <w:rPr>
          <w:rFonts w:ascii="Times New Roman" w:hAnsi="Times New Roman"/>
        </w:rPr>
        <w:t xml:space="preserve">o para la Comparación de Tasas </w:t>
      </w:r>
      <w:r w:rsidRPr="0090191A">
        <w:rPr>
          <w:rFonts w:ascii="Times New Roman" w:hAnsi="Times New Roman"/>
        </w:rPr>
        <w:t>en Boletín Epidemiológico Volº 23, Nº3</w:t>
      </w:r>
      <w:r w:rsidR="000F0043" w:rsidRPr="0090191A">
        <w:rPr>
          <w:rFonts w:ascii="Times New Roman" w:hAnsi="Times New Roman"/>
        </w:rPr>
        <w:t xml:space="preserve"> 2002</w:t>
      </w:r>
      <w:r w:rsidRPr="0090191A">
        <w:rPr>
          <w:rFonts w:ascii="Times New Roman" w:hAnsi="Times New Roman"/>
        </w:rPr>
        <w:t xml:space="preserve">. </w:t>
      </w:r>
      <w:r w:rsidRPr="0090191A">
        <w:rPr>
          <w:rFonts w:ascii="Times New Roman" w:hAnsi="Times New Roman"/>
          <w:lang w:val="es-AR"/>
        </w:rPr>
        <w:t>Organización Panamericana de la Salud. Washington D.C. pp 9-12.</w:t>
      </w:r>
    </w:p>
    <w:p w:rsidR="00493A36" w:rsidRPr="0090191A" w:rsidRDefault="000F0043" w:rsidP="0090191A">
      <w:pPr>
        <w:pStyle w:val="Prrafodelista"/>
        <w:numPr>
          <w:ilvl w:val="0"/>
          <w:numId w:val="7"/>
        </w:numPr>
        <w:spacing w:line="276" w:lineRule="auto"/>
        <w:jc w:val="left"/>
        <w:rPr>
          <w:rFonts w:ascii="Times New Roman" w:hAnsi="Times New Roman"/>
          <w:lang w:val="en-US"/>
        </w:rPr>
      </w:pPr>
      <w:r w:rsidRPr="0090191A">
        <w:rPr>
          <w:rFonts w:ascii="Times New Roman" w:hAnsi="Times New Roman"/>
          <w:lang w:val="en-US"/>
        </w:rPr>
        <w:t>Yang, Y, Land, KC</w:t>
      </w:r>
      <w:r w:rsidR="00493A36" w:rsidRPr="0090191A">
        <w:rPr>
          <w:rFonts w:ascii="Times New Roman" w:hAnsi="Times New Roman"/>
          <w:lang w:val="en-US"/>
        </w:rPr>
        <w:t xml:space="preserve"> Age-Period-Cohort Analysis: New Models, Methods, and Empirical Applications. CRC Pres</w:t>
      </w:r>
      <w:r w:rsidRPr="0090191A">
        <w:rPr>
          <w:rFonts w:ascii="Times New Roman" w:hAnsi="Times New Roman"/>
          <w:lang w:val="en-US"/>
        </w:rPr>
        <w:t xml:space="preserve"> 2013</w:t>
      </w:r>
    </w:p>
    <w:p w:rsidR="008C1EEC" w:rsidRPr="0090191A" w:rsidRDefault="000F0043" w:rsidP="0090191A">
      <w:pPr>
        <w:pStyle w:val="Prrafodelista"/>
        <w:numPr>
          <w:ilvl w:val="0"/>
          <w:numId w:val="7"/>
        </w:numPr>
        <w:autoSpaceDE w:val="0"/>
        <w:autoSpaceDN w:val="0"/>
        <w:adjustRightInd w:val="0"/>
        <w:spacing w:line="276" w:lineRule="auto"/>
        <w:jc w:val="left"/>
        <w:rPr>
          <w:rFonts w:ascii="Times New Roman" w:hAnsi="Times New Roman"/>
          <w:lang w:val="en-US"/>
        </w:rPr>
      </w:pPr>
      <w:r w:rsidRPr="0090191A">
        <w:rPr>
          <w:rFonts w:ascii="Times New Roman" w:hAnsi="Times New Roman"/>
          <w:lang w:val="en-US"/>
        </w:rPr>
        <w:lastRenderedPageBreak/>
        <w:t>Kitagawa, E</w:t>
      </w:r>
      <w:r w:rsidR="00493A36" w:rsidRPr="0090191A">
        <w:rPr>
          <w:rFonts w:ascii="Times New Roman" w:hAnsi="Times New Roman"/>
          <w:lang w:val="en-US"/>
        </w:rPr>
        <w:t>. Component of a difference between two rates. Journal of American Statistical Association</w:t>
      </w:r>
      <w:r w:rsidR="0090191A" w:rsidRPr="0090191A">
        <w:rPr>
          <w:rFonts w:ascii="Times New Roman" w:hAnsi="Times New Roman"/>
          <w:lang w:val="en-US"/>
        </w:rPr>
        <w:t>,</w:t>
      </w:r>
      <w:r w:rsidRPr="0090191A">
        <w:rPr>
          <w:rFonts w:ascii="Times New Roman" w:hAnsi="Times New Roman"/>
          <w:lang w:val="en-US"/>
        </w:rPr>
        <w:t xml:space="preserve"> 1955</w:t>
      </w:r>
      <w:r w:rsidR="00493A36" w:rsidRPr="0090191A">
        <w:rPr>
          <w:rFonts w:ascii="Times New Roman" w:hAnsi="Times New Roman"/>
          <w:lang w:val="en-US"/>
        </w:rPr>
        <w:t>. Vol. 50 No. 272. 1168-1194</w:t>
      </w:r>
    </w:p>
    <w:p w:rsidR="00493A36" w:rsidRPr="0090191A" w:rsidRDefault="000F0043" w:rsidP="0090191A">
      <w:pPr>
        <w:pStyle w:val="Prrafodelista"/>
        <w:numPr>
          <w:ilvl w:val="0"/>
          <w:numId w:val="7"/>
        </w:numPr>
        <w:autoSpaceDE w:val="0"/>
        <w:autoSpaceDN w:val="0"/>
        <w:adjustRightInd w:val="0"/>
        <w:jc w:val="left"/>
        <w:rPr>
          <w:rFonts w:ascii="Times New Roman" w:hAnsi="Times New Roman"/>
          <w:shd w:val="clear" w:color="auto" w:fill="FFFFFF"/>
          <w:lang w:val="en-US"/>
        </w:rPr>
      </w:pPr>
      <w:r w:rsidRPr="0090191A">
        <w:rPr>
          <w:rFonts w:ascii="Times New Roman" w:hAnsi="Times New Roman"/>
          <w:shd w:val="clear" w:color="auto" w:fill="FFFFFF"/>
          <w:lang w:val="en-US"/>
        </w:rPr>
        <w:t>Preston, SH, Heuveline P,</w:t>
      </w:r>
      <w:r w:rsidR="00493A36" w:rsidRPr="0090191A">
        <w:rPr>
          <w:rFonts w:ascii="Times New Roman" w:hAnsi="Times New Roman"/>
          <w:shd w:val="clear" w:color="auto" w:fill="FFFFFF"/>
          <w:lang w:val="en-US"/>
        </w:rPr>
        <w:t xml:space="preserve"> Guillot</w:t>
      </w:r>
      <w:r w:rsidRPr="0090191A">
        <w:rPr>
          <w:rFonts w:ascii="Times New Roman" w:hAnsi="Times New Roman"/>
          <w:shd w:val="clear" w:color="auto" w:fill="FFFFFF"/>
          <w:lang w:val="en-US"/>
        </w:rPr>
        <w:t xml:space="preserve"> M.</w:t>
      </w:r>
      <w:r w:rsidR="00493A36" w:rsidRPr="0090191A">
        <w:rPr>
          <w:rFonts w:ascii="Times New Roman" w:hAnsi="Times New Roman"/>
          <w:shd w:val="clear" w:color="auto" w:fill="FFFFFF"/>
          <w:lang w:val="en-US"/>
        </w:rPr>
        <w:t xml:space="preserve"> Demography: Measuring and modeling population processes.</w:t>
      </w:r>
      <w:r w:rsidRPr="0090191A">
        <w:rPr>
          <w:rFonts w:ascii="Times New Roman" w:hAnsi="Times New Roman"/>
          <w:shd w:val="clear" w:color="auto" w:fill="FFFFFF"/>
          <w:lang w:val="en-US"/>
        </w:rPr>
        <w:t xml:space="preserve"> </w:t>
      </w:r>
      <w:r w:rsidR="00493A36" w:rsidRPr="0090191A">
        <w:rPr>
          <w:rFonts w:ascii="Times New Roman" w:hAnsi="Times New Roman"/>
          <w:shd w:val="clear" w:color="auto" w:fill="FFFFFF"/>
          <w:lang w:val="en-US"/>
        </w:rPr>
        <w:t>Blackwell Publishing</w:t>
      </w:r>
      <w:r w:rsidRPr="0090191A">
        <w:rPr>
          <w:rFonts w:ascii="Times New Roman" w:hAnsi="Times New Roman"/>
          <w:shd w:val="clear" w:color="auto" w:fill="FFFFFF"/>
          <w:lang w:val="en-US"/>
        </w:rPr>
        <w:t xml:space="preserve"> 2001</w:t>
      </w:r>
    </w:p>
    <w:p w:rsidR="000F0043" w:rsidRPr="0090191A" w:rsidRDefault="000F0043" w:rsidP="0090191A">
      <w:pPr>
        <w:pStyle w:val="Prrafodelista"/>
        <w:numPr>
          <w:ilvl w:val="0"/>
          <w:numId w:val="7"/>
        </w:numPr>
        <w:autoSpaceDE w:val="0"/>
        <w:autoSpaceDN w:val="0"/>
        <w:adjustRightInd w:val="0"/>
        <w:jc w:val="left"/>
        <w:rPr>
          <w:rFonts w:ascii="Times New Roman" w:hAnsi="Times New Roman"/>
          <w:shd w:val="clear" w:color="auto" w:fill="FFFFFF"/>
          <w:lang w:val="en-US"/>
        </w:rPr>
      </w:pPr>
      <w:r w:rsidRPr="0090191A">
        <w:rPr>
          <w:rFonts w:ascii="Times New Roman" w:hAnsi="Times New Roman"/>
          <w:shd w:val="clear" w:color="auto" w:fill="FFFFFF"/>
          <w:lang w:val="en-US"/>
        </w:rPr>
        <w:t xml:space="preserve">van Raalte AA, Sasson I, Martikainen P. The case for monitoring life-span inequality </w:t>
      </w:r>
      <w:r w:rsidRPr="0090191A">
        <w:rPr>
          <w:rStyle w:val="CitaHTML"/>
          <w:rFonts w:ascii="Times New Roman" w:hAnsi="Times New Roman"/>
          <w:shd w:val="clear" w:color="auto" w:fill="FFFFFF"/>
          <w:lang w:val="en-US"/>
        </w:rPr>
        <w:t>Science </w:t>
      </w:r>
      <w:r w:rsidRPr="0090191A">
        <w:rPr>
          <w:rFonts w:ascii="Times New Roman" w:hAnsi="Times New Roman"/>
          <w:shd w:val="clear" w:color="auto" w:fill="FFFFFF"/>
          <w:lang w:val="en-US"/>
        </w:rPr>
        <w:t xml:space="preserve"> 30 Nov 2018: Vol. 362, Issue 6418, pp. 1002-1004 </w:t>
      </w:r>
    </w:p>
    <w:p w:rsidR="00036D52" w:rsidRPr="0090191A" w:rsidRDefault="000F0043" w:rsidP="0090191A">
      <w:pPr>
        <w:pStyle w:val="Prrafodelista"/>
        <w:autoSpaceDE w:val="0"/>
        <w:autoSpaceDN w:val="0"/>
        <w:adjustRightInd w:val="0"/>
        <w:ind w:left="502"/>
        <w:jc w:val="left"/>
        <w:rPr>
          <w:rFonts w:ascii="Times New Roman" w:hAnsi="Times New Roman"/>
          <w:u w:val="single"/>
          <w:shd w:val="clear" w:color="auto" w:fill="FFFFFF"/>
          <w:lang w:val="en-US"/>
        </w:rPr>
      </w:pPr>
      <w:r w:rsidRPr="0090191A">
        <w:rPr>
          <w:rFonts w:ascii="Times New Roman" w:hAnsi="Times New Roman"/>
          <w:u w:val="single"/>
          <w:shd w:val="clear" w:color="auto" w:fill="FFFFFF"/>
          <w:lang w:val="en-US"/>
        </w:rPr>
        <w:t>DOI: 10.1126/science.aau5811</w:t>
      </w:r>
    </w:p>
    <w:p w:rsidR="00036D52" w:rsidRPr="0090191A" w:rsidRDefault="000F0043" w:rsidP="0090191A">
      <w:pPr>
        <w:pStyle w:val="Prrafodelista"/>
        <w:numPr>
          <w:ilvl w:val="0"/>
          <w:numId w:val="7"/>
        </w:numPr>
        <w:autoSpaceDE w:val="0"/>
        <w:autoSpaceDN w:val="0"/>
        <w:adjustRightInd w:val="0"/>
        <w:jc w:val="left"/>
        <w:rPr>
          <w:rFonts w:ascii="Times New Roman" w:hAnsi="Times New Roman"/>
          <w:shd w:val="clear" w:color="auto" w:fill="FFFFFF"/>
          <w:lang w:val="en-US"/>
        </w:rPr>
      </w:pPr>
      <w:r w:rsidRPr="0090191A">
        <w:rPr>
          <w:rFonts w:ascii="Times New Roman" w:hAnsi="Times New Roman"/>
          <w:shd w:val="clear" w:color="auto" w:fill="FFFFFF"/>
        </w:rPr>
        <w:t xml:space="preserve">van Raalte AA, Kunst AE, Deboosere P, et al. </w:t>
      </w:r>
      <w:r w:rsidRPr="0090191A">
        <w:rPr>
          <w:rFonts w:ascii="Times New Roman" w:hAnsi="Times New Roman"/>
          <w:shd w:val="clear" w:color="auto" w:fill="FFFFFF"/>
          <w:lang w:val="en-US"/>
        </w:rPr>
        <w:t>More variation in lifespan in lower educated groups: evidence from 10 European countries. </w:t>
      </w:r>
      <w:r w:rsidRPr="0090191A">
        <w:rPr>
          <w:rFonts w:ascii="Times New Roman" w:hAnsi="Times New Roman"/>
          <w:i/>
          <w:iCs/>
          <w:shd w:val="clear" w:color="auto" w:fill="FFFFFF"/>
        </w:rPr>
        <w:t>Int J Epidemiol</w:t>
      </w:r>
      <w:r w:rsidRPr="0090191A">
        <w:rPr>
          <w:rFonts w:ascii="Times New Roman" w:hAnsi="Times New Roman"/>
          <w:shd w:val="clear" w:color="auto" w:fill="FFFFFF"/>
        </w:rPr>
        <w:t xml:space="preserve">. 2011;40(6):1703-1714. </w:t>
      </w:r>
      <w:r w:rsidRPr="0090191A">
        <w:rPr>
          <w:rFonts w:ascii="Times New Roman" w:hAnsi="Times New Roman"/>
          <w:u w:val="single"/>
          <w:shd w:val="clear" w:color="auto" w:fill="FFFFFF"/>
        </w:rPr>
        <w:t>doi:10.1093/ije/dyr146</w:t>
      </w:r>
    </w:p>
    <w:p w:rsidR="00036D52" w:rsidRPr="0090191A" w:rsidRDefault="0090191A" w:rsidP="0090191A">
      <w:pPr>
        <w:pStyle w:val="Prrafodelista"/>
        <w:numPr>
          <w:ilvl w:val="0"/>
          <w:numId w:val="7"/>
        </w:numPr>
        <w:autoSpaceDE w:val="0"/>
        <w:autoSpaceDN w:val="0"/>
        <w:adjustRightInd w:val="0"/>
        <w:jc w:val="left"/>
        <w:rPr>
          <w:rFonts w:ascii="Times New Roman" w:hAnsi="Times New Roman"/>
          <w:u w:val="single"/>
          <w:shd w:val="clear" w:color="auto" w:fill="FFFFFF"/>
          <w:lang w:val="en-US"/>
        </w:rPr>
      </w:pPr>
      <w:r w:rsidRPr="0090191A">
        <w:rPr>
          <w:rFonts w:ascii="Times New Roman" w:hAnsi="Times New Roman"/>
          <w:shd w:val="clear" w:color="auto" w:fill="FFFFFF"/>
          <w:lang w:val="en-US"/>
        </w:rPr>
        <w:t>Sasson, I. Trends</w:t>
      </w:r>
      <w:r w:rsidRPr="0090191A">
        <w:rPr>
          <w:rFonts w:ascii="Times New Roman" w:hAnsi="Times New Roman"/>
          <w:shd w:val="clear" w:color="auto" w:fill="FFFFFF"/>
          <w:lang w:val="en-US"/>
        </w:rPr>
        <w:tab/>
        <w:t xml:space="preserve">in Life Expectancy and Lifespan Variation by Educational attainment: United States, 1990-2010 Demography. 2016 Apr;53(2):269-93. </w:t>
      </w:r>
      <w:r w:rsidRPr="0090191A">
        <w:rPr>
          <w:rFonts w:ascii="Times New Roman" w:hAnsi="Times New Roman"/>
          <w:u w:val="single"/>
          <w:shd w:val="clear" w:color="auto" w:fill="FFFFFF"/>
          <w:lang w:val="en-US"/>
        </w:rPr>
        <w:t>doi: 10.1007/s13524-015-0453-7.</w:t>
      </w:r>
    </w:p>
    <w:p w:rsidR="002726C1" w:rsidRPr="0090191A" w:rsidRDefault="000F0043" w:rsidP="0090191A">
      <w:pPr>
        <w:pStyle w:val="HTMLconformatoprevio"/>
        <w:numPr>
          <w:ilvl w:val="0"/>
          <w:numId w:val="7"/>
        </w:numPr>
        <w:shd w:val="clear" w:color="auto" w:fill="FFFFFF"/>
        <w:rPr>
          <w:rFonts w:ascii="Times New Roman" w:hAnsi="Times New Roman" w:cs="Times New Roman"/>
          <w:sz w:val="22"/>
          <w:szCs w:val="22"/>
        </w:rPr>
      </w:pPr>
      <w:r w:rsidRPr="0090191A">
        <w:rPr>
          <w:rFonts w:ascii="Times New Roman" w:hAnsi="Times New Roman" w:cs="Times New Roman"/>
          <w:sz w:val="22"/>
          <w:szCs w:val="22"/>
        </w:rPr>
        <w:t>R Core Team.</w:t>
      </w:r>
      <w:r w:rsidR="002726C1" w:rsidRPr="0090191A">
        <w:rPr>
          <w:rFonts w:ascii="Times New Roman" w:hAnsi="Times New Roman" w:cs="Times New Roman"/>
          <w:sz w:val="22"/>
          <w:szCs w:val="22"/>
        </w:rPr>
        <w:t xml:space="preserve"> R: A language and environment for statistical computing. R Foundation for Statistical Computing, Vienna, Austria</w:t>
      </w:r>
      <w:r w:rsidRPr="0090191A">
        <w:rPr>
          <w:rFonts w:ascii="Times New Roman" w:hAnsi="Times New Roman" w:cs="Times New Roman"/>
          <w:sz w:val="22"/>
          <w:szCs w:val="22"/>
        </w:rPr>
        <w:t>, 2017</w:t>
      </w:r>
      <w:r w:rsidR="002726C1" w:rsidRPr="0090191A">
        <w:rPr>
          <w:rFonts w:ascii="Times New Roman" w:hAnsi="Times New Roman" w:cs="Times New Roman"/>
          <w:sz w:val="22"/>
          <w:szCs w:val="22"/>
        </w:rPr>
        <w:t xml:space="preserve">. URL </w:t>
      </w:r>
      <w:hyperlink r:id="rId22" w:history="1">
        <w:r w:rsidR="002726C1" w:rsidRPr="0090191A">
          <w:rPr>
            <w:rStyle w:val="Hipervnculo"/>
            <w:rFonts w:ascii="Times New Roman" w:hAnsi="Times New Roman" w:cs="Times New Roman"/>
            <w:color w:val="auto"/>
            <w:sz w:val="22"/>
            <w:szCs w:val="22"/>
            <w:u w:val="none"/>
          </w:rPr>
          <w:t>https://www.R-project.org/</w:t>
        </w:r>
      </w:hyperlink>
      <w:r w:rsidR="002726C1" w:rsidRPr="0090191A">
        <w:rPr>
          <w:rFonts w:ascii="Times New Roman" w:hAnsi="Times New Roman" w:cs="Times New Roman"/>
          <w:sz w:val="22"/>
          <w:szCs w:val="22"/>
        </w:rPr>
        <w:t>.</w:t>
      </w:r>
    </w:p>
    <w:p w:rsidR="002726C1" w:rsidRPr="0090191A" w:rsidRDefault="002726C1" w:rsidP="0090191A">
      <w:pPr>
        <w:pStyle w:val="Prrafodelista"/>
        <w:autoSpaceDE w:val="0"/>
        <w:autoSpaceDN w:val="0"/>
        <w:adjustRightInd w:val="0"/>
        <w:jc w:val="left"/>
        <w:rPr>
          <w:rFonts w:ascii="Times New Roman" w:hAnsi="Times New Roman"/>
          <w:shd w:val="clear" w:color="auto" w:fill="FFFFFF"/>
          <w:lang w:val="en-US"/>
        </w:rPr>
      </w:pPr>
    </w:p>
    <w:p w:rsidR="0041467F" w:rsidRPr="0090191A" w:rsidRDefault="000F0043" w:rsidP="0090191A">
      <w:pPr>
        <w:pStyle w:val="Prrafodelista"/>
        <w:numPr>
          <w:ilvl w:val="0"/>
          <w:numId w:val="7"/>
        </w:numPr>
        <w:jc w:val="left"/>
        <w:rPr>
          <w:rFonts w:ascii="Times New Roman" w:hAnsi="Times New Roman"/>
          <w:lang w:val="es-AR"/>
        </w:rPr>
      </w:pPr>
      <w:r w:rsidRPr="0090191A">
        <w:rPr>
          <w:rFonts w:ascii="Times New Roman" w:hAnsi="Times New Roman"/>
          <w:shd w:val="clear" w:color="auto" w:fill="FFFFFF"/>
        </w:rPr>
        <w:t>Bramajo, ON, &amp; Grushka, C</w:t>
      </w:r>
      <w:r w:rsidR="002726C1" w:rsidRPr="0090191A">
        <w:rPr>
          <w:rFonts w:ascii="Times New Roman" w:hAnsi="Times New Roman"/>
          <w:shd w:val="clear" w:color="auto" w:fill="FFFFFF"/>
        </w:rPr>
        <w:t>O Mortalidad diferencial de adultos mayores en Argentina, 2015-2016. El rol del ingreso previsional. </w:t>
      </w:r>
      <w:r w:rsidR="002726C1" w:rsidRPr="0090191A">
        <w:rPr>
          <w:rFonts w:ascii="Times New Roman" w:hAnsi="Times New Roman"/>
          <w:iCs/>
          <w:shd w:val="clear" w:color="auto" w:fill="FFFFFF"/>
        </w:rPr>
        <w:t>Revista Latinoamericana De Población</w:t>
      </w:r>
      <w:r w:rsidRPr="0090191A">
        <w:rPr>
          <w:rFonts w:ascii="Times New Roman" w:hAnsi="Times New Roman"/>
          <w:iCs/>
          <w:shd w:val="clear" w:color="auto" w:fill="FFFFFF"/>
        </w:rPr>
        <w:t xml:space="preserve"> 2019</w:t>
      </w:r>
      <w:r w:rsidR="002726C1" w:rsidRPr="0090191A">
        <w:rPr>
          <w:rFonts w:ascii="Times New Roman" w:hAnsi="Times New Roman"/>
          <w:shd w:val="clear" w:color="auto" w:fill="FFFFFF"/>
        </w:rPr>
        <w:t>, </w:t>
      </w:r>
      <w:r w:rsidR="002726C1" w:rsidRPr="0090191A">
        <w:rPr>
          <w:rFonts w:ascii="Times New Roman" w:hAnsi="Times New Roman"/>
          <w:iCs/>
          <w:shd w:val="clear" w:color="auto" w:fill="FFFFFF"/>
        </w:rPr>
        <w:t>14</w:t>
      </w:r>
      <w:r w:rsidR="002726C1" w:rsidRPr="0090191A">
        <w:rPr>
          <w:rFonts w:ascii="Times New Roman" w:hAnsi="Times New Roman"/>
          <w:shd w:val="clear" w:color="auto" w:fill="FFFFFF"/>
        </w:rPr>
        <w:t xml:space="preserve">(26), 46-69. </w:t>
      </w:r>
      <w:hyperlink r:id="rId23" w:history="1">
        <w:r w:rsidR="00531CBA" w:rsidRPr="0090191A">
          <w:rPr>
            <w:rStyle w:val="Hipervnculo"/>
            <w:rFonts w:ascii="Times New Roman" w:hAnsi="Times New Roman"/>
            <w:color w:val="auto"/>
            <w:shd w:val="clear" w:color="auto" w:fill="FFFFFF"/>
          </w:rPr>
          <w:t>https://doi.org/10.31406/relap2020.v14.i1.n26.3</w:t>
        </w:r>
      </w:hyperlink>
    </w:p>
    <w:p w:rsidR="00531CBA" w:rsidRPr="00531CBA" w:rsidRDefault="00531CBA" w:rsidP="00531CBA">
      <w:pPr>
        <w:ind w:left="142"/>
        <w:rPr>
          <w:rFonts w:ascii="Times New Roman" w:hAnsi="Times New Roman"/>
          <w:lang w:val="es-AR"/>
        </w:rPr>
      </w:pPr>
    </w:p>
    <w:p w:rsidR="00EF0DB6" w:rsidRPr="00531CBA" w:rsidRDefault="00EF0DB6" w:rsidP="00977E2F">
      <w:pPr>
        <w:spacing w:line="276" w:lineRule="auto"/>
        <w:jc w:val="left"/>
        <w:rPr>
          <w:rFonts w:ascii="Times New Roman" w:hAnsi="Times New Roman"/>
        </w:rPr>
      </w:pPr>
    </w:p>
    <w:p w:rsidR="00DC50BF" w:rsidRDefault="00DC50BF" w:rsidP="00977E2F">
      <w:pPr>
        <w:spacing w:line="276" w:lineRule="auto"/>
        <w:jc w:val="left"/>
        <w:rPr>
          <w:rFonts w:ascii="Times New Roman" w:hAnsi="Times New Roman"/>
        </w:rPr>
      </w:pPr>
    </w:p>
    <w:p w:rsidR="00050CCC" w:rsidRDefault="00050CCC">
      <w:pPr>
        <w:rPr>
          <w:rFonts w:ascii="Times New Roman" w:hAnsi="Times New Roman"/>
          <w:b/>
          <w:sz w:val="24"/>
          <w:szCs w:val="24"/>
          <w:highlight w:val="lightGray"/>
        </w:rPr>
      </w:pPr>
      <w:r>
        <w:rPr>
          <w:rFonts w:ascii="Times New Roman" w:hAnsi="Times New Roman"/>
          <w:b/>
          <w:sz w:val="24"/>
          <w:szCs w:val="24"/>
          <w:highlight w:val="lightGray"/>
        </w:rPr>
        <w:br w:type="page"/>
      </w:r>
    </w:p>
    <w:p w:rsidR="000226F8" w:rsidRPr="00050CCC" w:rsidRDefault="000226F8" w:rsidP="00050CCC">
      <w:pPr>
        <w:spacing w:line="360" w:lineRule="auto"/>
        <w:rPr>
          <w:rFonts w:ascii="Times New Roman" w:hAnsi="Times New Roman"/>
          <w:b/>
          <w:sz w:val="24"/>
          <w:szCs w:val="24"/>
          <w:u w:val="single"/>
        </w:rPr>
      </w:pPr>
      <w:r w:rsidRPr="00050CCC">
        <w:rPr>
          <w:rFonts w:ascii="Times New Roman" w:hAnsi="Times New Roman"/>
          <w:b/>
          <w:sz w:val="24"/>
          <w:szCs w:val="24"/>
          <w:u w:val="single"/>
        </w:rPr>
        <w:lastRenderedPageBreak/>
        <w:t>Anexo estadístico:</w:t>
      </w:r>
    </w:p>
    <w:p w:rsidR="00050CCC" w:rsidRPr="00050CCC" w:rsidRDefault="00050CCC" w:rsidP="00050CCC">
      <w:pPr>
        <w:rPr>
          <w:rFonts w:ascii="Times New Roman" w:hAnsi="Times New Roman"/>
          <w:b/>
          <w:u w:val="single"/>
        </w:rPr>
      </w:pPr>
    </w:p>
    <w:p w:rsidR="00050CCC" w:rsidRDefault="00050CCC" w:rsidP="00050CCC">
      <w:pPr>
        <w:rPr>
          <w:rFonts w:ascii="Times New Roman" w:hAnsi="Times New Roman"/>
          <w:b/>
        </w:rPr>
      </w:pPr>
      <w:r>
        <w:rPr>
          <w:rFonts w:ascii="Times New Roman" w:hAnsi="Times New Roman"/>
          <w:b/>
        </w:rPr>
        <w:t>Tabla 1 Anexo: Cantidad de años persona</w:t>
      </w:r>
      <w:r w:rsidRPr="00265498">
        <w:rPr>
          <w:rFonts w:ascii="Times New Roman" w:hAnsi="Times New Roman"/>
          <w:b/>
        </w:rPr>
        <w:t xml:space="preserve"> por grupos de edad, sexo y tipo de prestación. </w:t>
      </w:r>
      <w:r>
        <w:rPr>
          <w:rFonts w:ascii="Times New Roman" w:hAnsi="Times New Roman"/>
          <w:b/>
        </w:rPr>
        <w:t>Total país</w:t>
      </w:r>
      <w:r w:rsidRPr="00265498">
        <w:rPr>
          <w:rFonts w:ascii="Times New Roman" w:hAnsi="Times New Roman"/>
          <w:b/>
        </w:rPr>
        <w:t>.</w:t>
      </w:r>
      <w:r>
        <w:rPr>
          <w:rFonts w:ascii="Times New Roman" w:hAnsi="Times New Roman"/>
          <w:b/>
        </w:rPr>
        <w:t xml:space="preserve"> Argentina, 2015-16</w:t>
      </w:r>
    </w:p>
    <w:tbl>
      <w:tblPr>
        <w:tblW w:w="5000" w:type="pct"/>
        <w:tblBorders>
          <w:top w:val="single" w:sz="4" w:space="0" w:color="auto"/>
          <w:left w:val="single" w:sz="4" w:space="0" w:color="auto"/>
          <w:bottom w:val="single" w:sz="4" w:space="0" w:color="auto"/>
          <w:right w:val="single" w:sz="4" w:space="0" w:color="auto"/>
        </w:tblBorders>
        <w:tblLook w:val="04A0"/>
      </w:tblPr>
      <w:tblGrid>
        <w:gridCol w:w="1232"/>
        <w:gridCol w:w="1676"/>
        <w:gridCol w:w="1453"/>
        <w:gridCol w:w="1453"/>
        <w:gridCol w:w="1453"/>
        <w:gridCol w:w="1453"/>
      </w:tblGrid>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Edad</w:t>
            </w:r>
          </w:p>
        </w:tc>
        <w:tc>
          <w:tcPr>
            <w:tcW w:w="961"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Sexo</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JO</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MOR</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PS</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Total</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65-69</w:t>
            </w:r>
          </w:p>
        </w:tc>
        <w:tc>
          <w:tcPr>
            <w:tcW w:w="961" w:type="pct"/>
            <w:vMerge w:val="restart"/>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Hombres</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253427</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299603</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18752</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571782</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70-74</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231346</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253361</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27166</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511873</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75-79</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202160</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124166</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30927</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357253</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80-84</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150715</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49293</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30399</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230407</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85-89</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77584</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18120</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22835</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118539</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90-94</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24308</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4367</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10254</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38929</w:t>
            </w:r>
          </w:p>
        </w:tc>
      </w:tr>
      <w:tr w:rsidR="00050CCC" w:rsidRPr="00050CCC" w:rsidTr="00050CCC">
        <w:trPr>
          <w:trHeight w:val="300"/>
        </w:trPr>
        <w:tc>
          <w:tcPr>
            <w:tcW w:w="706" w:type="pct"/>
            <w:tcBorders>
              <w:bottom w:val="single" w:sz="4" w:space="0" w:color="auto"/>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95-99</w:t>
            </w:r>
          </w:p>
        </w:tc>
        <w:tc>
          <w:tcPr>
            <w:tcW w:w="961" w:type="pct"/>
            <w:vMerge/>
            <w:tcBorders>
              <w:bottom w:val="single" w:sz="4" w:space="0" w:color="auto"/>
            </w:tcBorders>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tcBorders>
              <w:bottom w:val="single" w:sz="4" w:space="0" w:color="auto"/>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3864</w:t>
            </w:r>
          </w:p>
        </w:tc>
        <w:tc>
          <w:tcPr>
            <w:tcW w:w="833" w:type="pct"/>
            <w:tcBorders>
              <w:bottom w:val="single" w:sz="4" w:space="0" w:color="auto"/>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790</w:t>
            </w:r>
          </w:p>
        </w:tc>
        <w:tc>
          <w:tcPr>
            <w:tcW w:w="833" w:type="pct"/>
            <w:tcBorders>
              <w:bottom w:val="single" w:sz="4" w:space="0" w:color="auto"/>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1963</w:t>
            </w:r>
          </w:p>
        </w:tc>
        <w:tc>
          <w:tcPr>
            <w:tcW w:w="833" w:type="pct"/>
            <w:tcBorders>
              <w:bottom w:val="single" w:sz="4" w:space="0" w:color="auto"/>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6617</w:t>
            </w:r>
          </w:p>
        </w:tc>
      </w:tr>
      <w:tr w:rsidR="00050CCC" w:rsidRPr="00050CCC" w:rsidTr="00050CCC">
        <w:trPr>
          <w:trHeight w:val="300"/>
        </w:trPr>
        <w:tc>
          <w:tcPr>
            <w:tcW w:w="706" w:type="pct"/>
            <w:tcBorders>
              <w:top w:val="single" w:sz="4" w:space="0" w:color="auto"/>
              <w:bottom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65-69</w:t>
            </w:r>
          </w:p>
        </w:tc>
        <w:tc>
          <w:tcPr>
            <w:tcW w:w="961" w:type="pct"/>
            <w:vMerge w:val="restart"/>
            <w:tcBorders>
              <w:top w:val="single" w:sz="4" w:space="0" w:color="auto"/>
            </w:tcBorders>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Mujeres</w:t>
            </w:r>
          </w:p>
        </w:tc>
        <w:tc>
          <w:tcPr>
            <w:tcW w:w="833" w:type="pct"/>
            <w:tcBorders>
              <w:top w:val="single" w:sz="4" w:space="0" w:color="auto"/>
              <w:bottom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154509</w:t>
            </w:r>
          </w:p>
        </w:tc>
        <w:tc>
          <w:tcPr>
            <w:tcW w:w="833" w:type="pct"/>
            <w:tcBorders>
              <w:top w:val="single" w:sz="4" w:space="0" w:color="auto"/>
              <w:bottom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490837</w:t>
            </w:r>
          </w:p>
        </w:tc>
        <w:tc>
          <w:tcPr>
            <w:tcW w:w="833" w:type="pct"/>
            <w:tcBorders>
              <w:top w:val="single" w:sz="4" w:space="0" w:color="auto"/>
              <w:bottom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152620</w:t>
            </w:r>
          </w:p>
        </w:tc>
        <w:tc>
          <w:tcPr>
            <w:tcW w:w="833" w:type="pct"/>
            <w:tcBorders>
              <w:top w:val="single" w:sz="4" w:space="0" w:color="auto"/>
              <w:bottom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797966</w:t>
            </w:r>
          </w:p>
        </w:tc>
      </w:tr>
      <w:tr w:rsidR="00050CCC" w:rsidRPr="00050CCC" w:rsidTr="00036D52">
        <w:trPr>
          <w:trHeight w:val="300"/>
        </w:trPr>
        <w:tc>
          <w:tcPr>
            <w:tcW w:w="706" w:type="pct"/>
            <w:tcBorders>
              <w:top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70-74</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tcBorders>
              <w:top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133158</w:t>
            </w:r>
          </w:p>
        </w:tc>
        <w:tc>
          <w:tcPr>
            <w:tcW w:w="833" w:type="pct"/>
            <w:tcBorders>
              <w:top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342887</w:t>
            </w:r>
          </w:p>
        </w:tc>
        <w:tc>
          <w:tcPr>
            <w:tcW w:w="833" w:type="pct"/>
            <w:tcBorders>
              <w:top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192881</w:t>
            </w:r>
          </w:p>
        </w:tc>
        <w:tc>
          <w:tcPr>
            <w:tcW w:w="833" w:type="pct"/>
            <w:tcBorders>
              <w:top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668926</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75-79</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106769</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206948</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214947</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528664</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80-84</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86753</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108016</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213121</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407890</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85-89</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52242</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49036</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163401</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264679</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90-94</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20283</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15731</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76255</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112269</w:t>
            </w:r>
          </w:p>
        </w:tc>
      </w:tr>
      <w:tr w:rsidR="00050CCC" w:rsidRPr="00050CCC" w:rsidTr="00050CCC">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95-99</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4714</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3381</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17380</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25475</w:t>
            </w:r>
          </w:p>
        </w:tc>
      </w:tr>
    </w:tbl>
    <w:p w:rsidR="009213BB" w:rsidRDefault="00050CCC" w:rsidP="00050CCC">
      <w:pPr>
        <w:rPr>
          <w:rFonts w:ascii="Times New Roman" w:hAnsi="Times New Roman"/>
          <w:sz w:val="20"/>
          <w:szCs w:val="20"/>
        </w:rPr>
      </w:pPr>
      <w:r w:rsidRPr="00050CCC">
        <w:rPr>
          <w:rFonts w:ascii="Times New Roman" w:hAnsi="Times New Roman"/>
          <w:sz w:val="20"/>
          <w:szCs w:val="20"/>
          <w:u w:val="single"/>
        </w:rPr>
        <w:t>Fuente</w:t>
      </w:r>
      <w:r>
        <w:rPr>
          <w:rFonts w:ascii="Times New Roman" w:hAnsi="Times New Roman"/>
          <w:sz w:val="20"/>
          <w:szCs w:val="20"/>
        </w:rPr>
        <w:t>: Elaboración propia en base a ANSES</w:t>
      </w:r>
    </w:p>
    <w:p w:rsidR="00050CCC" w:rsidRDefault="00050CCC" w:rsidP="00050CCC">
      <w:pPr>
        <w:jc w:val="center"/>
        <w:rPr>
          <w:rFonts w:ascii="Times New Roman" w:hAnsi="Times New Roman"/>
          <w:sz w:val="20"/>
          <w:szCs w:val="20"/>
        </w:rPr>
      </w:pPr>
    </w:p>
    <w:p w:rsidR="00050CCC" w:rsidRDefault="00050CCC" w:rsidP="00050CCC">
      <w:pPr>
        <w:rPr>
          <w:rFonts w:ascii="Times New Roman" w:hAnsi="Times New Roman"/>
          <w:b/>
        </w:rPr>
      </w:pPr>
      <w:r>
        <w:rPr>
          <w:rFonts w:ascii="Times New Roman" w:hAnsi="Times New Roman"/>
          <w:b/>
        </w:rPr>
        <w:t>Tabla 2 Anexo: Cantidad de años persona</w:t>
      </w:r>
      <w:r w:rsidRPr="00265498">
        <w:rPr>
          <w:rFonts w:ascii="Times New Roman" w:hAnsi="Times New Roman"/>
          <w:b/>
        </w:rPr>
        <w:t xml:space="preserve"> por grupos de edad, sexo y tipo de prestación. </w:t>
      </w:r>
      <w:r>
        <w:rPr>
          <w:rFonts w:ascii="Times New Roman" w:hAnsi="Times New Roman"/>
          <w:b/>
        </w:rPr>
        <w:t>Total país</w:t>
      </w:r>
      <w:r w:rsidRPr="00265498">
        <w:rPr>
          <w:rFonts w:ascii="Times New Roman" w:hAnsi="Times New Roman"/>
          <w:b/>
        </w:rPr>
        <w:t>.</w:t>
      </w:r>
      <w:r>
        <w:rPr>
          <w:rFonts w:ascii="Times New Roman" w:hAnsi="Times New Roman"/>
          <w:b/>
        </w:rPr>
        <w:t xml:space="preserve"> Argentina, 2015-16</w:t>
      </w:r>
    </w:p>
    <w:p w:rsidR="00050CCC" w:rsidRDefault="00050CCC" w:rsidP="00050CCC">
      <w:pPr>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232"/>
        <w:gridCol w:w="1676"/>
        <w:gridCol w:w="1453"/>
        <w:gridCol w:w="1453"/>
        <w:gridCol w:w="1453"/>
        <w:gridCol w:w="1453"/>
      </w:tblGrid>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Edad</w:t>
            </w:r>
          </w:p>
        </w:tc>
        <w:tc>
          <w:tcPr>
            <w:tcW w:w="961"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Sexo</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JO</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MOR</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PS</w:t>
            </w:r>
          </w:p>
        </w:tc>
        <w:tc>
          <w:tcPr>
            <w:tcW w:w="833" w:type="pct"/>
            <w:shd w:val="clear" w:color="auto" w:fill="auto"/>
            <w:noWrap/>
            <w:vAlign w:val="bottom"/>
            <w:hideMark/>
          </w:tcPr>
          <w:p w:rsidR="00050CCC" w:rsidRPr="00050CCC" w:rsidRDefault="00050CCC" w:rsidP="00050CCC">
            <w:pPr>
              <w:spacing w:after="0"/>
              <w:jc w:val="center"/>
              <w:rPr>
                <w:rFonts w:ascii="Times New Roman" w:hAnsi="Times New Roman"/>
                <w:b/>
                <w:color w:val="000000"/>
                <w:sz w:val="20"/>
                <w:szCs w:val="20"/>
                <w:lang w:val="en-US"/>
              </w:rPr>
            </w:pPr>
            <w:r w:rsidRPr="00050CCC">
              <w:rPr>
                <w:rFonts w:ascii="Times New Roman" w:hAnsi="Times New Roman"/>
                <w:b/>
                <w:color w:val="000000"/>
                <w:sz w:val="20"/>
                <w:szCs w:val="20"/>
                <w:lang w:val="en-US"/>
              </w:rPr>
              <w:t>Total</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65-69</w:t>
            </w:r>
          </w:p>
        </w:tc>
        <w:tc>
          <w:tcPr>
            <w:tcW w:w="961" w:type="pct"/>
            <w:vMerge w:val="restart"/>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Hombres</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6491</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9284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671</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16446</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70-74</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8497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11273</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1374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21144</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75-79</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11652</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8467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2180</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22299</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80-84</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13918</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5074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3044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22036</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85-89</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10987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2667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3567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17221</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90-94</w:t>
            </w:r>
          </w:p>
        </w:tc>
        <w:tc>
          <w:tcPr>
            <w:tcW w:w="961" w:type="pct"/>
            <w:vMerge/>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5086</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894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2192</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8172</w:t>
            </w:r>
          </w:p>
        </w:tc>
      </w:tr>
      <w:tr w:rsidR="00050CCC" w:rsidRPr="00050CCC" w:rsidTr="00036D52">
        <w:trPr>
          <w:trHeight w:val="300"/>
        </w:trPr>
        <w:tc>
          <w:tcPr>
            <w:tcW w:w="706" w:type="pct"/>
            <w:tcBorders>
              <w:bottom w:val="single" w:sz="4" w:space="0" w:color="auto"/>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95-99</w:t>
            </w:r>
          </w:p>
        </w:tc>
        <w:tc>
          <w:tcPr>
            <w:tcW w:w="961" w:type="pct"/>
            <w:vMerge/>
            <w:tcBorders>
              <w:bottom w:val="single" w:sz="4" w:space="0" w:color="auto"/>
            </w:tcBorders>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tcBorders>
              <w:bottom w:val="single" w:sz="4" w:space="0" w:color="auto"/>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1057</w:t>
            </w:r>
          </w:p>
        </w:tc>
        <w:tc>
          <w:tcPr>
            <w:tcW w:w="833" w:type="pct"/>
            <w:tcBorders>
              <w:bottom w:val="single" w:sz="4" w:space="0" w:color="auto"/>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192</w:t>
            </w:r>
          </w:p>
        </w:tc>
        <w:tc>
          <w:tcPr>
            <w:tcW w:w="833" w:type="pct"/>
            <w:tcBorders>
              <w:bottom w:val="single" w:sz="4" w:space="0" w:color="auto"/>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570</w:t>
            </w:r>
          </w:p>
        </w:tc>
        <w:tc>
          <w:tcPr>
            <w:tcW w:w="833" w:type="pct"/>
            <w:tcBorders>
              <w:bottom w:val="single" w:sz="4" w:space="0" w:color="auto"/>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1819</w:t>
            </w:r>
          </w:p>
        </w:tc>
      </w:tr>
      <w:tr w:rsidR="00050CCC" w:rsidRPr="00050CCC" w:rsidTr="00036D52">
        <w:trPr>
          <w:trHeight w:val="300"/>
        </w:trPr>
        <w:tc>
          <w:tcPr>
            <w:tcW w:w="706" w:type="pct"/>
            <w:tcBorders>
              <w:top w:val="single" w:sz="4" w:space="0" w:color="auto"/>
              <w:bottom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65-69</w:t>
            </w:r>
          </w:p>
        </w:tc>
        <w:tc>
          <w:tcPr>
            <w:tcW w:w="961" w:type="pct"/>
            <w:vMerge w:val="restart"/>
            <w:tcBorders>
              <w:top w:val="single" w:sz="4" w:space="0" w:color="auto"/>
            </w:tcBorders>
            <w:shd w:val="clear" w:color="auto" w:fill="auto"/>
            <w:noWrap/>
            <w:vAlign w:val="center"/>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Mujeres</w:t>
            </w:r>
          </w:p>
        </w:tc>
        <w:tc>
          <w:tcPr>
            <w:tcW w:w="833" w:type="pct"/>
            <w:tcBorders>
              <w:top w:val="single" w:sz="4" w:space="0" w:color="auto"/>
              <w:bottom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1842</w:t>
            </w:r>
          </w:p>
        </w:tc>
        <w:tc>
          <w:tcPr>
            <w:tcW w:w="833" w:type="pct"/>
            <w:tcBorders>
              <w:top w:val="single" w:sz="4" w:space="0" w:color="auto"/>
              <w:bottom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7151</w:t>
            </w:r>
          </w:p>
        </w:tc>
        <w:tc>
          <w:tcPr>
            <w:tcW w:w="833" w:type="pct"/>
            <w:tcBorders>
              <w:top w:val="single" w:sz="4" w:space="0" w:color="auto"/>
              <w:bottom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2537</w:t>
            </w:r>
          </w:p>
        </w:tc>
        <w:tc>
          <w:tcPr>
            <w:tcW w:w="833" w:type="pct"/>
            <w:tcBorders>
              <w:top w:val="single" w:sz="4" w:space="0" w:color="auto"/>
              <w:bottom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11530</w:t>
            </w:r>
          </w:p>
        </w:tc>
      </w:tr>
      <w:tr w:rsidR="00050CCC" w:rsidRPr="00050CCC" w:rsidTr="00036D52">
        <w:trPr>
          <w:trHeight w:val="300"/>
        </w:trPr>
        <w:tc>
          <w:tcPr>
            <w:tcW w:w="706" w:type="pct"/>
            <w:tcBorders>
              <w:top w:val="nil"/>
            </w:tcBorders>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70-74</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tcBorders>
              <w:top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2388</w:t>
            </w:r>
          </w:p>
        </w:tc>
        <w:tc>
          <w:tcPr>
            <w:tcW w:w="833" w:type="pct"/>
            <w:tcBorders>
              <w:top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7949</w:t>
            </w:r>
          </w:p>
        </w:tc>
        <w:tc>
          <w:tcPr>
            <w:tcW w:w="833" w:type="pct"/>
            <w:tcBorders>
              <w:top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4573</w:t>
            </w:r>
          </w:p>
        </w:tc>
        <w:tc>
          <w:tcPr>
            <w:tcW w:w="833" w:type="pct"/>
            <w:tcBorders>
              <w:top w:val="nil"/>
            </w:tcBorders>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14910</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75-79</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3390</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7876</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8234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19500</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80-84</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5115</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7189</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14245</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26549</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85-89</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5327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5492</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18338</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29157</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90-94</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3459</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2727</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13654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19840</w:t>
            </w:r>
          </w:p>
        </w:tc>
      </w:tr>
      <w:tr w:rsidR="00050CCC" w:rsidRPr="00050CCC" w:rsidTr="00036D52">
        <w:trPr>
          <w:trHeight w:val="300"/>
        </w:trPr>
        <w:tc>
          <w:tcPr>
            <w:tcW w:w="706" w:type="pct"/>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r w:rsidRPr="00050CCC">
              <w:rPr>
                <w:rFonts w:ascii="Times New Roman" w:hAnsi="Times New Roman"/>
                <w:color w:val="000000"/>
                <w:sz w:val="20"/>
                <w:szCs w:val="20"/>
                <w:lang w:val="en-US"/>
              </w:rPr>
              <w:t>95-99</w:t>
            </w:r>
          </w:p>
        </w:tc>
        <w:tc>
          <w:tcPr>
            <w:tcW w:w="961" w:type="pct"/>
            <w:vMerge/>
            <w:shd w:val="clear" w:color="auto" w:fill="auto"/>
            <w:noWrap/>
            <w:vAlign w:val="bottom"/>
            <w:hideMark/>
          </w:tcPr>
          <w:p w:rsidR="00050CCC" w:rsidRPr="00050CCC" w:rsidRDefault="00050CCC" w:rsidP="00050CCC">
            <w:pPr>
              <w:spacing w:after="0"/>
              <w:jc w:val="center"/>
              <w:rPr>
                <w:rFonts w:ascii="Times New Roman" w:hAnsi="Times New Roman"/>
                <w:color w:val="000000"/>
                <w:sz w:val="20"/>
                <w:szCs w:val="20"/>
                <w:lang w:val="en-US"/>
              </w:rPr>
            </w:pP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1145</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778</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4484</w:t>
            </w:r>
          </w:p>
        </w:tc>
        <w:tc>
          <w:tcPr>
            <w:tcW w:w="833" w:type="pct"/>
            <w:shd w:val="clear" w:color="auto" w:fill="auto"/>
            <w:noWrap/>
            <w:vAlign w:val="bottom"/>
            <w:hideMark/>
          </w:tcPr>
          <w:p w:rsidR="00050CCC" w:rsidRPr="00050CCC" w:rsidRDefault="00050CCC" w:rsidP="00050CCC">
            <w:pPr>
              <w:jc w:val="center"/>
              <w:rPr>
                <w:rFonts w:ascii="Times New Roman" w:hAnsi="Times New Roman"/>
                <w:color w:val="000000"/>
                <w:sz w:val="20"/>
                <w:szCs w:val="20"/>
              </w:rPr>
            </w:pPr>
            <w:r w:rsidRPr="00050CCC">
              <w:rPr>
                <w:rFonts w:ascii="Times New Roman" w:hAnsi="Times New Roman"/>
                <w:color w:val="000000"/>
                <w:sz w:val="20"/>
                <w:szCs w:val="20"/>
              </w:rPr>
              <w:t>6407</w:t>
            </w:r>
          </w:p>
        </w:tc>
      </w:tr>
    </w:tbl>
    <w:p w:rsidR="00050CCC" w:rsidRDefault="00050CCC" w:rsidP="00050CCC">
      <w:pPr>
        <w:rPr>
          <w:rFonts w:ascii="Times New Roman" w:hAnsi="Times New Roman"/>
          <w:sz w:val="20"/>
          <w:szCs w:val="20"/>
        </w:rPr>
      </w:pPr>
      <w:r w:rsidRPr="00050CCC">
        <w:rPr>
          <w:rFonts w:ascii="Times New Roman" w:hAnsi="Times New Roman"/>
          <w:sz w:val="20"/>
          <w:szCs w:val="20"/>
          <w:u w:val="single"/>
        </w:rPr>
        <w:t>Fuente</w:t>
      </w:r>
      <w:r>
        <w:rPr>
          <w:rFonts w:ascii="Times New Roman" w:hAnsi="Times New Roman"/>
          <w:sz w:val="20"/>
          <w:szCs w:val="20"/>
        </w:rPr>
        <w:t>: Elaboración propia en base a ANSES</w:t>
      </w:r>
    </w:p>
    <w:sectPr w:rsidR="00050CCC" w:rsidSect="00220536">
      <w:head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0BC" w:rsidRDefault="006D60BC" w:rsidP="009F44A8">
      <w:pPr>
        <w:spacing w:after="0"/>
      </w:pPr>
      <w:r>
        <w:separator/>
      </w:r>
    </w:p>
  </w:endnote>
  <w:endnote w:type="continuationSeparator" w:id="0">
    <w:p w:rsidR="006D60BC" w:rsidRDefault="006D60BC" w:rsidP="009F44A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EX10">
    <w:altName w:val="Vrinda"/>
    <w:panose1 w:val="020B0500000000000000"/>
    <w:charset w:val="00"/>
    <w:family w:val="roman"/>
    <w:notTrueType/>
    <w:pitch w:val="default"/>
    <w:sig w:usb0="00000000" w:usb1="00000000" w:usb2="00000000" w:usb3="00000000" w:csb0="00000000" w:csb1="00000000"/>
  </w:font>
  <w:font w:name="CMSSI8">
    <w:altName w:val="Times New Roman"/>
    <w:panose1 w:val="00000000000000000000"/>
    <w:charset w:val="00"/>
    <w:family w:val="roman"/>
    <w:notTrueType/>
    <w:pitch w:val="default"/>
    <w:sig w:usb0="00000000" w:usb1="00000000" w:usb2="00000000" w:usb3="00000000" w:csb0="00000000" w:csb1="00000000"/>
  </w:font>
  <w:font w:name="CMSSI10">
    <w:altName w:val="Times New Roman"/>
    <w:panose1 w:val="00000000000000000000"/>
    <w:charset w:val="00"/>
    <w:family w:val="roman"/>
    <w:notTrueType/>
    <w:pitch w:val="default"/>
    <w:sig w:usb0="00000000" w:usb1="00000000" w:usb2="00000000" w:usb3="00000000" w:csb0="00000000" w:csb1="00000000"/>
  </w:font>
  <w:font w:name="CMSS10">
    <w:altName w:val="Vrinda"/>
    <w:panose1 w:val="020B0500000000000000"/>
    <w:charset w:val="00"/>
    <w:family w:val="roman"/>
    <w:notTrueType/>
    <w:pitch w:val="default"/>
    <w:sig w:usb0="00000000" w:usb1="00000000" w:usb2="00000000" w:usb3="00000000" w:csb0="00000000" w:csb1="00000000"/>
  </w:font>
  <w:font w:name="CMSS8">
    <w:altName w:val="Times New Roman"/>
    <w:panose1 w:val="00000000000000000000"/>
    <w:charset w:val="00"/>
    <w:family w:val="roman"/>
    <w:notTrueType/>
    <w:pitch w:val="default"/>
    <w:sig w:usb0="00000000" w:usb1="00000000" w:usb2="00000000" w:usb3="00000000" w:csb0="00000000" w:csb1="00000000"/>
  </w:font>
  <w:font w:name="CMSY10">
    <w:altName w:val="Vrinda"/>
    <w:panose1 w:val="020B05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0BC" w:rsidRDefault="006D60BC" w:rsidP="009F44A8">
      <w:pPr>
        <w:spacing w:after="0"/>
      </w:pPr>
      <w:r>
        <w:separator/>
      </w:r>
    </w:p>
  </w:footnote>
  <w:footnote w:type="continuationSeparator" w:id="0">
    <w:p w:rsidR="006D60BC" w:rsidRDefault="006D60BC" w:rsidP="009F44A8">
      <w:pPr>
        <w:spacing w:after="0"/>
      </w:pPr>
      <w:r>
        <w:continuationSeparator/>
      </w:r>
    </w:p>
  </w:footnote>
  <w:footnote w:id="1">
    <w:p w:rsidR="00631CC3" w:rsidRPr="00BC2A65" w:rsidRDefault="00631CC3">
      <w:pPr>
        <w:pStyle w:val="Textonotapie"/>
      </w:pPr>
      <w:r>
        <w:rPr>
          <w:rStyle w:val="Refdenotaalpie"/>
        </w:rPr>
        <w:footnoteRef/>
      </w:r>
      <w:r>
        <w:t xml:space="preserve"> Algunos resultados de este estudio fueron parte del Trabajo Final de Especialización de Octavio N. Bramajo en la Especialización y Maestría en Demografía Social de la Universidad Nacional de Luján (UNLU), Argentina. Todas las estimaciones y opiniones realizadas en este artículo son exclusiva responsabilidad del autor.</w:t>
      </w:r>
    </w:p>
  </w:footnote>
  <w:footnote w:id="2">
    <w:p w:rsidR="00631CC3" w:rsidRPr="008F7DA7" w:rsidRDefault="00631CC3">
      <w:pPr>
        <w:pStyle w:val="Textonotapie"/>
      </w:pPr>
      <w:r>
        <w:rPr>
          <w:rStyle w:val="Refdenotaalpie"/>
        </w:rPr>
        <w:footnoteRef/>
      </w:r>
      <w:r>
        <w:t xml:space="preserve"> El autor agradece las observaciones y comentarios de Jesús Daniel Zazueta Borboa, sumamente útiles para mejorar el artículo.</w:t>
      </w:r>
    </w:p>
  </w:footnote>
  <w:footnote w:id="3">
    <w:p w:rsidR="00631CC3" w:rsidRPr="00E65ADA" w:rsidRDefault="00631CC3" w:rsidP="00E65ADA">
      <w:pPr>
        <w:pStyle w:val="Textonotapie"/>
        <w:rPr>
          <w:lang w:val="es-AR"/>
        </w:rPr>
      </w:pPr>
      <w:r>
        <w:rPr>
          <w:rStyle w:val="Refdenotaalpie"/>
        </w:rPr>
        <w:footnoteRef/>
      </w:r>
      <w:r w:rsidRPr="00E65ADA">
        <w:rPr>
          <w:lang w:val="es-AR"/>
        </w:rPr>
        <w:t xml:space="preserve"> La ENAPROSS fue llevada a cabo en 2015 por el</w:t>
      </w:r>
      <w:r>
        <w:rPr>
          <w:lang w:val="es-AR"/>
        </w:rPr>
        <w:t xml:space="preserve"> entonces</w:t>
      </w:r>
      <w:r w:rsidRPr="00E65ADA">
        <w:rPr>
          <w:lang w:val="es-AR"/>
        </w:rPr>
        <w:t xml:space="preserve"> Ministerio de Trabajo, Empleo y Seguridad Social de </w:t>
      </w:r>
      <w:r>
        <w:rPr>
          <w:lang w:val="es-AR"/>
        </w:rPr>
        <w:t>Argentina</w:t>
      </w:r>
      <w:r w:rsidRPr="00E65ADA">
        <w:rPr>
          <w:lang w:val="es-AR"/>
        </w:rPr>
        <w:t>.</w:t>
      </w:r>
    </w:p>
  </w:footnote>
  <w:footnote w:id="4">
    <w:p w:rsidR="00631CC3" w:rsidRPr="00187261" w:rsidRDefault="00631CC3" w:rsidP="00187261">
      <w:pPr>
        <w:pStyle w:val="Textonotapie"/>
      </w:pPr>
      <w:r>
        <w:rPr>
          <w:rStyle w:val="Refdenotaalpie"/>
        </w:rPr>
        <w:footnoteRef/>
      </w:r>
      <w:r>
        <w:t xml:space="preserve"> Siendo el JO el grupo de referencia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68445"/>
      <w:docPartObj>
        <w:docPartGallery w:val="Page Numbers (Top of Page)"/>
        <w:docPartUnique/>
      </w:docPartObj>
    </w:sdtPr>
    <w:sdtContent>
      <w:p w:rsidR="00631CC3" w:rsidRDefault="00631CC3">
        <w:pPr>
          <w:pStyle w:val="Encabezado"/>
          <w:jc w:val="right"/>
        </w:pPr>
        <w:fldSimple w:instr=" PAGE   \* MERGEFORMAT ">
          <w:r w:rsidR="00E74844">
            <w:rPr>
              <w:noProof/>
            </w:rPr>
            <w:t>2</w:t>
          </w:r>
        </w:fldSimple>
      </w:p>
    </w:sdtContent>
  </w:sdt>
  <w:p w:rsidR="00631CC3" w:rsidRDefault="00631CC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085A"/>
    <w:multiLevelType w:val="hybridMultilevel"/>
    <w:tmpl w:val="9E06E7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D0899"/>
    <w:multiLevelType w:val="hybridMultilevel"/>
    <w:tmpl w:val="9E06E7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486B50"/>
    <w:multiLevelType w:val="hybridMultilevel"/>
    <w:tmpl w:val="CA64E38A"/>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EE31EF0"/>
    <w:multiLevelType w:val="hybridMultilevel"/>
    <w:tmpl w:val="CA64E38A"/>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037EFC"/>
    <w:multiLevelType w:val="hybridMultilevel"/>
    <w:tmpl w:val="CA64E38A"/>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2D5AAE"/>
    <w:multiLevelType w:val="hybridMultilevel"/>
    <w:tmpl w:val="9E06E7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101EE4"/>
    <w:multiLevelType w:val="hybridMultilevel"/>
    <w:tmpl w:val="6C7AFDD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778C0E65"/>
    <w:multiLevelType w:val="hybridMultilevel"/>
    <w:tmpl w:val="6C7A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F44A8"/>
    <w:rsid w:val="00004A32"/>
    <w:rsid w:val="00004D63"/>
    <w:rsid w:val="00010047"/>
    <w:rsid w:val="00011153"/>
    <w:rsid w:val="0001189A"/>
    <w:rsid w:val="00015836"/>
    <w:rsid w:val="000226F8"/>
    <w:rsid w:val="000250D1"/>
    <w:rsid w:val="00032CA1"/>
    <w:rsid w:val="00036D52"/>
    <w:rsid w:val="00040EC2"/>
    <w:rsid w:val="00041075"/>
    <w:rsid w:val="000438D1"/>
    <w:rsid w:val="00044BB8"/>
    <w:rsid w:val="00046752"/>
    <w:rsid w:val="00050B88"/>
    <w:rsid w:val="00050CCC"/>
    <w:rsid w:val="00050FCA"/>
    <w:rsid w:val="00052B3E"/>
    <w:rsid w:val="00054CDB"/>
    <w:rsid w:val="00060810"/>
    <w:rsid w:val="000614F4"/>
    <w:rsid w:val="00065F04"/>
    <w:rsid w:val="00071510"/>
    <w:rsid w:val="000717C0"/>
    <w:rsid w:val="00072C40"/>
    <w:rsid w:val="00073590"/>
    <w:rsid w:val="000867BC"/>
    <w:rsid w:val="00094519"/>
    <w:rsid w:val="00095AFE"/>
    <w:rsid w:val="0009625E"/>
    <w:rsid w:val="00096BC4"/>
    <w:rsid w:val="000A31DF"/>
    <w:rsid w:val="000A699E"/>
    <w:rsid w:val="000A7D1D"/>
    <w:rsid w:val="000B1EA5"/>
    <w:rsid w:val="000B336E"/>
    <w:rsid w:val="000B33FC"/>
    <w:rsid w:val="000B5129"/>
    <w:rsid w:val="000B5789"/>
    <w:rsid w:val="000C085E"/>
    <w:rsid w:val="000C7DDD"/>
    <w:rsid w:val="000D66D1"/>
    <w:rsid w:val="000D6E0B"/>
    <w:rsid w:val="000E413F"/>
    <w:rsid w:val="000E4738"/>
    <w:rsid w:val="000E6421"/>
    <w:rsid w:val="000F0043"/>
    <w:rsid w:val="000F11F8"/>
    <w:rsid w:val="00100D69"/>
    <w:rsid w:val="00115BD2"/>
    <w:rsid w:val="00122A45"/>
    <w:rsid w:val="00125677"/>
    <w:rsid w:val="0013189E"/>
    <w:rsid w:val="00131E45"/>
    <w:rsid w:val="00135B95"/>
    <w:rsid w:val="00137B1F"/>
    <w:rsid w:val="001404A8"/>
    <w:rsid w:val="001507A3"/>
    <w:rsid w:val="00154389"/>
    <w:rsid w:val="0016059E"/>
    <w:rsid w:val="00160EA2"/>
    <w:rsid w:val="00162A74"/>
    <w:rsid w:val="00166076"/>
    <w:rsid w:val="0018275F"/>
    <w:rsid w:val="00187261"/>
    <w:rsid w:val="00190030"/>
    <w:rsid w:val="001916BA"/>
    <w:rsid w:val="00194438"/>
    <w:rsid w:val="001A1A8D"/>
    <w:rsid w:val="001A436C"/>
    <w:rsid w:val="001A4C2D"/>
    <w:rsid w:val="001A6BF0"/>
    <w:rsid w:val="001A71AA"/>
    <w:rsid w:val="001B2215"/>
    <w:rsid w:val="001B546D"/>
    <w:rsid w:val="001C31D6"/>
    <w:rsid w:val="001C3894"/>
    <w:rsid w:val="001C5845"/>
    <w:rsid w:val="001C63C5"/>
    <w:rsid w:val="001D655B"/>
    <w:rsid w:val="001D7267"/>
    <w:rsid w:val="001D7E24"/>
    <w:rsid w:val="001E261C"/>
    <w:rsid w:val="001E76C3"/>
    <w:rsid w:val="001F4D99"/>
    <w:rsid w:val="001F5A96"/>
    <w:rsid w:val="002029FE"/>
    <w:rsid w:val="002061F9"/>
    <w:rsid w:val="00216903"/>
    <w:rsid w:val="00216CF6"/>
    <w:rsid w:val="00216F08"/>
    <w:rsid w:val="00220536"/>
    <w:rsid w:val="00227F3C"/>
    <w:rsid w:val="002313D1"/>
    <w:rsid w:val="0023575A"/>
    <w:rsid w:val="00237857"/>
    <w:rsid w:val="0024192A"/>
    <w:rsid w:val="00241C39"/>
    <w:rsid w:val="00241DA2"/>
    <w:rsid w:val="00245E17"/>
    <w:rsid w:val="0025247E"/>
    <w:rsid w:val="00253B6E"/>
    <w:rsid w:val="00254420"/>
    <w:rsid w:val="00256D82"/>
    <w:rsid w:val="00262E75"/>
    <w:rsid w:val="00265498"/>
    <w:rsid w:val="002726C1"/>
    <w:rsid w:val="00274FF3"/>
    <w:rsid w:val="0027797A"/>
    <w:rsid w:val="0028548F"/>
    <w:rsid w:val="00286CB0"/>
    <w:rsid w:val="0029757C"/>
    <w:rsid w:val="002B34F0"/>
    <w:rsid w:val="002C544F"/>
    <w:rsid w:val="002D4A87"/>
    <w:rsid w:val="002E5D4C"/>
    <w:rsid w:val="002E7605"/>
    <w:rsid w:val="002F17BC"/>
    <w:rsid w:val="002F21F5"/>
    <w:rsid w:val="002F2CA8"/>
    <w:rsid w:val="00313560"/>
    <w:rsid w:val="00313972"/>
    <w:rsid w:val="00314E1B"/>
    <w:rsid w:val="00317300"/>
    <w:rsid w:val="00323DC5"/>
    <w:rsid w:val="00326D36"/>
    <w:rsid w:val="003327C9"/>
    <w:rsid w:val="00346E72"/>
    <w:rsid w:val="0036111E"/>
    <w:rsid w:val="003627F1"/>
    <w:rsid w:val="0036639E"/>
    <w:rsid w:val="00370F45"/>
    <w:rsid w:val="003A2111"/>
    <w:rsid w:val="003A397F"/>
    <w:rsid w:val="003B4DD8"/>
    <w:rsid w:val="003B4EF1"/>
    <w:rsid w:val="003B5529"/>
    <w:rsid w:val="003C0A6E"/>
    <w:rsid w:val="003D187E"/>
    <w:rsid w:val="003D3F57"/>
    <w:rsid w:val="003D5C34"/>
    <w:rsid w:val="003E308B"/>
    <w:rsid w:val="003E636F"/>
    <w:rsid w:val="003F15FF"/>
    <w:rsid w:val="003F6AFC"/>
    <w:rsid w:val="00401315"/>
    <w:rsid w:val="00407066"/>
    <w:rsid w:val="00411115"/>
    <w:rsid w:val="0041467F"/>
    <w:rsid w:val="00415489"/>
    <w:rsid w:val="004176E9"/>
    <w:rsid w:val="00421E23"/>
    <w:rsid w:val="00421F2D"/>
    <w:rsid w:val="0042547D"/>
    <w:rsid w:val="00425AFA"/>
    <w:rsid w:val="004322CF"/>
    <w:rsid w:val="00432665"/>
    <w:rsid w:val="0043284C"/>
    <w:rsid w:val="004340FA"/>
    <w:rsid w:val="0043600A"/>
    <w:rsid w:val="00443741"/>
    <w:rsid w:val="00444D2F"/>
    <w:rsid w:val="00445C36"/>
    <w:rsid w:val="00453798"/>
    <w:rsid w:val="00455103"/>
    <w:rsid w:val="004604BF"/>
    <w:rsid w:val="004712BF"/>
    <w:rsid w:val="00471DD9"/>
    <w:rsid w:val="00471F2D"/>
    <w:rsid w:val="0047269C"/>
    <w:rsid w:val="00483D13"/>
    <w:rsid w:val="00493A36"/>
    <w:rsid w:val="00493F15"/>
    <w:rsid w:val="00497F59"/>
    <w:rsid w:val="004A0A51"/>
    <w:rsid w:val="004A4999"/>
    <w:rsid w:val="004A4EDF"/>
    <w:rsid w:val="004A7044"/>
    <w:rsid w:val="004B38A5"/>
    <w:rsid w:val="004B6F46"/>
    <w:rsid w:val="004C2660"/>
    <w:rsid w:val="004C68AF"/>
    <w:rsid w:val="004D113D"/>
    <w:rsid w:val="004D161F"/>
    <w:rsid w:val="004D7DCE"/>
    <w:rsid w:val="004E2133"/>
    <w:rsid w:val="004E3FCC"/>
    <w:rsid w:val="004E6B38"/>
    <w:rsid w:val="004F50AA"/>
    <w:rsid w:val="004F59CD"/>
    <w:rsid w:val="005000D1"/>
    <w:rsid w:val="00501BA3"/>
    <w:rsid w:val="00501DC0"/>
    <w:rsid w:val="00502EF8"/>
    <w:rsid w:val="00515B18"/>
    <w:rsid w:val="00523ABB"/>
    <w:rsid w:val="00525BD1"/>
    <w:rsid w:val="00526072"/>
    <w:rsid w:val="00531CBA"/>
    <w:rsid w:val="00534ECF"/>
    <w:rsid w:val="005352B2"/>
    <w:rsid w:val="00537681"/>
    <w:rsid w:val="005447C9"/>
    <w:rsid w:val="00544C66"/>
    <w:rsid w:val="00553E44"/>
    <w:rsid w:val="00556A33"/>
    <w:rsid w:val="00560142"/>
    <w:rsid w:val="00565FAD"/>
    <w:rsid w:val="00573878"/>
    <w:rsid w:val="00573C65"/>
    <w:rsid w:val="00576DA1"/>
    <w:rsid w:val="00577569"/>
    <w:rsid w:val="00580176"/>
    <w:rsid w:val="005814B0"/>
    <w:rsid w:val="005827D5"/>
    <w:rsid w:val="005A5173"/>
    <w:rsid w:val="005A6094"/>
    <w:rsid w:val="005A6C1A"/>
    <w:rsid w:val="005B0180"/>
    <w:rsid w:val="005B4E3A"/>
    <w:rsid w:val="005B580E"/>
    <w:rsid w:val="005C3481"/>
    <w:rsid w:val="005C489E"/>
    <w:rsid w:val="005C7247"/>
    <w:rsid w:val="005D08E0"/>
    <w:rsid w:val="005D10C1"/>
    <w:rsid w:val="005D3D3D"/>
    <w:rsid w:val="005D5C1D"/>
    <w:rsid w:val="005D67BA"/>
    <w:rsid w:val="005D7D5E"/>
    <w:rsid w:val="005E1EB0"/>
    <w:rsid w:val="005E5ACB"/>
    <w:rsid w:val="005F383C"/>
    <w:rsid w:val="00602A5A"/>
    <w:rsid w:val="0060530C"/>
    <w:rsid w:val="00607524"/>
    <w:rsid w:val="006110EA"/>
    <w:rsid w:val="0061534F"/>
    <w:rsid w:val="006168B9"/>
    <w:rsid w:val="00617155"/>
    <w:rsid w:val="00620E9F"/>
    <w:rsid w:val="006226D1"/>
    <w:rsid w:val="0062279D"/>
    <w:rsid w:val="00622B1D"/>
    <w:rsid w:val="006252EB"/>
    <w:rsid w:val="00625953"/>
    <w:rsid w:val="00631CC3"/>
    <w:rsid w:val="0063545A"/>
    <w:rsid w:val="00637656"/>
    <w:rsid w:val="00637ECF"/>
    <w:rsid w:val="00643388"/>
    <w:rsid w:val="00643743"/>
    <w:rsid w:val="00646563"/>
    <w:rsid w:val="0065671E"/>
    <w:rsid w:val="0066326A"/>
    <w:rsid w:val="006721FA"/>
    <w:rsid w:val="00690D1A"/>
    <w:rsid w:val="00696DB3"/>
    <w:rsid w:val="006A3116"/>
    <w:rsid w:val="006A5476"/>
    <w:rsid w:val="006A5A42"/>
    <w:rsid w:val="006A6BD9"/>
    <w:rsid w:val="006B0FD4"/>
    <w:rsid w:val="006B5DFA"/>
    <w:rsid w:val="006B6542"/>
    <w:rsid w:val="006C0BFC"/>
    <w:rsid w:val="006C36C4"/>
    <w:rsid w:val="006C5267"/>
    <w:rsid w:val="006C72A8"/>
    <w:rsid w:val="006D11F9"/>
    <w:rsid w:val="006D2F28"/>
    <w:rsid w:val="006D3FE1"/>
    <w:rsid w:val="006D60BC"/>
    <w:rsid w:val="006D7FF6"/>
    <w:rsid w:val="006E058C"/>
    <w:rsid w:val="006E05AD"/>
    <w:rsid w:val="006F26C6"/>
    <w:rsid w:val="006F541C"/>
    <w:rsid w:val="006F5A3C"/>
    <w:rsid w:val="006F6A1F"/>
    <w:rsid w:val="0070044C"/>
    <w:rsid w:val="00700EAC"/>
    <w:rsid w:val="00703322"/>
    <w:rsid w:val="00704B8D"/>
    <w:rsid w:val="00704F0E"/>
    <w:rsid w:val="007055E5"/>
    <w:rsid w:val="0071092E"/>
    <w:rsid w:val="00720A79"/>
    <w:rsid w:val="00725263"/>
    <w:rsid w:val="0072602E"/>
    <w:rsid w:val="00726DAD"/>
    <w:rsid w:val="00730606"/>
    <w:rsid w:val="007344E5"/>
    <w:rsid w:val="00741230"/>
    <w:rsid w:val="007428E1"/>
    <w:rsid w:val="00744FBE"/>
    <w:rsid w:val="007477CE"/>
    <w:rsid w:val="00747EE2"/>
    <w:rsid w:val="007634CB"/>
    <w:rsid w:val="00764B4A"/>
    <w:rsid w:val="00766406"/>
    <w:rsid w:val="0077055C"/>
    <w:rsid w:val="00770AB3"/>
    <w:rsid w:val="00771ACB"/>
    <w:rsid w:val="00774BF2"/>
    <w:rsid w:val="007757E8"/>
    <w:rsid w:val="00782C01"/>
    <w:rsid w:val="00782C87"/>
    <w:rsid w:val="007841CF"/>
    <w:rsid w:val="00787973"/>
    <w:rsid w:val="00795834"/>
    <w:rsid w:val="007965B2"/>
    <w:rsid w:val="007A155D"/>
    <w:rsid w:val="007A67C0"/>
    <w:rsid w:val="007B433C"/>
    <w:rsid w:val="007B4992"/>
    <w:rsid w:val="007C12CE"/>
    <w:rsid w:val="007C51EC"/>
    <w:rsid w:val="007D00ED"/>
    <w:rsid w:val="007F67F1"/>
    <w:rsid w:val="0080265A"/>
    <w:rsid w:val="0081250D"/>
    <w:rsid w:val="008164BE"/>
    <w:rsid w:val="00816B08"/>
    <w:rsid w:val="00827DD7"/>
    <w:rsid w:val="00831F0F"/>
    <w:rsid w:val="00834A37"/>
    <w:rsid w:val="0084006F"/>
    <w:rsid w:val="0084087C"/>
    <w:rsid w:val="008501B1"/>
    <w:rsid w:val="00851BF8"/>
    <w:rsid w:val="00862376"/>
    <w:rsid w:val="0087007D"/>
    <w:rsid w:val="00875FEB"/>
    <w:rsid w:val="008768E1"/>
    <w:rsid w:val="00882941"/>
    <w:rsid w:val="0088339F"/>
    <w:rsid w:val="008840E2"/>
    <w:rsid w:val="008851AB"/>
    <w:rsid w:val="008944BF"/>
    <w:rsid w:val="008A36A4"/>
    <w:rsid w:val="008A7395"/>
    <w:rsid w:val="008B39E8"/>
    <w:rsid w:val="008B498A"/>
    <w:rsid w:val="008B55A4"/>
    <w:rsid w:val="008B71AD"/>
    <w:rsid w:val="008C01E5"/>
    <w:rsid w:val="008C06AB"/>
    <w:rsid w:val="008C1EEC"/>
    <w:rsid w:val="008C49E9"/>
    <w:rsid w:val="008D0078"/>
    <w:rsid w:val="008D1841"/>
    <w:rsid w:val="008D5432"/>
    <w:rsid w:val="008D74DB"/>
    <w:rsid w:val="008E3C54"/>
    <w:rsid w:val="008F2059"/>
    <w:rsid w:val="008F3053"/>
    <w:rsid w:val="008F7DA7"/>
    <w:rsid w:val="0090175C"/>
    <w:rsid w:val="0090191A"/>
    <w:rsid w:val="00905734"/>
    <w:rsid w:val="00914B80"/>
    <w:rsid w:val="00920339"/>
    <w:rsid w:val="00920EA0"/>
    <w:rsid w:val="009213BB"/>
    <w:rsid w:val="00921B76"/>
    <w:rsid w:val="0092311D"/>
    <w:rsid w:val="00923E95"/>
    <w:rsid w:val="00923F4F"/>
    <w:rsid w:val="00931B4D"/>
    <w:rsid w:val="0093644C"/>
    <w:rsid w:val="0094352D"/>
    <w:rsid w:val="00947C40"/>
    <w:rsid w:val="0095055D"/>
    <w:rsid w:val="00955869"/>
    <w:rsid w:val="009577EB"/>
    <w:rsid w:val="00971CC7"/>
    <w:rsid w:val="00976CB4"/>
    <w:rsid w:val="00977774"/>
    <w:rsid w:val="00977E2F"/>
    <w:rsid w:val="00980494"/>
    <w:rsid w:val="009808C0"/>
    <w:rsid w:val="00983041"/>
    <w:rsid w:val="009838AA"/>
    <w:rsid w:val="00983CAA"/>
    <w:rsid w:val="009873C7"/>
    <w:rsid w:val="00994249"/>
    <w:rsid w:val="00996B21"/>
    <w:rsid w:val="009A24FB"/>
    <w:rsid w:val="009A6E26"/>
    <w:rsid w:val="009B6725"/>
    <w:rsid w:val="009C3671"/>
    <w:rsid w:val="009C68A8"/>
    <w:rsid w:val="009D2612"/>
    <w:rsid w:val="009D60C8"/>
    <w:rsid w:val="009E6587"/>
    <w:rsid w:val="009F0C0D"/>
    <w:rsid w:val="009F27C7"/>
    <w:rsid w:val="009F44A8"/>
    <w:rsid w:val="00A023E1"/>
    <w:rsid w:val="00A105D2"/>
    <w:rsid w:val="00A1248C"/>
    <w:rsid w:val="00A15D90"/>
    <w:rsid w:val="00A21FBF"/>
    <w:rsid w:val="00A23214"/>
    <w:rsid w:val="00A27B24"/>
    <w:rsid w:val="00A302FE"/>
    <w:rsid w:val="00A36D65"/>
    <w:rsid w:val="00A43D0F"/>
    <w:rsid w:val="00A46FB3"/>
    <w:rsid w:val="00A47AAB"/>
    <w:rsid w:val="00A47BB8"/>
    <w:rsid w:val="00A47F0D"/>
    <w:rsid w:val="00A527B6"/>
    <w:rsid w:val="00A563C7"/>
    <w:rsid w:val="00A632B2"/>
    <w:rsid w:val="00A634F1"/>
    <w:rsid w:val="00A6431E"/>
    <w:rsid w:val="00A7129A"/>
    <w:rsid w:val="00A71B72"/>
    <w:rsid w:val="00A8042D"/>
    <w:rsid w:val="00A8066C"/>
    <w:rsid w:val="00A83149"/>
    <w:rsid w:val="00A83DF6"/>
    <w:rsid w:val="00A8417B"/>
    <w:rsid w:val="00A84A17"/>
    <w:rsid w:val="00AA1F62"/>
    <w:rsid w:val="00AA3358"/>
    <w:rsid w:val="00AB094D"/>
    <w:rsid w:val="00AB42C6"/>
    <w:rsid w:val="00AB5C70"/>
    <w:rsid w:val="00AC42D5"/>
    <w:rsid w:val="00AC6C0D"/>
    <w:rsid w:val="00AE19C4"/>
    <w:rsid w:val="00AF1A0E"/>
    <w:rsid w:val="00AF206B"/>
    <w:rsid w:val="00AF4EE2"/>
    <w:rsid w:val="00AF6DC8"/>
    <w:rsid w:val="00B00EE8"/>
    <w:rsid w:val="00B0387B"/>
    <w:rsid w:val="00B17ABB"/>
    <w:rsid w:val="00B20ADA"/>
    <w:rsid w:val="00B2197E"/>
    <w:rsid w:val="00B22882"/>
    <w:rsid w:val="00B313B1"/>
    <w:rsid w:val="00B34146"/>
    <w:rsid w:val="00B3685E"/>
    <w:rsid w:val="00B42453"/>
    <w:rsid w:val="00B4446B"/>
    <w:rsid w:val="00B466F4"/>
    <w:rsid w:val="00B50793"/>
    <w:rsid w:val="00B5090F"/>
    <w:rsid w:val="00B51695"/>
    <w:rsid w:val="00B534AE"/>
    <w:rsid w:val="00B62FAD"/>
    <w:rsid w:val="00B6521E"/>
    <w:rsid w:val="00B70A88"/>
    <w:rsid w:val="00B70CDC"/>
    <w:rsid w:val="00B71B70"/>
    <w:rsid w:val="00B74A74"/>
    <w:rsid w:val="00B7596A"/>
    <w:rsid w:val="00B82FC9"/>
    <w:rsid w:val="00B84C63"/>
    <w:rsid w:val="00B8523D"/>
    <w:rsid w:val="00B90563"/>
    <w:rsid w:val="00B90AA7"/>
    <w:rsid w:val="00B93580"/>
    <w:rsid w:val="00B943EB"/>
    <w:rsid w:val="00B96E6C"/>
    <w:rsid w:val="00B975AF"/>
    <w:rsid w:val="00BA04CB"/>
    <w:rsid w:val="00BA4D97"/>
    <w:rsid w:val="00BB178D"/>
    <w:rsid w:val="00BB243A"/>
    <w:rsid w:val="00BC0BF1"/>
    <w:rsid w:val="00BC1344"/>
    <w:rsid w:val="00BC2A65"/>
    <w:rsid w:val="00BC536C"/>
    <w:rsid w:val="00BC7C78"/>
    <w:rsid w:val="00BD35F3"/>
    <w:rsid w:val="00BE07F3"/>
    <w:rsid w:val="00BE1F33"/>
    <w:rsid w:val="00BE3719"/>
    <w:rsid w:val="00BE5535"/>
    <w:rsid w:val="00BE66B9"/>
    <w:rsid w:val="00BF1191"/>
    <w:rsid w:val="00BF1462"/>
    <w:rsid w:val="00BF221D"/>
    <w:rsid w:val="00BF3269"/>
    <w:rsid w:val="00C0127A"/>
    <w:rsid w:val="00C05D40"/>
    <w:rsid w:val="00C1199B"/>
    <w:rsid w:val="00C12656"/>
    <w:rsid w:val="00C218D1"/>
    <w:rsid w:val="00C243B1"/>
    <w:rsid w:val="00C36ABE"/>
    <w:rsid w:val="00C45F8B"/>
    <w:rsid w:val="00C473D1"/>
    <w:rsid w:val="00C526AF"/>
    <w:rsid w:val="00C52BA2"/>
    <w:rsid w:val="00C55198"/>
    <w:rsid w:val="00C57A7B"/>
    <w:rsid w:val="00C63139"/>
    <w:rsid w:val="00C6564C"/>
    <w:rsid w:val="00C671AF"/>
    <w:rsid w:val="00C67C25"/>
    <w:rsid w:val="00C74E60"/>
    <w:rsid w:val="00C7724A"/>
    <w:rsid w:val="00C80FB9"/>
    <w:rsid w:val="00C83EBA"/>
    <w:rsid w:val="00C868C1"/>
    <w:rsid w:val="00C87108"/>
    <w:rsid w:val="00C91C76"/>
    <w:rsid w:val="00C91D9D"/>
    <w:rsid w:val="00CA68D8"/>
    <w:rsid w:val="00CB085B"/>
    <w:rsid w:val="00CB2D61"/>
    <w:rsid w:val="00CC0A51"/>
    <w:rsid w:val="00CC13B2"/>
    <w:rsid w:val="00CC556B"/>
    <w:rsid w:val="00CD12A3"/>
    <w:rsid w:val="00CD12A5"/>
    <w:rsid w:val="00CE28B8"/>
    <w:rsid w:val="00CE3E6A"/>
    <w:rsid w:val="00CE73E8"/>
    <w:rsid w:val="00D034A5"/>
    <w:rsid w:val="00D03524"/>
    <w:rsid w:val="00D07293"/>
    <w:rsid w:val="00D1073B"/>
    <w:rsid w:val="00D1666E"/>
    <w:rsid w:val="00D17304"/>
    <w:rsid w:val="00D27C8F"/>
    <w:rsid w:val="00D32BAD"/>
    <w:rsid w:val="00D357C4"/>
    <w:rsid w:val="00D45789"/>
    <w:rsid w:val="00D46522"/>
    <w:rsid w:val="00D52AE0"/>
    <w:rsid w:val="00D5311A"/>
    <w:rsid w:val="00D5323E"/>
    <w:rsid w:val="00D55030"/>
    <w:rsid w:val="00D574C0"/>
    <w:rsid w:val="00D60022"/>
    <w:rsid w:val="00D6058D"/>
    <w:rsid w:val="00D70734"/>
    <w:rsid w:val="00D7122F"/>
    <w:rsid w:val="00D72D54"/>
    <w:rsid w:val="00D762BD"/>
    <w:rsid w:val="00D85B1E"/>
    <w:rsid w:val="00D87746"/>
    <w:rsid w:val="00D93800"/>
    <w:rsid w:val="00D9387B"/>
    <w:rsid w:val="00D94E41"/>
    <w:rsid w:val="00DA0F26"/>
    <w:rsid w:val="00DB0602"/>
    <w:rsid w:val="00DB29DC"/>
    <w:rsid w:val="00DB4960"/>
    <w:rsid w:val="00DC041E"/>
    <w:rsid w:val="00DC50BF"/>
    <w:rsid w:val="00DC7188"/>
    <w:rsid w:val="00DE6583"/>
    <w:rsid w:val="00DE704A"/>
    <w:rsid w:val="00DF12AB"/>
    <w:rsid w:val="00DF5585"/>
    <w:rsid w:val="00DF6EF4"/>
    <w:rsid w:val="00E0059F"/>
    <w:rsid w:val="00E0162E"/>
    <w:rsid w:val="00E06963"/>
    <w:rsid w:val="00E07151"/>
    <w:rsid w:val="00E1255A"/>
    <w:rsid w:val="00E20AE7"/>
    <w:rsid w:val="00E2196A"/>
    <w:rsid w:val="00E26BC7"/>
    <w:rsid w:val="00E301A6"/>
    <w:rsid w:val="00E30DB1"/>
    <w:rsid w:val="00E37734"/>
    <w:rsid w:val="00E46461"/>
    <w:rsid w:val="00E54C1A"/>
    <w:rsid w:val="00E61F8F"/>
    <w:rsid w:val="00E65ADA"/>
    <w:rsid w:val="00E66AD4"/>
    <w:rsid w:val="00E74844"/>
    <w:rsid w:val="00E810F9"/>
    <w:rsid w:val="00E82525"/>
    <w:rsid w:val="00E85467"/>
    <w:rsid w:val="00E868FB"/>
    <w:rsid w:val="00E871EC"/>
    <w:rsid w:val="00E87A8A"/>
    <w:rsid w:val="00E92749"/>
    <w:rsid w:val="00E96419"/>
    <w:rsid w:val="00EA16F3"/>
    <w:rsid w:val="00EA3361"/>
    <w:rsid w:val="00EA4673"/>
    <w:rsid w:val="00EA5F30"/>
    <w:rsid w:val="00EA69C2"/>
    <w:rsid w:val="00EA754B"/>
    <w:rsid w:val="00EA7C4A"/>
    <w:rsid w:val="00EB1DEE"/>
    <w:rsid w:val="00EB511A"/>
    <w:rsid w:val="00EB553B"/>
    <w:rsid w:val="00EB6832"/>
    <w:rsid w:val="00EB74A0"/>
    <w:rsid w:val="00EB7876"/>
    <w:rsid w:val="00EC251F"/>
    <w:rsid w:val="00EC6161"/>
    <w:rsid w:val="00ED02BD"/>
    <w:rsid w:val="00ED186C"/>
    <w:rsid w:val="00ED32CB"/>
    <w:rsid w:val="00ED7279"/>
    <w:rsid w:val="00ED7D1F"/>
    <w:rsid w:val="00EE365F"/>
    <w:rsid w:val="00EE4165"/>
    <w:rsid w:val="00EE53A3"/>
    <w:rsid w:val="00EF0DB6"/>
    <w:rsid w:val="00EF6E5B"/>
    <w:rsid w:val="00F014EE"/>
    <w:rsid w:val="00F0276B"/>
    <w:rsid w:val="00F05EC1"/>
    <w:rsid w:val="00F068E6"/>
    <w:rsid w:val="00F11C75"/>
    <w:rsid w:val="00F16CC1"/>
    <w:rsid w:val="00F20577"/>
    <w:rsid w:val="00F24D8B"/>
    <w:rsid w:val="00F25F77"/>
    <w:rsid w:val="00F2770F"/>
    <w:rsid w:val="00F30719"/>
    <w:rsid w:val="00F36E67"/>
    <w:rsid w:val="00F370BD"/>
    <w:rsid w:val="00F37B45"/>
    <w:rsid w:val="00F53050"/>
    <w:rsid w:val="00F60ADF"/>
    <w:rsid w:val="00F67EB4"/>
    <w:rsid w:val="00F70927"/>
    <w:rsid w:val="00F74813"/>
    <w:rsid w:val="00F773E3"/>
    <w:rsid w:val="00F80CE1"/>
    <w:rsid w:val="00F87D77"/>
    <w:rsid w:val="00F95BEC"/>
    <w:rsid w:val="00FA0AA2"/>
    <w:rsid w:val="00FA1A8F"/>
    <w:rsid w:val="00FA287E"/>
    <w:rsid w:val="00FB1125"/>
    <w:rsid w:val="00FC55FC"/>
    <w:rsid w:val="00FD4CC6"/>
    <w:rsid w:val="00FE11D5"/>
    <w:rsid w:val="00FE7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A8"/>
    <w:rPr>
      <w:rFonts w:ascii="Calibri" w:eastAsia="Times New Roman" w:hAnsi="Calibri" w:cs="Times New Roman"/>
    </w:rPr>
  </w:style>
  <w:style w:type="paragraph" w:styleId="Ttulo1">
    <w:name w:val="heading 1"/>
    <w:basedOn w:val="Normal"/>
    <w:next w:val="Normal"/>
    <w:link w:val="Ttulo1Car"/>
    <w:uiPriority w:val="9"/>
    <w:qFormat/>
    <w:rsid w:val="005F3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493A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rsid w:val="009F44A8"/>
    <w:pPr>
      <w:spacing w:after="0"/>
      <w:jc w:val="left"/>
    </w:pPr>
    <w:rPr>
      <w:rFonts w:ascii="Times New Roman" w:eastAsia="Calibri" w:hAnsi="Times New Roman"/>
      <w:sz w:val="20"/>
      <w:szCs w:val="20"/>
      <w:lang w:eastAsia="es-ES"/>
    </w:rPr>
  </w:style>
  <w:style w:type="character" w:customStyle="1" w:styleId="TextonotapieCar">
    <w:name w:val="Texto nota pie Car"/>
    <w:basedOn w:val="Fuentedeprrafopredeter"/>
    <w:link w:val="Textonotapie"/>
    <w:rsid w:val="009F44A8"/>
    <w:rPr>
      <w:rFonts w:ascii="Times New Roman" w:eastAsia="Calibri" w:hAnsi="Times New Roman" w:cs="Times New Roman"/>
      <w:sz w:val="20"/>
      <w:szCs w:val="20"/>
      <w:lang w:eastAsia="es-ES"/>
    </w:rPr>
  </w:style>
  <w:style w:type="character" w:styleId="Refdenotaalpie">
    <w:name w:val="footnote reference"/>
    <w:basedOn w:val="Fuentedeprrafopredeter"/>
    <w:rsid w:val="009F44A8"/>
    <w:rPr>
      <w:rFonts w:cs="Times New Roman"/>
      <w:vertAlign w:val="superscript"/>
    </w:rPr>
  </w:style>
  <w:style w:type="paragraph" w:styleId="Textodeglobo">
    <w:name w:val="Balloon Text"/>
    <w:basedOn w:val="Normal"/>
    <w:link w:val="TextodegloboCar"/>
    <w:uiPriority w:val="99"/>
    <w:semiHidden/>
    <w:unhideWhenUsed/>
    <w:rsid w:val="00E1255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55A"/>
    <w:rPr>
      <w:rFonts w:ascii="Tahoma" w:eastAsia="Times New Roman" w:hAnsi="Tahoma" w:cs="Tahoma"/>
      <w:sz w:val="16"/>
      <w:szCs w:val="16"/>
    </w:rPr>
  </w:style>
  <w:style w:type="table" w:styleId="Tablaconcuadrcula">
    <w:name w:val="Table Grid"/>
    <w:basedOn w:val="Tablanormal"/>
    <w:rsid w:val="00245E1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rsid w:val="002061F9"/>
    <w:rPr>
      <w:color w:val="0000FF"/>
      <w:u w:val="single"/>
    </w:rPr>
  </w:style>
  <w:style w:type="paragraph" w:styleId="Encabezado">
    <w:name w:val="header"/>
    <w:basedOn w:val="Normal"/>
    <w:link w:val="EncabezadoCar"/>
    <w:uiPriority w:val="99"/>
    <w:unhideWhenUsed/>
    <w:rsid w:val="005827D5"/>
    <w:pPr>
      <w:tabs>
        <w:tab w:val="center" w:pos="4252"/>
        <w:tab w:val="right" w:pos="8504"/>
      </w:tabs>
      <w:spacing w:after="0"/>
    </w:pPr>
  </w:style>
  <w:style w:type="character" w:customStyle="1" w:styleId="EncabezadoCar">
    <w:name w:val="Encabezado Car"/>
    <w:basedOn w:val="Fuentedeprrafopredeter"/>
    <w:link w:val="Encabezado"/>
    <w:uiPriority w:val="99"/>
    <w:rsid w:val="005827D5"/>
    <w:rPr>
      <w:rFonts w:ascii="Calibri" w:eastAsia="Times New Roman" w:hAnsi="Calibri" w:cs="Times New Roman"/>
    </w:rPr>
  </w:style>
  <w:style w:type="paragraph" w:styleId="Piedepgina">
    <w:name w:val="footer"/>
    <w:basedOn w:val="Normal"/>
    <w:link w:val="PiedepginaCar"/>
    <w:uiPriority w:val="99"/>
    <w:semiHidden/>
    <w:unhideWhenUsed/>
    <w:rsid w:val="005827D5"/>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5827D5"/>
    <w:rPr>
      <w:rFonts w:ascii="Calibri" w:eastAsia="Times New Roman" w:hAnsi="Calibri" w:cs="Times New Roman"/>
    </w:rPr>
  </w:style>
  <w:style w:type="character" w:customStyle="1" w:styleId="apple-converted-space">
    <w:name w:val="apple-converted-space"/>
    <w:basedOn w:val="Fuentedeprrafopredeter"/>
    <w:rsid w:val="00E82525"/>
  </w:style>
  <w:style w:type="character" w:customStyle="1" w:styleId="ref-journal">
    <w:name w:val="ref-journal"/>
    <w:basedOn w:val="Fuentedeprrafopredeter"/>
    <w:rsid w:val="00A15D90"/>
  </w:style>
  <w:style w:type="character" w:customStyle="1" w:styleId="ref-vol">
    <w:name w:val="ref-vol"/>
    <w:basedOn w:val="Fuentedeprrafopredeter"/>
    <w:rsid w:val="00A15D90"/>
  </w:style>
  <w:style w:type="character" w:customStyle="1" w:styleId="Ttulo1Car">
    <w:name w:val="Título 1 Car"/>
    <w:basedOn w:val="Fuentedeprrafopredeter"/>
    <w:link w:val="Ttulo1"/>
    <w:uiPriority w:val="9"/>
    <w:rsid w:val="005F383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F383C"/>
    <w:pPr>
      <w:spacing w:line="276" w:lineRule="auto"/>
      <w:jc w:val="left"/>
      <w:outlineLvl w:val="9"/>
    </w:pPr>
  </w:style>
  <w:style w:type="paragraph" w:styleId="TDC2">
    <w:name w:val="toc 2"/>
    <w:basedOn w:val="Normal"/>
    <w:next w:val="Normal"/>
    <w:autoRedefine/>
    <w:uiPriority w:val="39"/>
    <w:semiHidden/>
    <w:unhideWhenUsed/>
    <w:qFormat/>
    <w:rsid w:val="005F383C"/>
    <w:pPr>
      <w:spacing w:after="100" w:line="276" w:lineRule="auto"/>
      <w:ind w:left="220"/>
      <w:jc w:val="left"/>
    </w:pPr>
    <w:rPr>
      <w:rFonts w:asciiTheme="minorHAnsi" w:eastAsiaTheme="minorEastAsia" w:hAnsiTheme="minorHAnsi" w:cstheme="minorBidi"/>
    </w:rPr>
  </w:style>
  <w:style w:type="paragraph" w:styleId="TDC1">
    <w:name w:val="toc 1"/>
    <w:basedOn w:val="Normal"/>
    <w:next w:val="Normal"/>
    <w:autoRedefine/>
    <w:uiPriority w:val="39"/>
    <w:unhideWhenUsed/>
    <w:qFormat/>
    <w:rsid w:val="005F383C"/>
    <w:pPr>
      <w:spacing w:after="100" w:line="276" w:lineRule="auto"/>
      <w:jc w:val="left"/>
    </w:pPr>
    <w:rPr>
      <w:rFonts w:asciiTheme="minorHAnsi" w:eastAsiaTheme="minorEastAsia" w:hAnsiTheme="minorHAnsi" w:cstheme="minorBidi"/>
    </w:rPr>
  </w:style>
  <w:style w:type="paragraph" w:styleId="TDC3">
    <w:name w:val="toc 3"/>
    <w:basedOn w:val="Normal"/>
    <w:next w:val="Normal"/>
    <w:autoRedefine/>
    <w:uiPriority w:val="39"/>
    <w:semiHidden/>
    <w:unhideWhenUsed/>
    <w:qFormat/>
    <w:rsid w:val="005F383C"/>
    <w:pPr>
      <w:spacing w:after="100" w:line="276" w:lineRule="auto"/>
      <w:ind w:left="440"/>
      <w:jc w:val="left"/>
    </w:pPr>
    <w:rPr>
      <w:rFonts w:asciiTheme="minorHAnsi" w:eastAsiaTheme="minorEastAsia" w:hAnsiTheme="minorHAnsi" w:cstheme="minorBidi"/>
    </w:rPr>
  </w:style>
  <w:style w:type="paragraph" w:styleId="Prrafodelista">
    <w:name w:val="List Paragraph"/>
    <w:basedOn w:val="Normal"/>
    <w:uiPriority w:val="34"/>
    <w:qFormat/>
    <w:rsid w:val="00BE5535"/>
    <w:pPr>
      <w:ind w:left="720"/>
      <w:contextualSpacing/>
    </w:pPr>
  </w:style>
  <w:style w:type="character" w:styleId="Textoennegrita">
    <w:name w:val="Strong"/>
    <w:basedOn w:val="Fuentedeprrafopredeter"/>
    <w:uiPriority w:val="22"/>
    <w:qFormat/>
    <w:rsid w:val="00D55030"/>
    <w:rPr>
      <w:b/>
      <w:bCs/>
    </w:rPr>
  </w:style>
  <w:style w:type="character" w:styleId="nfasis">
    <w:name w:val="Emphasis"/>
    <w:basedOn w:val="Fuentedeprrafopredeter"/>
    <w:uiPriority w:val="20"/>
    <w:qFormat/>
    <w:rsid w:val="00D55030"/>
    <w:rPr>
      <w:i/>
      <w:iCs/>
    </w:rPr>
  </w:style>
  <w:style w:type="character" w:customStyle="1" w:styleId="fontstyle01">
    <w:name w:val="fontstyle01"/>
    <w:basedOn w:val="Fuentedeprrafopredeter"/>
    <w:rsid w:val="00115BD2"/>
    <w:rPr>
      <w:rFonts w:ascii="CMEX10" w:hAnsi="CMEX10" w:hint="default"/>
      <w:b w:val="0"/>
      <w:bCs w:val="0"/>
      <w:i w:val="0"/>
      <w:iCs w:val="0"/>
      <w:color w:val="000000"/>
      <w:sz w:val="22"/>
      <w:szCs w:val="22"/>
    </w:rPr>
  </w:style>
  <w:style w:type="character" w:customStyle="1" w:styleId="fontstyle11">
    <w:name w:val="fontstyle11"/>
    <w:basedOn w:val="Fuentedeprrafopredeter"/>
    <w:rsid w:val="00115BD2"/>
    <w:rPr>
      <w:rFonts w:ascii="CMSSI8" w:hAnsi="CMSSI8" w:hint="default"/>
      <w:b w:val="0"/>
      <w:bCs w:val="0"/>
      <w:i/>
      <w:iCs/>
      <w:color w:val="000000"/>
      <w:sz w:val="16"/>
      <w:szCs w:val="16"/>
    </w:rPr>
  </w:style>
  <w:style w:type="character" w:customStyle="1" w:styleId="fontstyle21">
    <w:name w:val="fontstyle21"/>
    <w:basedOn w:val="Fuentedeprrafopredeter"/>
    <w:rsid w:val="00115BD2"/>
    <w:rPr>
      <w:rFonts w:ascii="CMSSI10" w:hAnsi="CMSSI10" w:hint="default"/>
      <w:b w:val="0"/>
      <w:bCs w:val="0"/>
      <w:i/>
      <w:iCs/>
      <w:color w:val="000000"/>
      <w:sz w:val="22"/>
      <w:szCs w:val="22"/>
    </w:rPr>
  </w:style>
  <w:style w:type="character" w:customStyle="1" w:styleId="fontstyle31">
    <w:name w:val="fontstyle31"/>
    <w:basedOn w:val="Fuentedeprrafopredeter"/>
    <w:rsid w:val="00115BD2"/>
    <w:rPr>
      <w:rFonts w:ascii="CMSS10" w:hAnsi="CMSS10" w:hint="default"/>
      <w:b w:val="0"/>
      <w:bCs w:val="0"/>
      <w:i w:val="0"/>
      <w:iCs w:val="0"/>
      <w:color w:val="000000"/>
      <w:sz w:val="22"/>
      <w:szCs w:val="22"/>
    </w:rPr>
  </w:style>
  <w:style w:type="character" w:customStyle="1" w:styleId="fontstyle41">
    <w:name w:val="fontstyle41"/>
    <w:basedOn w:val="Fuentedeprrafopredeter"/>
    <w:rsid w:val="00115BD2"/>
    <w:rPr>
      <w:rFonts w:ascii="CMSS8" w:hAnsi="CMSS8" w:hint="default"/>
      <w:b w:val="0"/>
      <w:bCs w:val="0"/>
      <w:i w:val="0"/>
      <w:iCs w:val="0"/>
      <w:color w:val="000000"/>
      <w:sz w:val="16"/>
      <w:szCs w:val="16"/>
    </w:rPr>
  </w:style>
  <w:style w:type="character" w:customStyle="1" w:styleId="fontstyle61">
    <w:name w:val="fontstyle61"/>
    <w:basedOn w:val="Fuentedeprrafopredeter"/>
    <w:rsid w:val="00115BD2"/>
    <w:rPr>
      <w:rFonts w:ascii="CMSY10" w:hAnsi="CMSY10" w:hint="default"/>
      <w:b w:val="0"/>
      <w:bCs w:val="0"/>
      <w:i/>
      <w:iCs/>
      <w:color w:val="000000"/>
      <w:sz w:val="22"/>
      <w:szCs w:val="22"/>
    </w:rPr>
  </w:style>
  <w:style w:type="paragraph" w:styleId="HTMLconformatoprevio">
    <w:name w:val="HTML Preformatted"/>
    <w:basedOn w:val="Normal"/>
    <w:link w:val="HTMLconformatoprevioCar"/>
    <w:uiPriority w:val="99"/>
    <w:semiHidden/>
    <w:unhideWhenUsed/>
    <w:rsid w:val="00B9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B93580"/>
    <w:rPr>
      <w:rFonts w:ascii="Courier New" w:eastAsia="Times New Roman" w:hAnsi="Courier New" w:cs="Courier New"/>
      <w:sz w:val="20"/>
      <w:szCs w:val="20"/>
      <w:lang w:val="en-US"/>
    </w:rPr>
  </w:style>
  <w:style w:type="character" w:customStyle="1" w:styleId="gnkrckgcgsb">
    <w:name w:val="gnkrckgcgsb"/>
    <w:basedOn w:val="Fuentedeprrafopredeter"/>
    <w:rsid w:val="00B93580"/>
  </w:style>
  <w:style w:type="character" w:styleId="Hipervnculovisitado">
    <w:name w:val="FollowedHyperlink"/>
    <w:basedOn w:val="Fuentedeprrafopredeter"/>
    <w:uiPriority w:val="99"/>
    <w:semiHidden/>
    <w:unhideWhenUsed/>
    <w:rsid w:val="008C1EEC"/>
    <w:rPr>
      <w:color w:val="800080" w:themeColor="followedHyperlink"/>
      <w:u w:val="single"/>
    </w:rPr>
  </w:style>
  <w:style w:type="character" w:customStyle="1" w:styleId="Ttulo4Car">
    <w:name w:val="Título 4 Car"/>
    <w:basedOn w:val="Fuentedeprrafopredeter"/>
    <w:link w:val="Ttulo4"/>
    <w:uiPriority w:val="9"/>
    <w:semiHidden/>
    <w:rsid w:val="00493A36"/>
    <w:rPr>
      <w:rFonts w:asciiTheme="majorHAnsi" w:eastAsiaTheme="majorEastAsia" w:hAnsiTheme="majorHAnsi" w:cstheme="majorBidi"/>
      <w:b/>
      <w:bCs/>
      <w:i/>
      <w:iCs/>
      <w:color w:val="4F81BD" w:themeColor="accent1"/>
    </w:rPr>
  </w:style>
  <w:style w:type="character" w:styleId="CitaHTML">
    <w:name w:val="HTML Cite"/>
    <w:basedOn w:val="Fuentedeprrafopredeter"/>
    <w:uiPriority w:val="99"/>
    <w:semiHidden/>
    <w:unhideWhenUsed/>
    <w:rsid w:val="000F0043"/>
    <w:rPr>
      <w:i/>
      <w:iCs/>
    </w:rPr>
  </w:style>
</w:styles>
</file>

<file path=word/webSettings.xml><?xml version="1.0" encoding="utf-8"?>
<w:webSettings xmlns:r="http://schemas.openxmlformats.org/officeDocument/2006/relationships" xmlns:w="http://schemas.openxmlformats.org/wordprocessingml/2006/main">
  <w:divs>
    <w:div w:id="3365920">
      <w:bodyDiv w:val="1"/>
      <w:marLeft w:val="0"/>
      <w:marRight w:val="0"/>
      <w:marTop w:val="0"/>
      <w:marBottom w:val="0"/>
      <w:divBdr>
        <w:top w:val="none" w:sz="0" w:space="0" w:color="auto"/>
        <w:left w:val="none" w:sz="0" w:space="0" w:color="auto"/>
        <w:bottom w:val="none" w:sz="0" w:space="0" w:color="auto"/>
        <w:right w:val="none" w:sz="0" w:space="0" w:color="auto"/>
      </w:divBdr>
    </w:div>
    <w:div w:id="3479556">
      <w:bodyDiv w:val="1"/>
      <w:marLeft w:val="0"/>
      <w:marRight w:val="0"/>
      <w:marTop w:val="0"/>
      <w:marBottom w:val="0"/>
      <w:divBdr>
        <w:top w:val="none" w:sz="0" w:space="0" w:color="auto"/>
        <w:left w:val="none" w:sz="0" w:space="0" w:color="auto"/>
        <w:bottom w:val="none" w:sz="0" w:space="0" w:color="auto"/>
        <w:right w:val="none" w:sz="0" w:space="0" w:color="auto"/>
      </w:divBdr>
    </w:div>
    <w:div w:id="13314056">
      <w:bodyDiv w:val="1"/>
      <w:marLeft w:val="0"/>
      <w:marRight w:val="0"/>
      <w:marTop w:val="0"/>
      <w:marBottom w:val="0"/>
      <w:divBdr>
        <w:top w:val="none" w:sz="0" w:space="0" w:color="auto"/>
        <w:left w:val="none" w:sz="0" w:space="0" w:color="auto"/>
        <w:bottom w:val="none" w:sz="0" w:space="0" w:color="auto"/>
        <w:right w:val="none" w:sz="0" w:space="0" w:color="auto"/>
      </w:divBdr>
    </w:div>
    <w:div w:id="60638678">
      <w:bodyDiv w:val="1"/>
      <w:marLeft w:val="0"/>
      <w:marRight w:val="0"/>
      <w:marTop w:val="0"/>
      <w:marBottom w:val="0"/>
      <w:divBdr>
        <w:top w:val="none" w:sz="0" w:space="0" w:color="auto"/>
        <w:left w:val="none" w:sz="0" w:space="0" w:color="auto"/>
        <w:bottom w:val="none" w:sz="0" w:space="0" w:color="auto"/>
        <w:right w:val="none" w:sz="0" w:space="0" w:color="auto"/>
      </w:divBdr>
    </w:div>
    <w:div w:id="128135929">
      <w:bodyDiv w:val="1"/>
      <w:marLeft w:val="0"/>
      <w:marRight w:val="0"/>
      <w:marTop w:val="0"/>
      <w:marBottom w:val="0"/>
      <w:divBdr>
        <w:top w:val="none" w:sz="0" w:space="0" w:color="auto"/>
        <w:left w:val="none" w:sz="0" w:space="0" w:color="auto"/>
        <w:bottom w:val="none" w:sz="0" w:space="0" w:color="auto"/>
        <w:right w:val="none" w:sz="0" w:space="0" w:color="auto"/>
      </w:divBdr>
    </w:div>
    <w:div w:id="220987539">
      <w:bodyDiv w:val="1"/>
      <w:marLeft w:val="0"/>
      <w:marRight w:val="0"/>
      <w:marTop w:val="0"/>
      <w:marBottom w:val="0"/>
      <w:divBdr>
        <w:top w:val="none" w:sz="0" w:space="0" w:color="auto"/>
        <w:left w:val="none" w:sz="0" w:space="0" w:color="auto"/>
        <w:bottom w:val="none" w:sz="0" w:space="0" w:color="auto"/>
        <w:right w:val="none" w:sz="0" w:space="0" w:color="auto"/>
      </w:divBdr>
      <w:divsChild>
        <w:div w:id="1634871843">
          <w:marLeft w:val="0"/>
          <w:marRight w:val="0"/>
          <w:marTop w:val="15"/>
          <w:marBottom w:val="0"/>
          <w:divBdr>
            <w:top w:val="none" w:sz="0" w:space="0" w:color="auto"/>
            <w:left w:val="none" w:sz="0" w:space="0" w:color="auto"/>
            <w:bottom w:val="none" w:sz="0" w:space="0" w:color="auto"/>
            <w:right w:val="none" w:sz="0" w:space="0" w:color="auto"/>
          </w:divBdr>
          <w:divsChild>
            <w:div w:id="1797020274">
              <w:marLeft w:val="0"/>
              <w:marRight w:val="0"/>
              <w:marTop w:val="0"/>
              <w:marBottom w:val="0"/>
              <w:divBdr>
                <w:top w:val="none" w:sz="0" w:space="0" w:color="auto"/>
                <w:left w:val="none" w:sz="0" w:space="0" w:color="auto"/>
                <w:bottom w:val="none" w:sz="0" w:space="0" w:color="auto"/>
                <w:right w:val="none" w:sz="0" w:space="0" w:color="auto"/>
              </w:divBdr>
              <w:divsChild>
                <w:div w:id="20621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48547">
      <w:bodyDiv w:val="1"/>
      <w:marLeft w:val="0"/>
      <w:marRight w:val="0"/>
      <w:marTop w:val="0"/>
      <w:marBottom w:val="0"/>
      <w:divBdr>
        <w:top w:val="none" w:sz="0" w:space="0" w:color="auto"/>
        <w:left w:val="none" w:sz="0" w:space="0" w:color="auto"/>
        <w:bottom w:val="none" w:sz="0" w:space="0" w:color="auto"/>
        <w:right w:val="none" w:sz="0" w:space="0" w:color="auto"/>
      </w:divBdr>
    </w:div>
    <w:div w:id="302001035">
      <w:bodyDiv w:val="1"/>
      <w:marLeft w:val="0"/>
      <w:marRight w:val="0"/>
      <w:marTop w:val="0"/>
      <w:marBottom w:val="0"/>
      <w:divBdr>
        <w:top w:val="none" w:sz="0" w:space="0" w:color="auto"/>
        <w:left w:val="none" w:sz="0" w:space="0" w:color="auto"/>
        <w:bottom w:val="none" w:sz="0" w:space="0" w:color="auto"/>
        <w:right w:val="none" w:sz="0" w:space="0" w:color="auto"/>
      </w:divBdr>
    </w:div>
    <w:div w:id="443236216">
      <w:bodyDiv w:val="1"/>
      <w:marLeft w:val="0"/>
      <w:marRight w:val="0"/>
      <w:marTop w:val="0"/>
      <w:marBottom w:val="0"/>
      <w:divBdr>
        <w:top w:val="none" w:sz="0" w:space="0" w:color="auto"/>
        <w:left w:val="none" w:sz="0" w:space="0" w:color="auto"/>
        <w:bottom w:val="none" w:sz="0" w:space="0" w:color="auto"/>
        <w:right w:val="none" w:sz="0" w:space="0" w:color="auto"/>
      </w:divBdr>
    </w:div>
    <w:div w:id="463475324">
      <w:bodyDiv w:val="1"/>
      <w:marLeft w:val="0"/>
      <w:marRight w:val="0"/>
      <w:marTop w:val="0"/>
      <w:marBottom w:val="0"/>
      <w:divBdr>
        <w:top w:val="none" w:sz="0" w:space="0" w:color="auto"/>
        <w:left w:val="none" w:sz="0" w:space="0" w:color="auto"/>
        <w:bottom w:val="none" w:sz="0" w:space="0" w:color="auto"/>
        <w:right w:val="none" w:sz="0" w:space="0" w:color="auto"/>
      </w:divBdr>
    </w:div>
    <w:div w:id="473258362">
      <w:bodyDiv w:val="1"/>
      <w:marLeft w:val="0"/>
      <w:marRight w:val="0"/>
      <w:marTop w:val="0"/>
      <w:marBottom w:val="0"/>
      <w:divBdr>
        <w:top w:val="none" w:sz="0" w:space="0" w:color="auto"/>
        <w:left w:val="none" w:sz="0" w:space="0" w:color="auto"/>
        <w:bottom w:val="none" w:sz="0" w:space="0" w:color="auto"/>
        <w:right w:val="none" w:sz="0" w:space="0" w:color="auto"/>
      </w:divBdr>
    </w:div>
    <w:div w:id="495151741">
      <w:bodyDiv w:val="1"/>
      <w:marLeft w:val="0"/>
      <w:marRight w:val="0"/>
      <w:marTop w:val="0"/>
      <w:marBottom w:val="0"/>
      <w:divBdr>
        <w:top w:val="none" w:sz="0" w:space="0" w:color="auto"/>
        <w:left w:val="none" w:sz="0" w:space="0" w:color="auto"/>
        <w:bottom w:val="none" w:sz="0" w:space="0" w:color="auto"/>
        <w:right w:val="none" w:sz="0" w:space="0" w:color="auto"/>
      </w:divBdr>
    </w:div>
    <w:div w:id="495613319">
      <w:bodyDiv w:val="1"/>
      <w:marLeft w:val="0"/>
      <w:marRight w:val="0"/>
      <w:marTop w:val="0"/>
      <w:marBottom w:val="0"/>
      <w:divBdr>
        <w:top w:val="none" w:sz="0" w:space="0" w:color="auto"/>
        <w:left w:val="none" w:sz="0" w:space="0" w:color="auto"/>
        <w:bottom w:val="none" w:sz="0" w:space="0" w:color="auto"/>
        <w:right w:val="none" w:sz="0" w:space="0" w:color="auto"/>
      </w:divBdr>
    </w:div>
    <w:div w:id="556358253">
      <w:bodyDiv w:val="1"/>
      <w:marLeft w:val="0"/>
      <w:marRight w:val="0"/>
      <w:marTop w:val="0"/>
      <w:marBottom w:val="0"/>
      <w:divBdr>
        <w:top w:val="none" w:sz="0" w:space="0" w:color="auto"/>
        <w:left w:val="none" w:sz="0" w:space="0" w:color="auto"/>
        <w:bottom w:val="none" w:sz="0" w:space="0" w:color="auto"/>
        <w:right w:val="none" w:sz="0" w:space="0" w:color="auto"/>
      </w:divBdr>
    </w:div>
    <w:div w:id="593897051">
      <w:bodyDiv w:val="1"/>
      <w:marLeft w:val="0"/>
      <w:marRight w:val="0"/>
      <w:marTop w:val="0"/>
      <w:marBottom w:val="0"/>
      <w:divBdr>
        <w:top w:val="none" w:sz="0" w:space="0" w:color="auto"/>
        <w:left w:val="none" w:sz="0" w:space="0" w:color="auto"/>
        <w:bottom w:val="none" w:sz="0" w:space="0" w:color="auto"/>
        <w:right w:val="none" w:sz="0" w:space="0" w:color="auto"/>
      </w:divBdr>
    </w:div>
    <w:div w:id="608389383">
      <w:bodyDiv w:val="1"/>
      <w:marLeft w:val="0"/>
      <w:marRight w:val="0"/>
      <w:marTop w:val="0"/>
      <w:marBottom w:val="0"/>
      <w:divBdr>
        <w:top w:val="none" w:sz="0" w:space="0" w:color="auto"/>
        <w:left w:val="none" w:sz="0" w:space="0" w:color="auto"/>
        <w:bottom w:val="none" w:sz="0" w:space="0" w:color="auto"/>
        <w:right w:val="none" w:sz="0" w:space="0" w:color="auto"/>
      </w:divBdr>
    </w:div>
    <w:div w:id="610090066">
      <w:bodyDiv w:val="1"/>
      <w:marLeft w:val="0"/>
      <w:marRight w:val="0"/>
      <w:marTop w:val="0"/>
      <w:marBottom w:val="0"/>
      <w:divBdr>
        <w:top w:val="none" w:sz="0" w:space="0" w:color="auto"/>
        <w:left w:val="none" w:sz="0" w:space="0" w:color="auto"/>
        <w:bottom w:val="none" w:sz="0" w:space="0" w:color="auto"/>
        <w:right w:val="none" w:sz="0" w:space="0" w:color="auto"/>
      </w:divBdr>
    </w:div>
    <w:div w:id="633828721">
      <w:bodyDiv w:val="1"/>
      <w:marLeft w:val="0"/>
      <w:marRight w:val="0"/>
      <w:marTop w:val="0"/>
      <w:marBottom w:val="0"/>
      <w:divBdr>
        <w:top w:val="none" w:sz="0" w:space="0" w:color="auto"/>
        <w:left w:val="none" w:sz="0" w:space="0" w:color="auto"/>
        <w:bottom w:val="none" w:sz="0" w:space="0" w:color="auto"/>
        <w:right w:val="none" w:sz="0" w:space="0" w:color="auto"/>
      </w:divBdr>
    </w:div>
    <w:div w:id="635917876">
      <w:bodyDiv w:val="1"/>
      <w:marLeft w:val="0"/>
      <w:marRight w:val="0"/>
      <w:marTop w:val="0"/>
      <w:marBottom w:val="0"/>
      <w:divBdr>
        <w:top w:val="none" w:sz="0" w:space="0" w:color="auto"/>
        <w:left w:val="none" w:sz="0" w:space="0" w:color="auto"/>
        <w:bottom w:val="none" w:sz="0" w:space="0" w:color="auto"/>
        <w:right w:val="none" w:sz="0" w:space="0" w:color="auto"/>
      </w:divBdr>
    </w:div>
    <w:div w:id="645554122">
      <w:bodyDiv w:val="1"/>
      <w:marLeft w:val="0"/>
      <w:marRight w:val="0"/>
      <w:marTop w:val="0"/>
      <w:marBottom w:val="0"/>
      <w:divBdr>
        <w:top w:val="none" w:sz="0" w:space="0" w:color="auto"/>
        <w:left w:val="none" w:sz="0" w:space="0" w:color="auto"/>
        <w:bottom w:val="none" w:sz="0" w:space="0" w:color="auto"/>
        <w:right w:val="none" w:sz="0" w:space="0" w:color="auto"/>
      </w:divBdr>
    </w:div>
    <w:div w:id="652149190">
      <w:bodyDiv w:val="1"/>
      <w:marLeft w:val="0"/>
      <w:marRight w:val="0"/>
      <w:marTop w:val="0"/>
      <w:marBottom w:val="0"/>
      <w:divBdr>
        <w:top w:val="none" w:sz="0" w:space="0" w:color="auto"/>
        <w:left w:val="none" w:sz="0" w:space="0" w:color="auto"/>
        <w:bottom w:val="none" w:sz="0" w:space="0" w:color="auto"/>
        <w:right w:val="none" w:sz="0" w:space="0" w:color="auto"/>
      </w:divBdr>
    </w:div>
    <w:div w:id="655915977">
      <w:bodyDiv w:val="1"/>
      <w:marLeft w:val="0"/>
      <w:marRight w:val="0"/>
      <w:marTop w:val="0"/>
      <w:marBottom w:val="0"/>
      <w:divBdr>
        <w:top w:val="none" w:sz="0" w:space="0" w:color="auto"/>
        <w:left w:val="none" w:sz="0" w:space="0" w:color="auto"/>
        <w:bottom w:val="none" w:sz="0" w:space="0" w:color="auto"/>
        <w:right w:val="none" w:sz="0" w:space="0" w:color="auto"/>
      </w:divBdr>
    </w:div>
    <w:div w:id="682979681">
      <w:bodyDiv w:val="1"/>
      <w:marLeft w:val="0"/>
      <w:marRight w:val="0"/>
      <w:marTop w:val="0"/>
      <w:marBottom w:val="0"/>
      <w:divBdr>
        <w:top w:val="none" w:sz="0" w:space="0" w:color="auto"/>
        <w:left w:val="none" w:sz="0" w:space="0" w:color="auto"/>
        <w:bottom w:val="none" w:sz="0" w:space="0" w:color="auto"/>
        <w:right w:val="none" w:sz="0" w:space="0" w:color="auto"/>
      </w:divBdr>
      <w:divsChild>
        <w:div w:id="1415474084">
          <w:marLeft w:val="0"/>
          <w:marRight w:val="0"/>
          <w:marTop w:val="15"/>
          <w:marBottom w:val="0"/>
          <w:divBdr>
            <w:top w:val="none" w:sz="0" w:space="0" w:color="auto"/>
            <w:left w:val="none" w:sz="0" w:space="0" w:color="auto"/>
            <w:bottom w:val="none" w:sz="0" w:space="0" w:color="auto"/>
            <w:right w:val="none" w:sz="0" w:space="0" w:color="auto"/>
          </w:divBdr>
          <w:divsChild>
            <w:div w:id="741682051">
              <w:marLeft w:val="0"/>
              <w:marRight w:val="0"/>
              <w:marTop w:val="0"/>
              <w:marBottom w:val="0"/>
              <w:divBdr>
                <w:top w:val="none" w:sz="0" w:space="0" w:color="auto"/>
                <w:left w:val="none" w:sz="0" w:space="0" w:color="auto"/>
                <w:bottom w:val="none" w:sz="0" w:space="0" w:color="auto"/>
                <w:right w:val="none" w:sz="0" w:space="0" w:color="auto"/>
              </w:divBdr>
              <w:divsChild>
                <w:div w:id="15830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9237">
      <w:bodyDiv w:val="1"/>
      <w:marLeft w:val="0"/>
      <w:marRight w:val="0"/>
      <w:marTop w:val="0"/>
      <w:marBottom w:val="0"/>
      <w:divBdr>
        <w:top w:val="none" w:sz="0" w:space="0" w:color="auto"/>
        <w:left w:val="none" w:sz="0" w:space="0" w:color="auto"/>
        <w:bottom w:val="none" w:sz="0" w:space="0" w:color="auto"/>
        <w:right w:val="none" w:sz="0" w:space="0" w:color="auto"/>
      </w:divBdr>
    </w:div>
    <w:div w:id="746923391">
      <w:bodyDiv w:val="1"/>
      <w:marLeft w:val="0"/>
      <w:marRight w:val="0"/>
      <w:marTop w:val="0"/>
      <w:marBottom w:val="0"/>
      <w:divBdr>
        <w:top w:val="none" w:sz="0" w:space="0" w:color="auto"/>
        <w:left w:val="none" w:sz="0" w:space="0" w:color="auto"/>
        <w:bottom w:val="none" w:sz="0" w:space="0" w:color="auto"/>
        <w:right w:val="none" w:sz="0" w:space="0" w:color="auto"/>
      </w:divBdr>
    </w:div>
    <w:div w:id="748500215">
      <w:bodyDiv w:val="1"/>
      <w:marLeft w:val="0"/>
      <w:marRight w:val="0"/>
      <w:marTop w:val="0"/>
      <w:marBottom w:val="0"/>
      <w:divBdr>
        <w:top w:val="none" w:sz="0" w:space="0" w:color="auto"/>
        <w:left w:val="none" w:sz="0" w:space="0" w:color="auto"/>
        <w:bottom w:val="none" w:sz="0" w:space="0" w:color="auto"/>
        <w:right w:val="none" w:sz="0" w:space="0" w:color="auto"/>
      </w:divBdr>
    </w:div>
    <w:div w:id="768699264">
      <w:bodyDiv w:val="1"/>
      <w:marLeft w:val="0"/>
      <w:marRight w:val="0"/>
      <w:marTop w:val="0"/>
      <w:marBottom w:val="0"/>
      <w:divBdr>
        <w:top w:val="none" w:sz="0" w:space="0" w:color="auto"/>
        <w:left w:val="none" w:sz="0" w:space="0" w:color="auto"/>
        <w:bottom w:val="none" w:sz="0" w:space="0" w:color="auto"/>
        <w:right w:val="none" w:sz="0" w:space="0" w:color="auto"/>
      </w:divBdr>
    </w:div>
    <w:div w:id="774444565">
      <w:bodyDiv w:val="1"/>
      <w:marLeft w:val="0"/>
      <w:marRight w:val="0"/>
      <w:marTop w:val="0"/>
      <w:marBottom w:val="0"/>
      <w:divBdr>
        <w:top w:val="none" w:sz="0" w:space="0" w:color="auto"/>
        <w:left w:val="none" w:sz="0" w:space="0" w:color="auto"/>
        <w:bottom w:val="none" w:sz="0" w:space="0" w:color="auto"/>
        <w:right w:val="none" w:sz="0" w:space="0" w:color="auto"/>
      </w:divBdr>
    </w:div>
    <w:div w:id="803503638">
      <w:bodyDiv w:val="1"/>
      <w:marLeft w:val="0"/>
      <w:marRight w:val="0"/>
      <w:marTop w:val="0"/>
      <w:marBottom w:val="0"/>
      <w:divBdr>
        <w:top w:val="none" w:sz="0" w:space="0" w:color="auto"/>
        <w:left w:val="none" w:sz="0" w:space="0" w:color="auto"/>
        <w:bottom w:val="none" w:sz="0" w:space="0" w:color="auto"/>
        <w:right w:val="none" w:sz="0" w:space="0" w:color="auto"/>
      </w:divBdr>
    </w:div>
    <w:div w:id="808788491">
      <w:bodyDiv w:val="1"/>
      <w:marLeft w:val="0"/>
      <w:marRight w:val="0"/>
      <w:marTop w:val="0"/>
      <w:marBottom w:val="0"/>
      <w:divBdr>
        <w:top w:val="none" w:sz="0" w:space="0" w:color="auto"/>
        <w:left w:val="none" w:sz="0" w:space="0" w:color="auto"/>
        <w:bottom w:val="none" w:sz="0" w:space="0" w:color="auto"/>
        <w:right w:val="none" w:sz="0" w:space="0" w:color="auto"/>
      </w:divBdr>
      <w:divsChild>
        <w:div w:id="1965382818">
          <w:marLeft w:val="0"/>
          <w:marRight w:val="0"/>
          <w:marTop w:val="0"/>
          <w:marBottom w:val="0"/>
          <w:divBdr>
            <w:top w:val="none" w:sz="0" w:space="0" w:color="auto"/>
            <w:left w:val="none" w:sz="0" w:space="0" w:color="auto"/>
            <w:bottom w:val="none" w:sz="0" w:space="0" w:color="auto"/>
            <w:right w:val="none" w:sz="0" w:space="0" w:color="auto"/>
          </w:divBdr>
        </w:div>
        <w:div w:id="1686244614">
          <w:marLeft w:val="0"/>
          <w:marRight w:val="0"/>
          <w:marTop w:val="0"/>
          <w:marBottom w:val="0"/>
          <w:divBdr>
            <w:top w:val="none" w:sz="0" w:space="0" w:color="auto"/>
            <w:left w:val="none" w:sz="0" w:space="0" w:color="auto"/>
            <w:bottom w:val="none" w:sz="0" w:space="0" w:color="auto"/>
            <w:right w:val="none" w:sz="0" w:space="0" w:color="auto"/>
          </w:divBdr>
        </w:div>
        <w:div w:id="954213350">
          <w:marLeft w:val="0"/>
          <w:marRight w:val="0"/>
          <w:marTop w:val="0"/>
          <w:marBottom w:val="0"/>
          <w:divBdr>
            <w:top w:val="none" w:sz="0" w:space="0" w:color="auto"/>
            <w:left w:val="none" w:sz="0" w:space="0" w:color="auto"/>
            <w:bottom w:val="none" w:sz="0" w:space="0" w:color="auto"/>
            <w:right w:val="none" w:sz="0" w:space="0" w:color="auto"/>
          </w:divBdr>
        </w:div>
        <w:div w:id="1310355715">
          <w:marLeft w:val="0"/>
          <w:marRight w:val="0"/>
          <w:marTop w:val="0"/>
          <w:marBottom w:val="0"/>
          <w:divBdr>
            <w:top w:val="none" w:sz="0" w:space="0" w:color="auto"/>
            <w:left w:val="none" w:sz="0" w:space="0" w:color="auto"/>
            <w:bottom w:val="none" w:sz="0" w:space="0" w:color="auto"/>
            <w:right w:val="none" w:sz="0" w:space="0" w:color="auto"/>
          </w:divBdr>
        </w:div>
      </w:divsChild>
    </w:div>
    <w:div w:id="813259381">
      <w:bodyDiv w:val="1"/>
      <w:marLeft w:val="0"/>
      <w:marRight w:val="0"/>
      <w:marTop w:val="0"/>
      <w:marBottom w:val="0"/>
      <w:divBdr>
        <w:top w:val="none" w:sz="0" w:space="0" w:color="auto"/>
        <w:left w:val="none" w:sz="0" w:space="0" w:color="auto"/>
        <w:bottom w:val="none" w:sz="0" w:space="0" w:color="auto"/>
        <w:right w:val="none" w:sz="0" w:space="0" w:color="auto"/>
      </w:divBdr>
    </w:div>
    <w:div w:id="888419510">
      <w:bodyDiv w:val="1"/>
      <w:marLeft w:val="0"/>
      <w:marRight w:val="0"/>
      <w:marTop w:val="0"/>
      <w:marBottom w:val="0"/>
      <w:divBdr>
        <w:top w:val="none" w:sz="0" w:space="0" w:color="auto"/>
        <w:left w:val="none" w:sz="0" w:space="0" w:color="auto"/>
        <w:bottom w:val="none" w:sz="0" w:space="0" w:color="auto"/>
        <w:right w:val="none" w:sz="0" w:space="0" w:color="auto"/>
      </w:divBdr>
    </w:div>
    <w:div w:id="889809026">
      <w:bodyDiv w:val="1"/>
      <w:marLeft w:val="0"/>
      <w:marRight w:val="0"/>
      <w:marTop w:val="0"/>
      <w:marBottom w:val="0"/>
      <w:divBdr>
        <w:top w:val="none" w:sz="0" w:space="0" w:color="auto"/>
        <w:left w:val="none" w:sz="0" w:space="0" w:color="auto"/>
        <w:bottom w:val="none" w:sz="0" w:space="0" w:color="auto"/>
        <w:right w:val="none" w:sz="0" w:space="0" w:color="auto"/>
      </w:divBdr>
    </w:div>
    <w:div w:id="921524867">
      <w:bodyDiv w:val="1"/>
      <w:marLeft w:val="0"/>
      <w:marRight w:val="0"/>
      <w:marTop w:val="0"/>
      <w:marBottom w:val="0"/>
      <w:divBdr>
        <w:top w:val="none" w:sz="0" w:space="0" w:color="auto"/>
        <w:left w:val="none" w:sz="0" w:space="0" w:color="auto"/>
        <w:bottom w:val="none" w:sz="0" w:space="0" w:color="auto"/>
        <w:right w:val="none" w:sz="0" w:space="0" w:color="auto"/>
      </w:divBdr>
    </w:div>
    <w:div w:id="950749488">
      <w:bodyDiv w:val="1"/>
      <w:marLeft w:val="0"/>
      <w:marRight w:val="0"/>
      <w:marTop w:val="0"/>
      <w:marBottom w:val="0"/>
      <w:divBdr>
        <w:top w:val="none" w:sz="0" w:space="0" w:color="auto"/>
        <w:left w:val="none" w:sz="0" w:space="0" w:color="auto"/>
        <w:bottom w:val="none" w:sz="0" w:space="0" w:color="auto"/>
        <w:right w:val="none" w:sz="0" w:space="0" w:color="auto"/>
      </w:divBdr>
    </w:div>
    <w:div w:id="952857177">
      <w:bodyDiv w:val="1"/>
      <w:marLeft w:val="0"/>
      <w:marRight w:val="0"/>
      <w:marTop w:val="0"/>
      <w:marBottom w:val="0"/>
      <w:divBdr>
        <w:top w:val="none" w:sz="0" w:space="0" w:color="auto"/>
        <w:left w:val="none" w:sz="0" w:space="0" w:color="auto"/>
        <w:bottom w:val="none" w:sz="0" w:space="0" w:color="auto"/>
        <w:right w:val="none" w:sz="0" w:space="0" w:color="auto"/>
      </w:divBdr>
    </w:div>
    <w:div w:id="952976448">
      <w:bodyDiv w:val="1"/>
      <w:marLeft w:val="0"/>
      <w:marRight w:val="0"/>
      <w:marTop w:val="0"/>
      <w:marBottom w:val="0"/>
      <w:divBdr>
        <w:top w:val="none" w:sz="0" w:space="0" w:color="auto"/>
        <w:left w:val="none" w:sz="0" w:space="0" w:color="auto"/>
        <w:bottom w:val="none" w:sz="0" w:space="0" w:color="auto"/>
        <w:right w:val="none" w:sz="0" w:space="0" w:color="auto"/>
      </w:divBdr>
      <w:divsChild>
        <w:div w:id="622076570">
          <w:marLeft w:val="0"/>
          <w:marRight w:val="0"/>
          <w:marTop w:val="15"/>
          <w:marBottom w:val="0"/>
          <w:divBdr>
            <w:top w:val="none" w:sz="0" w:space="0" w:color="auto"/>
            <w:left w:val="none" w:sz="0" w:space="0" w:color="auto"/>
            <w:bottom w:val="none" w:sz="0" w:space="0" w:color="auto"/>
            <w:right w:val="none" w:sz="0" w:space="0" w:color="auto"/>
          </w:divBdr>
          <w:divsChild>
            <w:div w:id="1924291681">
              <w:marLeft w:val="0"/>
              <w:marRight w:val="0"/>
              <w:marTop w:val="0"/>
              <w:marBottom w:val="0"/>
              <w:divBdr>
                <w:top w:val="none" w:sz="0" w:space="0" w:color="auto"/>
                <w:left w:val="none" w:sz="0" w:space="0" w:color="auto"/>
                <w:bottom w:val="none" w:sz="0" w:space="0" w:color="auto"/>
                <w:right w:val="none" w:sz="0" w:space="0" w:color="auto"/>
              </w:divBdr>
              <w:divsChild>
                <w:div w:id="16387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0810">
      <w:bodyDiv w:val="1"/>
      <w:marLeft w:val="0"/>
      <w:marRight w:val="0"/>
      <w:marTop w:val="0"/>
      <w:marBottom w:val="0"/>
      <w:divBdr>
        <w:top w:val="none" w:sz="0" w:space="0" w:color="auto"/>
        <w:left w:val="none" w:sz="0" w:space="0" w:color="auto"/>
        <w:bottom w:val="none" w:sz="0" w:space="0" w:color="auto"/>
        <w:right w:val="none" w:sz="0" w:space="0" w:color="auto"/>
      </w:divBdr>
    </w:div>
    <w:div w:id="1070423561">
      <w:bodyDiv w:val="1"/>
      <w:marLeft w:val="0"/>
      <w:marRight w:val="0"/>
      <w:marTop w:val="0"/>
      <w:marBottom w:val="0"/>
      <w:divBdr>
        <w:top w:val="none" w:sz="0" w:space="0" w:color="auto"/>
        <w:left w:val="none" w:sz="0" w:space="0" w:color="auto"/>
        <w:bottom w:val="none" w:sz="0" w:space="0" w:color="auto"/>
        <w:right w:val="none" w:sz="0" w:space="0" w:color="auto"/>
      </w:divBdr>
    </w:div>
    <w:div w:id="1080299348">
      <w:bodyDiv w:val="1"/>
      <w:marLeft w:val="0"/>
      <w:marRight w:val="0"/>
      <w:marTop w:val="0"/>
      <w:marBottom w:val="0"/>
      <w:divBdr>
        <w:top w:val="none" w:sz="0" w:space="0" w:color="auto"/>
        <w:left w:val="none" w:sz="0" w:space="0" w:color="auto"/>
        <w:bottom w:val="none" w:sz="0" w:space="0" w:color="auto"/>
        <w:right w:val="none" w:sz="0" w:space="0" w:color="auto"/>
      </w:divBdr>
    </w:div>
    <w:div w:id="1107625438">
      <w:bodyDiv w:val="1"/>
      <w:marLeft w:val="0"/>
      <w:marRight w:val="0"/>
      <w:marTop w:val="0"/>
      <w:marBottom w:val="0"/>
      <w:divBdr>
        <w:top w:val="none" w:sz="0" w:space="0" w:color="auto"/>
        <w:left w:val="none" w:sz="0" w:space="0" w:color="auto"/>
        <w:bottom w:val="none" w:sz="0" w:space="0" w:color="auto"/>
        <w:right w:val="none" w:sz="0" w:space="0" w:color="auto"/>
      </w:divBdr>
    </w:div>
    <w:div w:id="1111054277">
      <w:bodyDiv w:val="1"/>
      <w:marLeft w:val="0"/>
      <w:marRight w:val="0"/>
      <w:marTop w:val="0"/>
      <w:marBottom w:val="0"/>
      <w:divBdr>
        <w:top w:val="none" w:sz="0" w:space="0" w:color="auto"/>
        <w:left w:val="none" w:sz="0" w:space="0" w:color="auto"/>
        <w:bottom w:val="none" w:sz="0" w:space="0" w:color="auto"/>
        <w:right w:val="none" w:sz="0" w:space="0" w:color="auto"/>
      </w:divBdr>
    </w:div>
    <w:div w:id="1120492572">
      <w:bodyDiv w:val="1"/>
      <w:marLeft w:val="0"/>
      <w:marRight w:val="0"/>
      <w:marTop w:val="0"/>
      <w:marBottom w:val="0"/>
      <w:divBdr>
        <w:top w:val="none" w:sz="0" w:space="0" w:color="auto"/>
        <w:left w:val="none" w:sz="0" w:space="0" w:color="auto"/>
        <w:bottom w:val="none" w:sz="0" w:space="0" w:color="auto"/>
        <w:right w:val="none" w:sz="0" w:space="0" w:color="auto"/>
      </w:divBdr>
    </w:div>
    <w:div w:id="1265570655">
      <w:bodyDiv w:val="1"/>
      <w:marLeft w:val="0"/>
      <w:marRight w:val="0"/>
      <w:marTop w:val="0"/>
      <w:marBottom w:val="0"/>
      <w:divBdr>
        <w:top w:val="none" w:sz="0" w:space="0" w:color="auto"/>
        <w:left w:val="none" w:sz="0" w:space="0" w:color="auto"/>
        <w:bottom w:val="none" w:sz="0" w:space="0" w:color="auto"/>
        <w:right w:val="none" w:sz="0" w:space="0" w:color="auto"/>
      </w:divBdr>
    </w:div>
    <w:div w:id="1374965849">
      <w:bodyDiv w:val="1"/>
      <w:marLeft w:val="0"/>
      <w:marRight w:val="0"/>
      <w:marTop w:val="0"/>
      <w:marBottom w:val="0"/>
      <w:divBdr>
        <w:top w:val="none" w:sz="0" w:space="0" w:color="auto"/>
        <w:left w:val="none" w:sz="0" w:space="0" w:color="auto"/>
        <w:bottom w:val="none" w:sz="0" w:space="0" w:color="auto"/>
        <w:right w:val="none" w:sz="0" w:space="0" w:color="auto"/>
      </w:divBdr>
    </w:div>
    <w:div w:id="1395666266">
      <w:bodyDiv w:val="1"/>
      <w:marLeft w:val="0"/>
      <w:marRight w:val="0"/>
      <w:marTop w:val="0"/>
      <w:marBottom w:val="0"/>
      <w:divBdr>
        <w:top w:val="none" w:sz="0" w:space="0" w:color="auto"/>
        <w:left w:val="none" w:sz="0" w:space="0" w:color="auto"/>
        <w:bottom w:val="none" w:sz="0" w:space="0" w:color="auto"/>
        <w:right w:val="none" w:sz="0" w:space="0" w:color="auto"/>
      </w:divBdr>
    </w:div>
    <w:div w:id="1410691531">
      <w:bodyDiv w:val="1"/>
      <w:marLeft w:val="0"/>
      <w:marRight w:val="0"/>
      <w:marTop w:val="0"/>
      <w:marBottom w:val="0"/>
      <w:divBdr>
        <w:top w:val="none" w:sz="0" w:space="0" w:color="auto"/>
        <w:left w:val="none" w:sz="0" w:space="0" w:color="auto"/>
        <w:bottom w:val="none" w:sz="0" w:space="0" w:color="auto"/>
        <w:right w:val="none" w:sz="0" w:space="0" w:color="auto"/>
      </w:divBdr>
    </w:div>
    <w:div w:id="1431701144">
      <w:bodyDiv w:val="1"/>
      <w:marLeft w:val="0"/>
      <w:marRight w:val="0"/>
      <w:marTop w:val="0"/>
      <w:marBottom w:val="0"/>
      <w:divBdr>
        <w:top w:val="none" w:sz="0" w:space="0" w:color="auto"/>
        <w:left w:val="none" w:sz="0" w:space="0" w:color="auto"/>
        <w:bottom w:val="none" w:sz="0" w:space="0" w:color="auto"/>
        <w:right w:val="none" w:sz="0" w:space="0" w:color="auto"/>
      </w:divBdr>
    </w:div>
    <w:div w:id="1441223615">
      <w:bodyDiv w:val="1"/>
      <w:marLeft w:val="0"/>
      <w:marRight w:val="0"/>
      <w:marTop w:val="0"/>
      <w:marBottom w:val="0"/>
      <w:divBdr>
        <w:top w:val="none" w:sz="0" w:space="0" w:color="auto"/>
        <w:left w:val="none" w:sz="0" w:space="0" w:color="auto"/>
        <w:bottom w:val="none" w:sz="0" w:space="0" w:color="auto"/>
        <w:right w:val="none" w:sz="0" w:space="0" w:color="auto"/>
      </w:divBdr>
    </w:div>
    <w:div w:id="1458060419">
      <w:bodyDiv w:val="1"/>
      <w:marLeft w:val="0"/>
      <w:marRight w:val="0"/>
      <w:marTop w:val="0"/>
      <w:marBottom w:val="0"/>
      <w:divBdr>
        <w:top w:val="none" w:sz="0" w:space="0" w:color="auto"/>
        <w:left w:val="none" w:sz="0" w:space="0" w:color="auto"/>
        <w:bottom w:val="none" w:sz="0" w:space="0" w:color="auto"/>
        <w:right w:val="none" w:sz="0" w:space="0" w:color="auto"/>
      </w:divBdr>
    </w:div>
    <w:div w:id="1500076741">
      <w:bodyDiv w:val="1"/>
      <w:marLeft w:val="0"/>
      <w:marRight w:val="0"/>
      <w:marTop w:val="0"/>
      <w:marBottom w:val="0"/>
      <w:divBdr>
        <w:top w:val="none" w:sz="0" w:space="0" w:color="auto"/>
        <w:left w:val="none" w:sz="0" w:space="0" w:color="auto"/>
        <w:bottom w:val="none" w:sz="0" w:space="0" w:color="auto"/>
        <w:right w:val="none" w:sz="0" w:space="0" w:color="auto"/>
      </w:divBdr>
    </w:div>
    <w:div w:id="1525249710">
      <w:bodyDiv w:val="1"/>
      <w:marLeft w:val="0"/>
      <w:marRight w:val="0"/>
      <w:marTop w:val="0"/>
      <w:marBottom w:val="0"/>
      <w:divBdr>
        <w:top w:val="none" w:sz="0" w:space="0" w:color="auto"/>
        <w:left w:val="none" w:sz="0" w:space="0" w:color="auto"/>
        <w:bottom w:val="none" w:sz="0" w:space="0" w:color="auto"/>
        <w:right w:val="none" w:sz="0" w:space="0" w:color="auto"/>
      </w:divBdr>
    </w:div>
    <w:div w:id="1530794144">
      <w:bodyDiv w:val="1"/>
      <w:marLeft w:val="0"/>
      <w:marRight w:val="0"/>
      <w:marTop w:val="0"/>
      <w:marBottom w:val="0"/>
      <w:divBdr>
        <w:top w:val="none" w:sz="0" w:space="0" w:color="auto"/>
        <w:left w:val="none" w:sz="0" w:space="0" w:color="auto"/>
        <w:bottom w:val="none" w:sz="0" w:space="0" w:color="auto"/>
        <w:right w:val="none" w:sz="0" w:space="0" w:color="auto"/>
      </w:divBdr>
    </w:div>
    <w:div w:id="1536191726">
      <w:bodyDiv w:val="1"/>
      <w:marLeft w:val="0"/>
      <w:marRight w:val="0"/>
      <w:marTop w:val="0"/>
      <w:marBottom w:val="0"/>
      <w:divBdr>
        <w:top w:val="none" w:sz="0" w:space="0" w:color="auto"/>
        <w:left w:val="none" w:sz="0" w:space="0" w:color="auto"/>
        <w:bottom w:val="none" w:sz="0" w:space="0" w:color="auto"/>
        <w:right w:val="none" w:sz="0" w:space="0" w:color="auto"/>
      </w:divBdr>
    </w:div>
    <w:div w:id="1540238978">
      <w:bodyDiv w:val="1"/>
      <w:marLeft w:val="0"/>
      <w:marRight w:val="0"/>
      <w:marTop w:val="0"/>
      <w:marBottom w:val="0"/>
      <w:divBdr>
        <w:top w:val="none" w:sz="0" w:space="0" w:color="auto"/>
        <w:left w:val="none" w:sz="0" w:space="0" w:color="auto"/>
        <w:bottom w:val="none" w:sz="0" w:space="0" w:color="auto"/>
        <w:right w:val="none" w:sz="0" w:space="0" w:color="auto"/>
      </w:divBdr>
    </w:div>
    <w:div w:id="1549099463">
      <w:bodyDiv w:val="1"/>
      <w:marLeft w:val="0"/>
      <w:marRight w:val="0"/>
      <w:marTop w:val="0"/>
      <w:marBottom w:val="0"/>
      <w:divBdr>
        <w:top w:val="none" w:sz="0" w:space="0" w:color="auto"/>
        <w:left w:val="none" w:sz="0" w:space="0" w:color="auto"/>
        <w:bottom w:val="none" w:sz="0" w:space="0" w:color="auto"/>
        <w:right w:val="none" w:sz="0" w:space="0" w:color="auto"/>
      </w:divBdr>
    </w:div>
    <w:div w:id="1628506614">
      <w:bodyDiv w:val="1"/>
      <w:marLeft w:val="0"/>
      <w:marRight w:val="0"/>
      <w:marTop w:val="0"/>
      <w:marBottom w:val="0"/>
      <w:divBdr>
        <w:top w:val="none" w:sz="0" w:space="0" w:color="auto"/>
        <w:left w:val="none" w:sz="0" w:space="0" w:color="auto"/>
        <w:bottom w:val="none" w:sz="0" w:space="0" w:color="auto"/>
        <w:right w:val="none" w:sz="0" w:space="0" w:color="auto"/>
      </w:divBdr>
    </w:div>
    <w:div w:id="1630431397">
      <w:bodyDiv w:val="1"/>
      <w:marLeft w:val="0"/>
      <w:marRight w:val="0"/>
      <w:marTop w:val="0"/>
      <w:marBottom w:val="0"/>
      <w:divBdr>
        <w:top w:val="none" w:sz="0" w:space="0" w:color="auto"/>
        <w:left w:val="none" w:sz="0" w:space="0" w:color="auto"/>
        <w:bottom w:val="none" w:sz="0" w:space="0" w:color="auto"/>
        <w:right w:val="none" w:sz="0" w:space="0" w:color="auto"/>
      </w:divBdr>
    </w:div>
    <w:div w:id="1635527047">
      <w:bodyDiv w:val="1"/>
      <w:marLeft w:val="0"/>
      <w:marRight w:val="0"/>
      <w:marTop w:val="0"/>
      <w:marBottom w:val="0"/>
      <w:divBdr>
        <w:top w:val="none" w:sz="0" w:space="0" w:color="auto"/>
        <w:left w:val="none" w:sz="0" w:space="0" w:color="auto"/>
        <w:bottom w:val="none" w:sz="0" w:space="0" w:color="auto"/>
        <w:right w:val="none" w:sz="0" w:space="0" w:color="auto"/>
      </w:divBdr>
    </w:div>
    <w:div w:id="1648389414">
      <w:bodyDiv w:val="1"/>
      <w:marLeft w:val="0"/>
      <w:marRight w:val="0"/>
      <w:marTop w:val="0"/>
      <w:marBottom w:val="0"/>
      <w:divBdr>
        <w:top w:val="none" w:sz="0" w:space="0" w:color="auto"/>
        <w:left w:val="none" w:sz="0" w:space="0" w:color="auto"/>
        <w:bottom w:val="none" w:sz="0" w:space="0" w:color="auto"/>
        <w:right w:val="none" w:sz="0" w:space="0" w:color="auto"/>
      </w:divBdr>
    </w:div>
    <w:div w:id="1654018488">
      <w:bodyDiv w:val="1"/>
      <w:marLeft w:val="0"/>
      <w:marRight w:val="0"/>
      <w:marTop w:val="0"/>
      <w:marBottom w:val="0"/>
      <w:divBdr>
        <w:top w:val="none" w:sz="0" w:space="0" w:color="auto"/>
        <w:left w:val="none" w:sz="0" w:space="0" w:color="auto"/>
        <w:bottom w:val="none" w:sz="0" w:space="0" w:color="auto"/>
        <w:right w:val="none" w:sz="0" w:space="0" w:color="auto"/>
      </w:divBdr>
    </w:div>
    <w:div w:id="1670984961">
      <w:bodyDiv w:val="1"/>
      <w:marLeft w:val="0"/>
      <w:marRight w:val="0"/>
      <w:marTop w:val="0"/>
      <w:marBottom w:val="0"/>
      <w:divBdr>
        <w:top w:val="none" w:sz="0" w:space="0" w:color="auto"/>
        <w:left w:val="none" w:sz="0" w:space="0" w:color="auto"/>
        <w:bottom w:val="none" w:sz="0" w:space="0" w:color="auto"/>
        <w:right w:val="none" w:sz="0" w:space="0" w:color="auto"/>
      </w:divBdr>
    </w:div>
    <w:div w:id="1671450199">
      <w:bodyDiv w:val="1"/>
      <w:marLeft w:val="0"/>
      <w:marRight w:val="0"/>
      <w:marTop w:val="0"/>
      <w:marBottom w:val="0"/>
      <w:divBdr>
        <w:top w:val="none" w:sz="0" w:space="0" w:color="auto"/>
        <w:left w:val="none" w:sz="0" w:space="0" w:color="auto"/>
        <w:bottom w:val="none" w:sz="0" w:space="0" w:color="auto"/>
        <w:right w:val="none" w:sz="0" w:space="0" w:color="auto"/>
      </w:divBdr>
    </w:div>
    <w:div w:id="1771966896">
      <w:bodyDiv w:val="1"/>
      <w:marLeft w:val="0"/>
      <w:marRight w:val="0"/>
      <w:marTop w:val="0"/>
      <w:marBottom w:val="0"/>
      <w:divBdr>
        <w:top w:val="none" w:sz="0" w:space="0" w:color="auto"/>
        <w:left w:val="none" w:sz="0" w:space="0" w:color="auto"/>
        <w:bottom w:val="none" w:sz="0" w:space="0" w:color="auto"/>
        <w:right w:val="none" w:sz="0" w:space="0" w:color="auto"/>
      </w:divBdr>
    </w:div>
    <w:div w:id="1805346176">
      <w:bodyDiv w:val="1"/>
      <w:marLeft w:val="0"/>
      <w:marRight w:val="0"/>
      <w:marTop w:val="0"/>
      <w:marBottom w:val="0"/>
      <w:divBdr>
        <w:top w:val="none" w:sz="0" w:space="0" w:color="auto"/>
        <w:left w:val="none" w:sz="0" w:space="0" w:color="auto"/>
        <w:bottom w:val="none" w:sz="0" w:space="0" w:color="auto"/>
        <w:right w:val="none" w:sz="0" w:space="0" w:color="auto"/>
      </w:divBdr>
    </w:div>
    <w:div w:id="1834030931">
      <w:bodyDiv w:val="1"/>
      <w:marLeft w:val="0"/>
      <w:marRight w:val="0"/>
      <w:marTop w:val="0"/>
      <w:marBottom w:val="0"/>
      <w:divBdr>
        <w:top w:val="none" w:sz="0" w:space="0" w:color="auto"/>
        <w:left w:val="none" w:sz="0" w:space="0" w:color="auto"/>
        <w:bottom w:val="none" w:sz="0" w:space="0" w:color="auto"/>
        <w:right w:val="none" w:sz="0" w:space="0" w:color="auto"/>
      </w:divBdr>
    </w:div>
    <w:div w:id="1841701842">
      <w:bodyDiv w:val="1"/>
      <w:marLeft w:val="0"/>
      <w:marRight w:val="0"/>
      <w:marTop w:val="0"/>
      <w:marBottom w:val="0"/>
      <w:divBdr>
        <w:top w:val="none" w:sz="0" w:space="0" w:color="auto"/>
        <w:left w:val="none" w:sz="0" w:space="0" w:color="auto"/>
        <w:bottom w:val="none" w:sz="0" w:space="0" w:color="auto"/>
        <w:right w:val="none" w:sz="0" w:space="0" w:color="auto"/>
      </w:divBdr>
    </w:div>
    <w:div w:id="1929073122">
      <w:bodyDiv w:val="1"/>
      <w:marLeft w:val="0"/>
      <w:marRight w:val="0"/>
      <w:marTop w:val="0"/>
      <w:marBottom w:val="0"/>
      <w:divBdr>
        <w:top w:val="none" w:sz="0" w:space="0" w:color="auto"/>
        <w:left w:val="none" w:sz="0" w:space="0" w:color="auto"/>
        <w:bottom w:val="none" w:sz="0" w:space="0" w:color="auto"/>
        <w:right w:val="none" w:sz="0" w:space="0" w:color="auto"/>
      </w:divBdr>
    </w:div>
    <w:div w:id="1956906603">
      <w:bodyDiv w:val="1"/>
      <w:marLeft w:val="0"/>
      <w:marRight w:val="0"/>
      <w:marTop w:val="0"/>
      <w:marBottom w:val="0"/>
      <w:divBdr>
        <w:top w:val="none" w:sz="0" w:space="0" w:color="auto"/>
        <w:left w:val="none" w:sz="0" w:space="0" w:color="auto"/>
        <w:bottom w:val="none" w:sz="0" w:space="0" w:color="auto"/>
        <w:right w:val="none" w:sz="0" w:space="0" w:color="auto"/>
      </w:divBdr>
    </w:div>
    <w:div w:id="2065447046">
      <w:bodyDiv w:val="1"/>
      <w:marLeft w:val="0"/>
      <w:marRight w:val="0"/>
      <w:marTop w:val="0"/>
      <w:marBottom w:val="0"/>
      <w:divBdr>
        <w:top w:val="none" w:sz="0" w:space="0" w:color="auto"/>
        <w:left w:val="none" w:sz="0" w:space="0" w:color="auto"/>
        <w:bottom w:val="none" w:sz="0" w:space="0" w:color="auto"/>
        <w:right w:val="none" w:sz="0" w:space="0" w:color="auto"/>
      </w:divBdr>
    </w:div>
    <w:div w:id="2091193096">
      <w:bodyDiv w:val="1"/>
      <w:marLeft w:val="0"/>
      <w:marRight w:val="0"/>
      <w:marTop w:val="0"/>
      <w:marBottom w:val="0"/>
      <w:divBdr>
        <w:top w:val="none" w:sz="0" w:space="0" w:color="auto"/>
        <w:left w:val="none" w:sz="0" w:space="0" w:color="auto"/>
        <w:bottom w:val="none" w:sz="0" w:space="0" w:color="auto"/>
        <w:right w:val="none" w:sz="0" w:space="0" w:color="auto"/>
      </w:divBdr>
    </w:div>
    <w:div w:id="2095667578">
      <w:bodyDiv w:val="1"/>
      <w:marLeft w:val="0"/>
      <w:marRight w:val="0"/>
      <w:marTop w:val="0"/>
      <w:marBottom w:val="0"/>
      <w:divBdr>
        <w:top w:val="none" w:sz="0" w:space="0" w:color="auto"/>
        <w:left w:val="none" w:sz="0" w:space="0" w:color="auto"/>
        <w:bottom w:val="none" w:sz="0" w:space="0" w:color="auto"/>
        <w:right w:val="none" w:sz="0" w:space="0" w:color="auto"/>
      </w:divBdr>
    </w:div>
    <w:div w:id="2096315144">
      <w:bodyDiv w:val="1"/>
      <w:marLeft w:val="0"/>
      <w:marRight w:val="0"/>
      <w:marTop w:val="0"/>
      <w:marBottom w:val="0"/>
      <w:divBdr>
        <w:top w:val="none" w:sz="0" w:space="0" w:color="auto"/>
        <w:left w:val="none" w:sz="0" w:space="0" w:color="auto"/>
        <w:bottom w:val="none" w:sz="0" w:space="0" w:color="auto"/>
        <w:right w:val="none" w:sz="0" w:space="0" w:color="auto"/>
      </w:divBdr>
    </w:div>
    <w:div w:id="2102481932">
      <w:bodyDiv w:val="1"/>
      <w:marLeft w:val="0"/>
      <w:marRight w:val="0"/>
      <w:marTop w:val="0"/>
      <w:marBottom w:val="0"/>
      <w:divBdr>
        <w:top w:val="none" w:sz="0" w:space="0" w:color="auto"/>
        <w:left w:val="none" w:sz="0" w:space="0" w:color="auto"/>
        <w:bottom w:val="none" w:sz="0" w:space="0" w:color="auto"/>
        <w:right w:val="none" w:sz="0" w:space="0" w:color="auto"/>
      </w:divBdr>
    </w:div>
    <w:div w:id="21456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1002/casp.24500401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3406211/"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doi.org/10.2105/AJPH.71.8.80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bservatorio.anses.gob.ar/archivos/documentos/DT_1601_Cobertura%20Previsional.pdf%20" TargetMode="External"/><Relationship Id="rId20" Type="http://schemas.openxmlformats.org/officeDocument/2006/relationships/hyperlink" Target="http://dx.doi.org/10.1590/S0102-311X2013000300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deas.repec.org/s/osf/osfxxx.html" TargetMode="External"/><Relationship Id="rId23" Type="http://schemas.openxmlformats.org/officeDocument/2006/relationships/hyperlink" Target="https://doi.org/10.31406/relap2020.v14.i1.n26.3" TargetMode="External"/><Relationship Id="rId10" Type="http://schemas.openxmlformats.org/officeDocument/2006/relationships/image" Target="media/image2.wmf"/><Relationship Id="rId19" Type="http://schemas.openxmlformats.org/officeDocument/2006/relationships/hyperlink" Target="https://www.persee.fr/doc/pop_0032-4663_2000_hos_12_1_708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ideas.repec.org/p/osf/osfxxx/abx7s.html" TargetMode="External"/><Relationship Id="rId22" Type="http://schemas.openxmlformats.org/officeDocument/2006/relationships/hyperlink" Target="https://www.r-project.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CB9B23-977A-478E-B3C5-8286B2FA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4428</Words>
  <Characters>25241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Anses</Company>
  <LinksUpToDate>false</LinksUpToDate>
  <CharactersWithSpaces>29610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Octavio Nicolas Bramajo</dc:creator>
  <cp:lastModifiedBy>otto</cp:lastModifiedBy>
  <cp:revision>4</cp:revision>
  <dcterms:created xsi:type="dcterms:W3CDTF">2020-06-18T13:40:00Z</dcterms:created>
  <dcterms:modified xsi:type="dcterms:W3CDTF">2020-06-18T13:53:00Z</dcterms:modified>
</cp:coreProperties>
</file>