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C9C" w:rsidRPr="00127C9C" w:rsidRDefault="00127C9C" w:rsidP="00127C9C">
      <w:pPr>
        <w:spacing w:line="240" w:lineRule="auto"/>
        <w:jc w:val="both"/>
        <w:rPr>
          <w:rFonts w:ascii="Times New Roman" w:hAnsi="Times New Roman" w:cs="Times New Roman"/>
          <w:b/>
        </w:rPr>
      </w:pPr>
      <w:r w:rsidRPr="00127C9C">
        <w:rPr>
          <w:b/>
        </w:rPr>
        <w:t>XVI Jornadas Argentinas de Estudios de Población - III Congreso Internacional de Población del Cono Sur, 13-15 de octubre de 2021.</w:t>
      </w:r>
    </w:p>
    <w:p w:rsidR="000B0737" w:rsidRDefault="000B0737" w:rsidP="00127C9C">
      <w:pPr>
        <w:spacing w:line="240" w:lineRule="auto"/>
        <w:jc w:val="both"/>
        <w:rPr>
          <w:rFonts w:ascii="Times New Roman" w:hAnsi="Times New Roman" w:cs="Times New Roman"/>
        </w:rPr>
      </w:pPr>
      <w:r>
        <w:rPr>
          <w:rFonts w:ascii="Times New Roman" w:hAnsi="Times New Roman" w:cs="Times New Roman"/>
        </w:rPr>
        <w:t xml:space="preserve">Título: </w:t>
      </w:r>
      <w:r w:rsidRPr="00AF1D5A">
        <w:rPr>
          <w:rFonts w:ascii="Times New Roman" w:hAnsi="Times New Roman" w:cs="Times New Roman"/>
        </w:rPr>
        <w:t>Esperanza de vida libre de ansiedad/depresión en Argentina: tendencias y descomposición del cambio demográfico, 2005-2018</w:t>
      </w:r>
      <w:r>
        <w:rPr>
          <w:rStyle w:val="Refdenotaalpie"/>
          <w:rFonts w:ascii="Times New Roman" w:hAnsi="Times New Roman" w:cs="Times New Roman"/>
        </w:rPr>
        <w:footnoteReference w:id="1"/>
      </w:r>
      <w:r w:rsidRPr="00AF1D5A">
        <w:rPr>
          <w:rFonts w:ascii="Times New Roman" w:hAnsi="Times New Roman" w:cs="Times New Roman"/>
        </w:rPr>
        <w:t>.</w:t>
      </w:r>
    </w:p>
    <w:p w:rsidR="000B0737" w:rsidRDefault="000B0737" w:rsidP="000B0737">
      <w:pPr>
        <w:rPr>
          <w:rStyle w:val="Hipervnculo"/>
          <w:rFonts w:ascii="Times New Roman" w:hAnsi="Times New Roman" w:cs="Times New Roman"/>
        </w:rPr>
      </w:pPr>
      <w:r w:rsidRPr="00AF1D5A">
        <w:rPr>
          <w:rFonts w:ascii="Times New Roman" w:hAnsi="Times New Roman" w:cs="Times New Roman"/>
          <w:u w:val="single"/>
        </w:rPr>
        <w:t>Autor</w:t>
      </w:r>
      <w:r w:rsidRPr="00AF1D5A">
        <w:rPr>
          <w:rFonts w:ascii="Times New Roman" w:hAnsi="Times New Roman" w:cs="Times New Roman"/>
        </w:rPr>
        <w:t xml:space="preserve">: Octavio Nicolas Bramajo (Centre </w:t>
      </w:r>
      <w:proofErr w:type="spellStart"/>
      <w:r w:rsidRPr="00AF1D5A">
        <w:rPr>
          <w:rFonts w:ascii="Times New Roman" w:hAnsi="Times New Roman" w:cs="Times New Roman"/>
        </w:rPr>
        <w:t>d’Estudis</w:t>
      </w:r>
      <w:proofErr w:type="spellEnd"/>
      <w:r w:rsidRPr="00AF1D5A">
        <w:rPr>
          <w:rFonts w:ascii="Times New Roman" w:hAnsi="Times New Roman" w:cs="Times New Roman"/>
        </w:rPr>
        <w:t xml:space="preserve"> </w:t>
      </w:r>
      <w:proofErr w:type="spellStart"/>
      <w:r w:rsidRPr="00AF1D5A">
        <w:rPr>
          <w:rFonts w:ascii="Times New Roman" w:hAnsi="Times New Roman" w:cs="Times New Roman"/>
        </w:rPr>
        <w:t>Demogràfics</w:t>
      </w:r>
      <w:proofErr w:type="spellEnd"/>
      <w:r w:rsidRPr="00AF1D5A">
        <w:rPr>
          <w:rFonts w:ascii="Times New Roman" w:hAnsi="Times New Roman" w:cs="Times New Roman"/>
        </w:rPr>
        <w:t>/</w:t>
      </w:r>
      <w:proofErr w:type="spellStart"/>
      <w:r w:rsidRPr="00AF1D5A">
        <w:rPr>
          <w:rFonts w:ascii="Times New Roman" w:hAnsi="Times New Roman" w:cs="Times New Roman"/>
        </w:rPr>
        <w:t>Universitat</w:t>
      </w:r>
      <w:proofErr w:type="spellEnd"/>
      <w:r w:rsidRPr="00AF1D5A">
        <w:rPr>
          <w:rFonts w:ascii="Times New Roman" w:hAnsi="Times New Roman" w:cs="Times New Roman"/>
        </w:rPr>
        <w:t xml:space="preserve"> </w:t>
      </w:r>
      <w:proofErr w:type="spellStart"/>
      <w:r w:rsidRPr="00AF1D5A">
        <w:rPr>
          <w:rFonts w:ascii="Times New Roman" w:hAnsi="Times New Roman" w:cs="Times New Roman"/>
        </w:rPr>
        <w:t>Autònoma</w:t>
      </w:r>
      <w:proofErr w:type="spellEnd"/>
      <w:r w:rsidRPr="00AF1D5A">
        <w:rPr>
          <w:rFonts w:ascii="Times New Roman" w:hAnsi="Times New Roman" w:cs="Times New Roman"/>
        </w:rPr>
        <w:t xml:space="preserve"> de Barcelona, Bellaterra, España)  </w:t>
      </w:r>
      <w:hyperlink r:id="rId7" w:history="1">
        <w:r w:rsidRPr="00AF1D5A">
          <w:rPr>
            <w:rStyle w:val="Hipervnculo"/>
            <w:rFonts w:ascii="Times New Roman" w:hAnsi="Times New Roman" w:cs="Times New Roman"/>
          </w:rPr>
          <w:t>obramajo@ced.uab.es</w:t>
        </w:r>
      </w:hyperlink>
      <w:r>
        <w:rPr>
          <w:rStyle w:val="Refdenotaalpie"/>
          <w:rFonts w:ascii="Times New Roman" w:hAnsi="Times New Roman" w:cs="Times New Roman"/>
          <w:color w:val="0563C1"/>
          <w:u w:val="single"/>
        </w:rPr>
        <w:footnoteReference w:id="2"/>
      </w:r>
    </w:p>
    <w:p w:rsidR="00047D6C" w:rsidRPr="00127C9C" w:rsidRDefault="00127C9C" w:rsidP="00BA3991">
      <w:pPr>
        <w:spacing w:line="360" w:lineRule="auto"/>
        <w:jc w:val="both"/>
        <w:rPr>
          <w:rFonts w:ascii="Times New Roman" w:hAnsi="Times New Roman" w:cs="Times New Roman"/>
        </w:rPr>
      </w:pPr>
      <w:r w:rsidRPr="00127C9C">
        <w:rPr>
          <w:rFonts w:ascii="Times New Roman" w:hAnsi="Times New Roman" w:cs="Times New Roman"/>
        </w:rPr>
        <w:t>Sesión Regular 2: Salud y envejecimiento</w:t>
      </w:r>
    </w:p>
    <w:p w:rsidR="00843D5D" w:rsidRDefault="00843D5D" w:rsidP="00047D6C">
      <w:pPr>
        <w:spacing w:line="360" w:lineRule="auto"/>
        <w:jc w:val="both"/>
        <w:rPr>
          <w:rFonts w:ascii="Times New Roman" w:hAnsi="Times New Roman" w:cs="Times New Roman"/>
          <w:b/>
          <w:sz w:val="24"/>
          <w:szCs w:val="24"/>
        </w:rPr>
      </w:pPr>
      <w:r w:rsidRPr="00C06904">
        <w:rPr>
          <w:rFonts w:ascii="Times New Roman" w:hAnsi="Times New Roman" w:cs="Times New Roman"/>
          <w:b/>
          <w:sz w:val="24"/>
          <w:szCs w:val="24"/>
        </w:rPr>
        <w:t>Resumen</w:t>
      </w:r>
    </w:p>
    <w:p w:rsidR="000B0737" w:rsidRDefault="000B0737" w:rsidP="00127C9C">
      <w:pPr>
        <w:spacing w:line="324" w:lineRule="auto"/>
        <w:jc w:val="both"/>
        <w:rPr>
          <w:rFonts w:ascii="Times New Roman" w:eastAsia="Times New Roman" w:hAnsi="Times New Roman" w:cs="Times New Roman"/>
          <w:sz w:val="24"/>
          <w:szCs w:val="24"/>
          <w:lang w:eastAsia="es-ES"/>
        </w:rPr>
      </w:pPr>
      <w:r w:rsidRPr="00AA06B2">
        <w:rPr>
          <w:rFonts w:ascii="Times New Roman" w:eastAsia="Times New Roman" w:hAnsi="Times New Roman" w:cs="Times New Roman"/>
          <w:sz w:val="24"/>
          <w:szCs w:val="24"/>
          <w:lang w:eastAsia="es-ES"/>
        </w:rPr>
        <w:t>Este estudio presentó estimaciones de la esperanza de vida libre de ansiedad/depresión (esperanza de vida saludable) para la población adulta de Argentina y observó su evolución durante el período 2005-2018. Dado que la esperanza de vida y la esperanza de vida saludable son indicadores fuertemente correlacionados, también se descompuso el cambio de esta última en el tiempo para determinar no sólo que componente fue causa de su variación, sino también que grupos de edad contribuyeron a este cambio. Se analizaron datos transversales de la presencia de trastornos de ansiedad/depresión utilizando ondas múltiples de la Encuesta Nacional de Factores de Riesgo (ENFR) de Argentina, y se calculó una serie de esperanzas de vida libres de ansiedad/depresión (condicional a los 20 años de edad), usando el método Sullivan. Luego se aplicó una técnica de descomposición</w:t>
      </w:r>
      <w:r w:rsidR="00416E15">
        <w:rPr>
          <w:rFonts w:ascii="Times New Roman" w:eastAsia="Times New Roman" w:hAnsi="Times New Roman" w:cs="Times New Roman"/>
          <w:sz w:val="24"/>
          <w:szCs w:val="24"/>
          <w:lang w:eastAsia="es-ES"/>
        </w:rPr>
        <w:t xml:space="preserve"> general conocida como</w:t>
      </w:r>
      <w:r w:rsidRPr="00AA06B2">
        <w:rPr>
          <w:rFonts w:ascii="Times New Roman" w:eastAsia="Times New Roman" w:hAnsi="Times New Roman" w:cs="Times New Roman"/>
          <w:sz w:val="24"/>
          <w:szCs w:val="24"/>
          <w:lang w:eastAsia="es-ES"/>
        </w:rPr>
        <w:t xml:space="preserve"> </w:t>
      </w:r>
      <w:proofErr w:type="spellStart"/>
      <w:r w:rsidRPr="000B0737">
        <w:rPr>
          <w:rFonts w:ascii="Times New Roman" w:eastAsia="Times New Roman" w:hAnsi="Times New Roman" w:cs="Times New Roman"/>
          <w:i/>
          <w:sz w:val="24"/>
          <w:szCs w:val="24"/>
          <w:lang w:eastAsia="es-ES"/>
        </w:rPr>
        <w:t>stepwise</w:t>
      </w:r>
      <w:proofErr w:type="spellEnd"/>
      <w:r w:rsidR="00416E15">
        <w:rPr>
          <w:rFonts w:ascii="Times New Roman" w:eastAsia="Times New Roman" w:hAnsi="Times New Roman" w:cs="Times New Roman"/>
          <w:i/>
          <w:sz w:val="24"/>
          <w:szCs w:val="24"/>
          <w:lang w:eastAsia="es-ES"/>
        </w:rPr>
        <w:t xml:space="preserve"> </w:t>
      </w:r>
      <w:proofErr w:type="spellStart"/>
      <w:r w:rsidR="00416E15">
        <w:rPr>
          <w:rFonts w:ascii="Times New Roman" w:eastAsia="Times New Roman" w:hAnsi="Times New Roman" w:cs="Times New Roman"/>
          <w:i/>
          <w:sz w:val="24"/>
          <w:szCs w:val="24"/>
          <w:lang w:eastAsia="es-ES"/>
        </w:rPr>
        <w:t>replacement</w:t>
      </w:r>
      <w:proofErr w:type="spellEnd"/>
      <w:r w:rsidRPr="00AA06B2">
        <w:rPr>
          <w:rFonts w:ascii="Times New Roman" w:eastAsia="Times New Roman" w:hAnsi="Times New Roman" w:cs="Times New Roman"/>
          <w:sz w:val="24"/>
          <w:szCs w:val="24"/>
          <w:lang w:eastAsia="es-ES"/>
        </w:rPr>
        <w:t xml:space="preserve"> para establecer si el cambio en la esperanza de vida saludable se debió a un cambio en la mortalidad o en la morbilidad. Se obtuvo que durante el período 2005-13 la esperanza de vida saludable aumentó, y se redujo en 2013-18. Esta variación fue mayor para las mujeres, en donde casi la totalidad de las mejoras en el período se debieron a cambios en la morbilidad. La descomposición sugirió que el impacto neto de la morbilidad hubiese sido aún mayor de no mediar un incremento en la esperanza de vida durante 2013-2018, con reducciones en la esperanza de vida saludable de 1 año para los hombres y 1.7 años para las mujeres, causada principalmente por los grupos de edad más jóvenes. </w:t>
      </w:r>
      <w:r>
        <w:rPr>
          <w:rFonts w:ascii="Times New Roman" w:eastAsia="Times New Roman" w:hAnsi="Times New Roman" w:cs="Times New Roman"/>
          <w:sz w:val="24"/>
          <w:szCs w:val="24"/>
          <w:lang w:eastAsia="es-ES"/>
        </w:rPr>
        <w:t>Cabe preguntar</w:t>
      </w:r>
      <w:r w:rsidRPr="00AA06B2">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si este cambio negativo se trata de un fenómeno transitorio o si es el comienzo de una tendencia negativa en la salud mental de la población en Argentina.</w:t>
      </w:r>
    </w:p>
    <w:p w:rsidR="00127C9C" w:rsidRDefault="00127C9C" w:rsidP="00127C9C">
      <w:pPr>
        <w:spacing w:line="276" w:lineRule="auto"/>
        <w:jc w:val="both"/>
        <w:rPr>
          <w:rFonts w:ascii="Times New Roman" w:eastAsia="Times New Roman" w:hAnsi="Times New Roman" w:cs="Times New Roman"/>
          <w:sz w:val="24"/>
          <w:szCs w:val="24"/>
          <w:lang w:eastAsia="es-ES"/>
        </w:rPr>
      </w:pPr>
    </w:p>
    <w:p w:rsidR="000B0737" w:rsidRDefault="000B0737" w:rsidP="00127C9C">
      <w:pPr>
        <w:spacing w:line="240" w:lineRule="auto"/>
        <w:jc w:val="both"/>
        <w:rPr>
          <w:rFonts w:ascii="Times New Roman" w:eastAsia="Times New Roman" w:hAnsi="Times New Roman" w:cs="Times New Roman"/>
          <w:sz w:val="24"/>
          <w:szCs w:val="24"/>
          <w:lang w:eastAsia="es-ES"/>
        </w:rPr>
      </w:pPr>
      <w:r w:rsidRPr="000A08E6">
        <w:rPr>
          <w:rFonts w:ascii="Times New Roman" w:eastAsia="Times New Roman" w:hAnsi="Times New Roman" w:cs="Times New Roman"/>
          <w:sz w:val="24"/>
          <w:szCs w:val="24"/>
          <w:lang w:eastAsia="es-ES"/>
        </w:rPr>
        <w:t>Palabras Clave:  Esperanza de</w:t>
      </w:r>
      <w:r>
        <w:rPr>
          <w:rFonts w:ascii="Times New Roman" w:eastAsia="Times New Roman" w:hAnsi="Times New Roman" w:cs="Times New Roman"/>
          <w:sz w:val="24"/>
          <w:szCs w:val="24"/>
          <w:lang w:eastAsia="es-ES"/>
        </w:rPr>
        <w:t xml:space="preserve"> vida saludable, conceptos matemáticos, envejecimiento, salud mental, Argentina.</w:t>
      </w:r>
    </w:p>
    <w:p w:rsidR="0027061C" w:rsidRPr="00C06904" w:rsidRDefault="0027061C" w:rsidP="00BA3991">
      <w:pPr>
        <w:spacing w:line="360" w:lineRule="auto"/>
        <w:jc w:val="both"/>
        <w:rPr>
          <w:rFonts w:ascii="Times New Roman" w:hAnsi="Times New Roman" w:cs="Times New Roman"/>
          <w:b/>
          <w:sz w:val="24"/>
          <w:szCs w:val="24"/>
        </w:rPr>
      </w:pPr>
      <w:bookmarkStart w:id="0" w:name="_GoBack"/>
      <w:bookmarkEnd w:id="0"/>
      <w:r w:rsidRPr="00C06904">
        <w:rPr>
          <w:rFonts w:ascii="Times New Roman" w:hAnsi="Times New Roman" w:cs="Times New Roman"/>
          <w:b/>
          <w:sz w:val="24"/>
          <w:szCs w:val="24"/>
        </w:rPr>
        <w:lastRenderedPageBreak/>
        <w:t>Desarrollo del trabajo</w:t>
      </w:r>
    </w:p>
    <w:p w:rsidR="000B0737" w:rsidRPr="00E2779F" w:rsidRDefault="000B0737" w:rsidP="000B0737">
      <w:pPr>
        <w:spacing w:line="480" w:lineRule="auto"/>
        <w:jc w:val="both"/>
        <w:rPr>
          <w:rFonts w:ascii="Calibri" w:eastAsia="Times New Roman" w:hAnsi="Calibri" w:cs="Calibri"/>
          <w:lang w:eastAsia="es-ES"/>
        </w:rPr>
      </w:pPr>
      <w:r w:rsidRPr="00E2779F">
        <w:rPr>
          <w:rFonts w:ascii="Times New Roman" w:eastAsia="Times New Roman" w:hAnsi="Times New Roman" w:cs="Times New Roman"/>
          <w:i/>
          <w:iCs/>
          <w:sz w:val="24"/>
          <w:szCs w:val="24"/>
          <w:lang w:eastAsia="es-ES"/>
        </w:rPr>
        <w:t>Introducción:</w:t>
      </w:r>
    </w:p>
    <w:p w:rsidR="000B0737" w:rsidRDefault="000B0737" w:rsidP="000B0737">
      <w:pPr>
        <w:spacing w:line="360" w:lineRule="auto"/>
        <w:ind w:firstLine="720"/>
        <w:jc w:val="both"/>
        <w:rPr>
          <w:rFonts w:ascii="Times New Roman" w:hAnsi="Times New Roman" w:cs="Times New Roman"/>
          <w:sz w:val="24"/>
          <w:szCs w:val="24"/>
        </w:rPr>
      </w:pP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largo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siglo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XX,</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esperanza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nacer</w:t>
      </w:r>
      <w:r>
        <w:rPr>
          <w:rStyle w:val="ts-alignment-element"/>
          <w:rFonts w:ascii="Times New Roman" w:hAnsi="Times New Roman" w:cs="Times New Roman"/>
          <w:sz w:val="24"/>
          <w:szCs w:val="24"/>
        </w:rPr>
        <w:t xml:space="preserve"> ha crecido de manera casi lineal en la mayor parte de las poblaciones del mundo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proofErr w:type="spellStart"/>
      <w:r w:rsidRPr="00867BFC">
        <w:rPr>
          <w:rStyle w:val="ts-alignment-element"/>
          <w:rFonts w:ascii="Times New Roman" w:hAnsi="Times New Roman" w:cs="Times New Roman"/>
          <w:sz w:val="24"/>
          <w:szCs w:val="24"/>
        </w:rPr>
        <w:t>Oeppen</w:t>
      </w:r>
      <w:proofErr w:type="spellEnd"/>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&amp;</w:t>
      </w:r>
      <w:r w:rsidRPr="00867BFC">
        <w:rPr>
          <w:rFonts w:ascii="Times New Roman" w:hAnsi="Times New Roman" w:cs="Times New Roman"/>
          <w:sz w:val="24"/>
          <w:szCs w:val="24"/>
        </w:rPr>
        <w:t xml:space="preserve"> </w:t>
      </w:r>
      <w:proofErr w:type="spellStart"/>
      <w:r w:rsidRPr="00867BFC">
        <w:rPr>
          <w:rStyle w:val="ts-alignment-element"/>
          <w:rFonts w:ascii="Times New Roman" w:hAnsi="Times New Roman" w:cs="Times New Roman"/>
          <w:sz w:val="24"/>
          <w:szCs w:val="24"/>
        </w:rPr>
        <w:t>Vaupel</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2002).</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Junto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aumento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la </w:t>
      </w:r>
      <w:r w:rsidRPr="00867BFC">
        <w:rPr>
          <w:rStyle w:val="ts-alignment-element"/>
          <w:rFonts w:ascii="Times New Roman" w:hAnsi="Times New Roman" w:cs="Times New Roman"/>
          <w:sz w:val="24"/>
          <w:szCs w:val="24"/>
        </w:rPr>
        <w:t>longevidad,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prestado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mayor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atención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Pr>
          <w:rStyle w:val="ts-alignment-element"/>
          <w:rFonts w:ascii="Times New Roman" w:hAnsi="Times New Roman" w:cs="Times New Roman"/>
          <w:sz w:val="24"/>
          <w:szCs w:val="24"/>
        </w:rPr>
        <w:t xml:space="preserve"> persona</w:t>
      </w:r>
      <w:r w:rsidRPr="00867BFC">
        <w:rPr>
          <w:rStyle w:val="ts-alignment-element"/>
          <w:rFonts w:ascii="Times New Roman" w:hAnsi="Times New Roman" w:cs="Times New Roman"/>
          <w:sz w:val="24"/>
          <w:szCs w:val="24"/>
        </w:rPr>
        <w:t>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pocas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palabras,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vivir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tiempo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significa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necesariamente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vivir</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de manera 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saludable.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serie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teorías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postulado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hasta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día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hoy</w:t>
      </w:r>
      <w:r w:rsidRPr="00867BFC">
        <w:rPr>
          <w:rFonts w:ascii="Times New Roman" w:hAnsi="Times New Roman" w:cs="Times New Roman"/>
          <w:sz w:val="24"/>
          <w:szCs w:val="24"/>
        </w:rPr>
        <w:t xml:space="preserve"> </w:t>
      </w:r>
      <w:r w:rsidR="00F56375">
        <w:rPr>
          <w:rStyle w:val="ts-alignment-element"/>
          <w:rFonts w:ascii="Times New Roman" w:hAnsi="Times New Roman" w:cs="Times New Roman"/>
          <w:sz w:val="24"/>
          <w:szCs w:val="24"/>
        </w:rPr>
        <w:t>buscando</w:t>
      </w:r>
      <w:r w:rsidR="00F56375" w:rsidRPr="00867BFC">
        <w:rPr>
          <w:rFonts w:ascii="Times New Roman" w:hAnsi="Times New Roman" w:cs="Times New Roman"/>
          <w:sz w:val="24"/>
          <w:szCs w:val="24"/>
        </w:rPr>
        <w:t xml:space="preserve"> establecer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el tiempo vivido de manera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saludable</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se ha incrementado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Pr>
          <w:rFonts w:ascii="Times New Roman" w:hAnsi="Times New Roman" w:cs="Times New Roman"/>
          <w:sz w:val="24"/>
          <w:szCs w:val="24"/>
        </w:rPr>
        <w:t>impusiera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w:t>
      </w:r>
      <w:r>
        <w:rPr>
          <w:rStyle w:val="ts-alignment-element"/>
          <w:rFonts w:ascii="Times New Roman" w:hAnsi="Times New Roman" w:cs="Times New Roman"/>
          <w:sz w:val="24"/>
          <w:szCs w:val="24"/>
        </w:rPr>
        <w:t>a</w:t>
      </w:r>
      <w:r w:rsidRPr="00867BFC">
        <w:rPr>
          <w:rStyle w:val="ts-alignment-element"/>
          <w:rFonts w:ascii="Times New Roman" w:hAnsi="Times New Roman" w:cs="Times New Roman"/>
          <w:sz w:val="24"/>
          <w:szCs w:val="24"/>
        </w:rPr>
        <w:t>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optimista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posiciones,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conocida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compresión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morbilidad,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sugiere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aumento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longevidad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momento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producen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enfermedades</w:t>
      </w:r>
      <w:r w:rsidRPr="00867BFC">
        <w:rPr>
          <w:rFonts w:ascii="Times New Roman" w:hAnsi="Times New Roman" w:cs="Times New Roman"/>
          <w:sz w:val="24"/>
          <w:szCs w:val="24"/>
        </w:rPr>
        <w:t xml:space="preserve"> </w:t>
      </w:r>
      <w:r>
        <w:rPr>
          <w:rFonts w:ascii="Times New Roman" w:hAnsi="Times New Roman" w:cs="Times New Roman"/>
          <w:sz w:val="24"/>
          <w:szCs w:val="24"/>
        </w:rPr>
        <w:t>ocurre en un momento posterior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tanto,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personas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w:t>
      </w:r>
      <w:r>
        <w:rPr>
          <w:rStyle w:val="ts-alignment-element"/>
          <w:rFonts w:ascii="Times New Roman" w:hAnsi="Times New Roman" w:cs="Times New Roman"/>
          <w:sz w:val="24"/>
          <w:szCs w:val="24"/>
        </w:rPr>
        <w:t>ó</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viven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tiempo,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también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pasan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menos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años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viviendo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limitaciones</w:t>
      </w:r>
      <w:r>
        <w:rPr>
          <w:rStyle w:val="ts-alignment-element"/>
          <w:rFonts w:ascii="Times New Roman" w:hAnsi="Times New Roman" w:cs="Times New Roman"/>
          <w:sz w:val="24"/>
          <w:szCs w:val="24"/>
        </w:rPr>
        <w:t xml:space="preserve"> o</w:t>
      </w:r>
      <w:r w:rsidRPr="00867BFC">
        <w:rPr>
          <w:rFonts w:ascii="Times New Roman" w:hAnsi="Times New Roman" w:cs="Times New Roman"/>
          <w:sz w:val="24"/>
          <w:szCs w:val="24"/>
        </w:rPr>
        <w:t xml:space="preserve"> </w:t>
      </w:r>
      <w:r>
        <w:rPr>
          <w:rFonts w:ascii="Times New Roman" w:hAnsi="Times New Roman" w:cs="Times New Roman"/>
          <w:sz w:val="24"/>
          <w:szCs w:val="24"/>
        </w:rPr>
        <w:t>afecciones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crónicas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proofErr w:type="spellStart"/>
      <w:r w:rsidRPr="00867BFC">
        <w:rPr>
          <w:rStyle w:val="ts-alignment-element"/>
          <w:rFonts w:ascii="Times New Roman" w:hAnsi="Times New Roman" w:cs="Times New Roman"/>
          <w:sz w:val="24"/>
          <w:szCs w:val="24"/>
        </w:rPr>
        <w:t>Fries</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1984).</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Su</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contraparte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expansión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morbilidad,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personas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viven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mayor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cantidad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tiempo,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pero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inicio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morbilidades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cambia,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resulta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más prolongada pero la proporción de tiempo vivido con “mala” salud también es mayor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proofErr w:type="spellStart"/>
      <w:r w:rsidRPr="00867BFC">
        <w:rPr>
          <w:rStyle w:val="ts-alignment-element"/>
          <w:rFonts w:ascii="Times New Roman" w:hAnsi="Times New Roman" w:cs="Times New Roman"/>
          <w:sz w:val="24"/>
          <w:szCs w:val="24"/>
        </w:rPr>
        <w:t>Gruenberg</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2005).</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posición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intermedia</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es conocida 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equilibrio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dinámico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proofErr w:type="spellStart"/>
      <w:r w:rsidRPr="00867BFC">
        <w:rPr>
          <w:rStyle w:val="ts-alignment-element"/>
          <w:rFonts w:ascii="Times New Roman" w:hAnsi="Times New Roman" w:cs="Times New Roman"/>
          <w:sz w:val="24"/>
          <w:szCs w:val="24"/>
        </w:rPr>
        <w:t>Manton</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1982;</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Myers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proofErr w:type="spellStart"/>
      <w:r w:rsidRPr="00867BFC">
        <w:rPr>
          <w:rStyle w:val="ts-alignment-element"/>
          <w:rFonts w:ascii="Times New Roman" w:hAnsi="Times New Roman" w:cs="Times New Roman"/>
          <w:sz w:val="24"/>
          <w:szCs w:val="24"/>
        </w:rPr>
        <w:t>Manton</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1984).</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este</w:t>
      </w:r>
      <w:r>
        <w:rPr>
          <w:rStyle w:val="ts-alignment-element"/>
          <w:rFonts w:ascii="Times New Roman" w:hAnsi="Times New Roman" w:cs="Times New Roman"/>
          <w:sz w:val="24"/>
          <w:szCs w:val="24"/>
        </w:rPr>
        <w:t xml:space="preserve"> abordaje</w:t>
      </w:r>
      <w:r w:rsidRPr="00867BFC">
        <w:rPr>
          <w:rStyle w:val="ts-alignment-element"/>
          <w:rFonts w:ascii="Times New Roman" w:hAnsi="Times New Roman" w:cs="Times New Roman"/>
          <w:sz w:val="24"/>
          <w:szCs w:val="24"/>
        </w:rPr>
        <w:t>,</w:t>
      </w:r>
      <w:r>
        <w:rPr>
          <w:rStyle w:val="ts-alignment-element"/>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inicio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limitaciones/condiciones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similar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teoría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expansión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morbilidad,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pero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menor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intensidad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lo que respecta a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Pr>
          <w:rStyle w:val="ts-alignment-element"/>
          <w:rFonts w:ascii="Times New Roman" w:hAnsi="Times New Roman" w:cs="Times New Roman"/>
          <w:sz w:val="24"/>
          <w:szCs w:val="24"/>
        </w:rPr>
        <w:t xml:space="preserve"> restante</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buena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revisión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perspectivas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puede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encontrar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Beltrán-Sánchez</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(2015).</w:t>
      </w:r>
      <w:r w:rsidRPr="00867BFC">
        <w:rPr>
          <w:rFonts w:ascii="Times New Roman" w:hAnsi="Times New Roman" w:cs="Times New Roman"/>
          <w:sz w:val="24"/>
          <w:szCs w:val="24"/>
        </w:rPr>
        <w:t xml:space="preserve"> </w:t>
      </w:r>
    </w:p>
    <w:p w:rsidR="000B0737" w:rsidRDefault="000B0737" w:rsidP="000B0737">
      <w:pPr>
        <w:spacing w:line="360" w:lineRule="auto"/>
        <w:ind w:firstLine="720"/>
        <w:jc w:val="both"/>
        <w:rPr>
          <w:rFonts w:ascii="Times New Roman" w:hAnsi="Times New Roman" w:cs="Times New Roman"/>
          <w:sz w:val="24"/>
          <w:szCs w:val="24"/>
        </w:rPr>
      </w:pPr>
      <w:r w:rsidRPr="00867BFC">
        <w:rPr>
          <w:rStyle w:val="ts-alignment-element"/>
          <w:rFonts w:ascii="Times New Roman" w:hAnsi="Times New Roman" w:cs="Times New Roman"/>
          <w:sz w:val="24"/>
          <w:szCs w:val="24"/>
        </w:rPr>
        <w:t>Estas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teorías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fueron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formuladas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sobre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base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físicas/</w:t>
      </w:r>
      <w:r>
        <w:rPr>
          <w:rStyle w:val="ts-alignment-element"/>
          <w:rFonts w:ascii="Times New Roman" w:hAnsi="Times New Roman" w:cs="Times New Roman"/>
          <w:sz w:val="24"/>
          <w:szCs w:val="24"/>
        </w:rPr>
        <w:t xml:space="preserve">afecciones </w:t>
      </w:r>
      <w:r w:rsidRPr="00867BFC">
        <w:rPr>
          <w:rStyle w:val="ts-alignment-element"/>
          <w:rFonts w:ascii="Times New Roman" w:hAnsi="Times New Roman" w:cs="Times New Roman"/>
          <w:sz w:val="24"/>
          <w:szCs w:val="24"/>
        </w:rPr>
        <w:t>crónicas.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embargo,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papel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condiciones </w:t>
      </w:r>
      <w:r w:rsidRPr="00867BFC">
        <w:rPr>
          <w:rStyle w:val="ts-alignment-element"/>
          <w:rFonts w:ascii="Times New Roman" w:hAnsi="Times New Roman" w:cs="Times New Roman"/>
          <w:sz w:val="24"/>
          <w:szCs w:val="24"/>
        </w:rPr>
        <w:t>mentales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está</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claro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cuando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aborda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debate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compresión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expansión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poblaciones.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trastornos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mentales</w:t>
      </w:r>
      <w:r>
        <w:rPr>
          <w:rFonts w:ascii="Times New Roman" w:hAnsi="Times New Roman" w:cs="Times New Roman"/>
          <w:sz w:val="24"/>
          <w:szCs w:val="24"/>
        </w:rPr>
        <w:t>, anímicos y de la conducta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vez</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importantes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hora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evaluar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poblaciones,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estima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aproximadamente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1</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4</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personas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mundo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sufrirá</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algún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momento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afecciones,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siendo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2030</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principal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causa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discapacidad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mundo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(Ferrari</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2013;</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Organización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Mundial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2017).</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Así</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relación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entre</w:t>
      </w:r>
      <w:r w:rsidRPr="00867BFC">
        <w:rPr>
          <w:rFonts w:ascii="Times New Roman" w:hAnsi="Times New Roman" w:cs="Times New Roman"/>
          <w:sz w:val="24"/>
          <w:szCs w:val="24"/>
        </w:rPr>
        <w:t xml:space="preserve"> una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útil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larga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saludable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está</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clara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hasta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día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hoy,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mismo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podría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decirse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sobre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papel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trastornos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psíquicos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anímicos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esperanzas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saludables.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trastornos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estado</w:t>
      </w:r>
      <w:r w:rsidRPr="00867BFC">
        <w:rPr>
          <w:rFonts w:ascii="Times New Roman" w:hAnsi="Times New Roman" w:cs="Times New Roman"/>
          <w:sz w:val="24"/>
          <w:szCs w:val="24"/>
        </w:rPr>
        <w:t xml:space="preserve"> de </w:t>
      </w:r>
      <w:r w:rsidRPr="00867BFC">
        <w:rPr>
          <w:rStyle w:val="ts-alignment-element"/>
          <w:rFonts w:ascii="Times New Roman" w:hAnsi="Times New Roman" w:cs="Times New Roman"/>
          <w:sz w:val="24"/>
          <w:szCs w:val="24"/>
        </w:rPr>
        <w:t>ánimo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trabajo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consideraremos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ampliamente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trastornos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depresivos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trastornos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ansiedad)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enfermedades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lastRenderedPageBreak/>
        <w:t>origen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mental.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bien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consider</w:t>
      </w:r>
      <w:r>
        <w:rPr>
          <w:rStyle w:val="ts-alignment-element"/>
          <w:rFonts w:ascii="Times New Roman" w:hAnsi="Times New Roman" w:cs="Times New Roman"/>
          <w:sz w:val="24"/>
          <w:szCs w:val="24"/>
        </w:rPr>
        <w:t xml:space="preserve">an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condición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letal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población,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asocian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múltiples</w:t>
      </w:r>
      <w:r>
        <w:rPr>
          <w:rFonts w:ascii="Times New Roman" w:hAnsi="Times New Roman" w:cs="Times New Roman"/>
          <w:sz w:val="24"/>
          <w:szCs w:val="24"/>
        </w:rPr>
        <w:t xml:space="preserve"> problemáticas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afectan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quienes</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las padecen </w:t>
      </w:r>
      <w:r w:rsidRPr="00867BFC">
        <w:rPr>
          <w:rStyle w:val="ts-alignment-element"/>
          <w:rFonts w:ascii="Times New Roman" w:hAnsi="Times New Roman" w:cs="Times New Roman"/>
          <w:sz w:val="24"/>
          <w:szCs w:val="24"/>
        </w:rPr>
        <w:t>(</w:t>
      </w:r>
      <w:r>
        <w:rPr>
          <w:rStyle w:val="ts-alignment-element"/>
          <w:rFonts w:ascii="Times New Roman" w:hAnsi="Times New Roman" w:cs="Times New Roman"/>
          <w:sz w:val="24"/>
          <w:szCs w:val="24"/>
        </w:rPr>
        <w:t>así como a sus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personas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cercanas),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incluida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mortalidad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proofErr w:type="spellStart"/>
      <w:r w:rsidRPr="00867BFC">
        <w:rPr>
          <w:rStyle w:val="ts-alignment-element"/>
          <w:rFonts w:ascii="Times New Roman" w:hAnsi="Times New Roman" w:cs="Times New Roman"/>
          <w:sz w:val="24"/>
          <w:szCs w:val="24"/>
        </w:rPr>
        <w:t>Annequin</w:t>
      </w:r>
      <w:proofErr w:type="spellEnd"/>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2015;</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Blazer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&amp;</w:t>
      </w:r>
      <w:r w:rsidRPr="00867BFC">
        <w:rPr>
          <w:rFonts w:ascii="Times New Roman" w:hAnsi="Times New Roman" w:cs="Times New Roman"/>
          <w:sz w:val="24"/>
          <w:szCs w:val="24"/>
        </w:rPr>
        <w:t xml:space="preserve"> </w:t>
      </w:r>
      <w:proofErr w:type="spellStart"/>
      <w:r w:rsidRPr="00867BFC">
        <w:rPr>
          <w:rStyle w:val="ts-alignment-element"/>
          <w:rFonts w:ascii="Times New Roman" w:hAnsi="Times New Roman" w:cs="Times New Roman"/>
          <w:sz w:val="24"/>
          <w:szCs w:val="24"/>
        </w:rPr>
        <w:t>Hybels</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2005;</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Llorente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2018;</w:t>
      </w:r>
      <w:r w:rsidRPr="00867BFC">
        <w:rPr>
          <w:rFonts w:ascii="Times New Roman" w:hAnsi="Times New Roman" w:cs="Times New Roman"/>
          <w:sz w:val="24"/>
          <w:szCs w:val="24"/>
        </w:rPr>
        <w:t xml:space="preserve"> </w:t>
      </w:r>
      <w:proofErr w:type="spellStart"/>
      <w:r w:rsidRPr="00867BFC">
        <w:rPr>
          <w:rStyle w:val="ts-alignment-element"/>
          <w:rFonts w:ascii="Times New Roman" w:hAnsi="Times New Roman" w:cs="Times New Roman"/>
          <w:sz w:val="24"/>
          <w:szCs w:val="24"/>
        </w:rPr>
        <w:t>Strine</w:t>
      </w:r>
      <w:proofErr w:type="spellEnd"/>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2008).</w:t>
      </w:r>
      <w:r w:rsidRPr="00867BFC">
        <w:rPr>
          <w:rFonts w:ascii="Times New Roman" w:hAnsi="Times New Roman" w:cs="Times New Roman"/>
          <w:sz w:val="24"/>
          <w:szCs w:val="24"/>
        </w:rPr>
        <w:t xml:space="preserve"> </w:t>
      </w:r>
    </w:p>
    <w:p w:rsidR="000B0737" w:rsidRPr="00867BFC" w:rsidRDefault="000B0737" w:rsidP="000B0737">
      <w:pPr>
        <w:spacing w:line="360" w:lineRule="auto"/>
        <w:ind w:firstLine="720"/>
        <w:jc w:val="both"/>
        <w:rPr>
          <w:rFonts w:ascii="Times New Roman" w:eastAsia="Times New Roman" w:hAnsi="Times New Roman" w:cs="Times New Roman"/>
          <w:sz w:val="24"/>
          <w:szCs w:val="24"/>
          <w:lang w:eastAsia="es-ES"/>
        </w:rPr>
      </w:pP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todas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razones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vez</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prestado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atención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mental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indicador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general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población.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Investigar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monitorear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tendencias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desigualdades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población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sus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diferencias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sexo,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otras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características</w:t>
      </w:r>
      <w:r>
        <w:rPr>
          <w:rStyle w:val="ts-alignment-element"/>
          <w:rFonts w:ascii="Times New Roman" w:hAnsi="Times New Roman" w:cs="Times New Roman"/>
          <w:sz w:val="24"/>
          <w:szCs w:val="24"/>
        </w:rPr>
        <w:t xml:space="preserve"> sociodemográficas</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fundamental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producir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políticas</w:t>
      </w:r>
      <w:r>
        <w:rPr>
          <w:rStyle w:val="ts-alignment-element"/>
          <w:rFonts w:ascii="Times New Roman" w:hAnsi="Times New Roman" w:cs="Times New Roman"/>
          <w:sz w:val="24"/>
          <w:szCs w:val="24"/>
        </w:rPr>
        <w:t xml:space="preserve"> 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precisas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diferentes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agentes</w:t>
      </w:r>
      <w:r>
        <w:rPr>
          <w:rStyle w:val="ts-alignment-element"/>
          <w:rFonts w:ascii="Times New Roman" w:hAnsi="Times New Roman" w:cs="Times New Roman"/>
          <w:sz w:val="24"/>
          <w:szCs w:val="24"/>
        </w:rPr>
        <w:t>/instituciones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sociedad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puedan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adoptar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prevenir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mitigar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riesgos</w:t>
      </w:r>
      <w:r>
        <w:rPr>
          <w:rStyle w:val="ts-alignment-element"/>
          <w:rFonts w:ascii="Times New Roman" w:hAnsi="Times New Roman" w:cs="Times New Roman"/>
          <w:sz w:val="24"/>
          <w:szCs w:val="24"/>
        </w:rPr>
        <w:t xml:space="preserve"> diferenciales</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Además,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depresión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ansiedad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condiciones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afectan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las </w:t>
      </w:r>
      <w:r w:rsidRPr="00867BFC">
        <w:rPr>
          <w:rStyle w:val="ts-alignment-element"/>
          <w:rFonts w:ascii="Times New Roman" w:hAnsi="Times New Roman" w:cs="Times New Roman"/>
          <w:sz w:val="24"/>
          <w:szCs w:val="24"/>
        </w:rPr>
        <w:t>mujeres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hombres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proofErr w:type="spellStart"/>
      <w:r w:rsidRPr="00867BFC">
        <w:rPr>
          <w:rStyle w:val="ts-alignment-element"/>
          <w:rFonts w:ascii="Times New Roman" w:hAnsi="Times New Roman" w:cs="Times New Roman"/>
          <w:sz w:val="24"/>
          <w:szCs w:val="24"/>
        </w:rPr>
        <w:t>Aziz</w:t>
      </w:r>
      <w:proofErr w:type="spellEnd"/>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&amp;</w:t>
      </w:r>
      <w:r w:rsidRPr="00867BFC">
        <w:rPr>
          <w:rFonts w:ascii="Times New Roman" w:hAnsi="Times New Roman" w:cs="Times New Roman"/>
          <w:sz w:val="24"/>
          <w:szCs w:val="24"/>
        </w:rPr>
        <w:t xml:space="preserve"> </w:t>
      </w:r>
      <w:proofErr w:type="spellStart"/>
      <w:r w:rsidRPr="00867BFC">
        <w:rPr>
          <w:rStyle w:val="ts-alignment-element"/>
          <w:rFonts w:ascii="Times New Roman" w:hAnsi="Times New Roman" w:cs="Times New Roman"/>
          <w:sz w:val="24"/>
          <w:szCs w:val="24"/>
        </w:rPr>
        <w:t>Steffens</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2013;</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Blazer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&amp;</w:t>
      </w:r>
      <w:r w:rsidRPr="00867BFC">
        <w:rPr>
          <w:rFonts w:ascii="Times New Roman" w:hAnsi="Times New Roman" w:cs="Times New Roman"/>
          <w:sz w:val="24"/>
          <w:szCs w:val="24"/>
        </w:rPr>
        <w:t xml:space="preserve"> </w:t>
      </w:r>
      <w:proofErr w:type="spellStart"/>
      <w:r w:rsidRPr="00867BFC">
        <w:rPr>
          <w:rStyle w:val="ts-alignment-element"/>
          <w:rFonts w:ascii="Times New Roman" w:hAnsi="Times New Roman" w:cs="Times New Roman"/>
          <w:sz w:val="24"/>
          <w:szCs w:val="24"/>
        </w:rPr>
        <w:t>Hybels</w:t>
      </w:r>
      <w:proofErr w:type="spellEnd"/>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2005;</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Stagnaro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2018).</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Por</w:t>
      </w:r>
      <w:r w:rsidRPr="00867BFC">
        <w:rPr>
          <w:rFonts w:ascii="Times New Roman" w:hAnsi="Times New Roman" w:cs="Times New Roman"/>
          <w:sz w:val="24"/>
          <w:szCs w:val="24"/>
        </w:rPr>
        <w:t xml:space="preserve"> lo </w:t>
      </w:r>
      <w:r w:rsidRPr="00867BFC">
        <w:rPr>
          <w:rStyle w:val="ts-alignment-element"/>
          <w:rFonts w:ascii="Times New Roman" w:hAnsi="Times New Roman" w:cs="Times New Roman"/>
          <w:sz w:val="24"/>
          <w:szCs w:val="24"/>
        </w:rPr>
        <w:t>tanto,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interés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entre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tiempo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vivido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estado</w:t>
      </w:r>
      <w:r w:rsidRPr="00867BFC">
        <w:rPr>
          <w:rFonts w:ascii="Times New Roman" w:hAnsi="Times New Roman" w:cs="Times New Roman"/>
          <w:sz w:val="24"/>
          <w:szCs w:val="24"/>
        </w:rPr>
        <w:t xml:space="preserve"> de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mental</w:t>
      </w:r>
      <w:r>
        <w:rPr>
          <w:rStyle w:val="ts-alignment-element"/>
          <w:rFonts w:ascii="Times New Roman" w:hAnsi="Times New Roman" w:cs="Times New Roman"/>
          <w:sz w:val="24"/>
          <w:szCs w:val="24"/>
        </w:rPr>
        <w:t xml:space="preserve"> “bueno”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adquiere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significado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especial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caso,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esperanza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nacer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también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mayor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mujeres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hombres.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implica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presentan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condiciones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frecuencia,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también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viven</w:t>
      </w:r>
      <w:r w:rsidRPr="00867BFC">
        <w:rPr>
          <w:rFonts w:ascii="Times New Roman" w:hAnsi="Times New Roman" w:cs="Times New Roman"/>
          <w:sz w:val="24"/>
          <w:szCs w:val="24"/>
        </w:rPr>
        <w:t xml:space="preserve"> </w:t>
      </w:r>
      <w:r>
        <w:rPr>
          <w:rFonts w:ascii="Times New Roman" w:hAnsi="Times New Roman" w:cs="Times New Roman"/>
          <w:sz w:val="24"/>
          <w:szCs w:val="24"/>
        </w:rPr>
        <w:t xml:space="preserve">una mayor cantidad de </w:t>
      </w:r>
      <w:r w:rsidRPr="00867BFC">
        <w:rPr>
          <w:rStyle w:val="ts-alignment-element"/>
          <w:rFonts w:ascii="Times New Roman" w:hAnsi="Times New Roman" w:cs="Times New Roman"/>
          <w:sz w:val="24"/>
          <w:szCs w:val="24"/>
        </w:rPr>
        <w:t>tiempo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condiciones.</w:t>
      </w:r>
    </w:p>
    <w:p w:rsidR="00416E15" w:rsidRDefault="000B0737" w:rsidP="00416E15">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7BFC">
        <w:rPr>
          <w:rFonts w:ascii="Times New Roman" w:eastAsia="Times New Roman" w:hAnsi="Times New Roman" w:cs="Times New Roman"/>
          <w:sz w:val="24"/>
          <w:szCs w:val="24"/>
        </w:rPr>
        <w:t xml:space="preserve">En Argentina, la prevalencia de trastornos de tipo depresivo es cercana al 10% y los trastornos de ansiedad rondan el 16%, según un estudio epidemiológico de salud mental realizado por Stagnaro et al. (2018). Sin embargo, la prevalencia no expresa la relación entre la presencia de una condición en una población y el tiempo vivido por </w:t>
      </w:r>
      <w:r>
        <w:rPr>
          <w:rFonts w:ascii="Times New Roman" w:eastAsia="Times New Roman" w:hAnsi="Times New Roman" w:cs="Times New Roman"/>
          <w:sz w:val="24"/>
          <w:szCs w:val="24"/>
        </w:rPr>
        <w:t>dicha población</w:t>
      </w:r>
      <w:r w:rsidRPr="00867BFC">
        <w:rPr>
          <w:rFonts w:ascii="Times New Roman" w:eastAsia="Times New Roman" w:hAnsi="Times New Roman" w:cs="Times New Roman"/>
          <w:sz w:val="24"/>
          <w:szCs w:val="24"/>
        </w:rPr>
        <w:t xml:space="preserve">. Argentina, hasta el día de hoy, no tiene una estimación de la </w:t>
      </w:r>
      <w:r>
        <w:rPr>
          <w:rFonts w:ascii="Times New Roman" w:eastAsia="Times New Roman" w:hAnsi="Times New Roman" w:cs="Times New Roman"/>
          <w:sz w:val="24"/>
          <w:szCs w:val="24"/>
        </w:rPr>
        <w:t>incidencia</w:t>
      </w:r>
      <w:r w:rsidRPr="00867BFC">
        <w:rPr>
          <w:rFonts w:ascii="Times New Roman" w:eastAsia="Times New Roman" w:hAnsi="Times New Roman" w:cs="Times New Roman"/>
          <w:sz w:val="24"/>
          <w:szCs w:val="24"/>
        </w:rPr>
        <w:t xml:space="preserve"> general de los trastornos mentales desde una perspectiva demográfica. La demografía tiene un indicador resu</w:t>
      </w:r>
      <w:r>
        <w:rPr>
          <w:rFonts w:ascii="Times New Roman" w:eastAsia="Times New Roman" w:hAnsi="Times New Roman" w:cs="Times New Roman"/>
          <w:sz w:val="24"/>
          <w:szCs w:val="24"/>
        </w:rPr>
        <w:t xml:space="preserve">men </w:t>
      </w:r>
      <w:r w:rsidRPr="00867BFC">
        <w:rPr>
          <w:rFonts w:ascii="Times New Roman" w:eastAsia="Times New Roman" w:hAnsi="Times New Roman" w:cs="Times New Roman"/>
          <w:sz w:val="24"/>
          <w:szCs w:val="24"/>
        </w:rPr>
        <w:t>conocido como esperanza de vida saludable (o ampliamente conocido en inglés como "</w:t>
      </w:r>
      <w:proofErr w:type="spellStart"/>
      <w:r w:rsidRPr="00867BFC">
        <w:rPr>
          <w:rFonts w:ascii="Times New Roman" w:eastAsia="Times New Roman" w:hAnsi="Times New Roman" w:cs="Times New Roman"/>
          <w:sz w:val="24"/>
          <w:szCs w:val="24"/>
        </w:rPr>
        <w:t>health</w:t>
      </w:r>
      <w:proofErr w:type="spellEnd"/>
      <w:r w:rsidRPr="00867BFC">
        <w:rPr>
          <w:rFonts w:ascii="Times New Roman" w:eastAsia="Times New Roman" w:hAnsi="Times New Roman" w:cs="Times New Roman"/>
          <w:sz w:val="24"/>
          <w:szCs w:val="24"/>
        </w:rPr>
        <w:t xml:space="preserve"> </w:t>
      </w:r>
      <w:proofErr w:type="spellStart"/>
      <w:r w:rsidRPr="00867BFC">
        <w:rPr>
          <w:rFonts w:ascii="Times New Roman" w:eastAsia="Times New Roman" w:hAnsi="Times New Roman" w:cs="Times New Roman"/>
          <w:sz w:val="24"/>
          <w:szCs w:val="24"/>
        </w:rPr>
        <w:t>expectancies</w:t>
      </w:r>
      <w:proofErr w:type="spellEnd"/>
      <w:r w:rsidRPr="00867BFC">
        <w:rPr>
          <w:rFonts w:ascii="Times New Roman" w:eastAsia="Times New Roman" w:hAnsi="Times New Roman" w:cs="Times New Roman"/>
          <w:sz w:val="24"/>
          <w:szCs w:val="24"/>
        </w:rPr>
        <w:t>"), que permite</w:t>
      </w:r>
      <w:r>
        <w:rPr>
          <w:rFonts w:ascii="Times New Roman" w:eastAsia="Times New Roman" w:hAnsi="Times New Roman" w:cs="Times New Roman"/>
          <w:sz w:val="24"/>
          <w:szCs w:val="24"/>
        </w:rPr>
        <w:t xml:space="preserve"> dar </w:t>
      </w:r>
      <w:r w:rsidRPr="00867BFC">
        <w:rPr>
          <w:rFonts w:ascii="Times New Roman" w:eastAsia="Times New Roman" w:hAnsi="Times New Roman" w:cs="Times New Roman"/>
          <w:sz w:val="24"/>
          <w:szCs w:val="24"/>
        </w:rPr>
        <w:t xml:space="preserve">una aproximación del tiempo en que una condición dada afecta la salud general de una población durante un período determinado. Hay varios métodos para hacer </w:t>
      </w:r>
      <w:r>
        <w:rPr>
          <w:rFonts w:ascii="Times New Roman" w:eastAsia="Times New Roman" w:hAnsi="Times New Roman" w:cs="Times New Roman"/>
          <w:sz w:val="24"/>
          <w:szCs w:val="24"/>
        </w:rPr>
        <w:t>e</w:t>
      </w:r>
      <w:r w:rsidRPr="00867BFC">
        <w:rPr>
          <w:rFonts w:ascii="Times New Roman" w:eastAsia="Times New Roman" w:hAnsi="Times New Roman" w:cs="Times New Roman"/>
          <w:sz w:val="24"/>
          <w:szCs w:val="24"/>
        </w:rPr>
        <w:t>stimaciones</w:t>
      </w:r>
      <w:r>
        <w:rPr>
          <w:rFonts w:ascii="Times New Roman" w:eastAsia="Times New Roman" w:hAnsi="Times New Roman" w:cs="Times New Roman"/>
          <w:sz w:val="24"/>
          <w:szCs w:val="24"/>
        </w:rPr>
        <w:t xml:space="preserve"> de este estilo</w:t>
      </w:r>
      <w:r w:rsidRPr="00867BFC">
        <w:rPr>
          <w:rFonts w:ascii="Times New Roman" w:eastAsia="Times New Roman" w:hAnsi="Times New Roman" w:cs="Times New Roman"/>
          <w:sz w:val="24"/>
          <w:szCs w:val="24"/>
        </w:rPr>
        <w:t xml:space="preserve">. El más simple y </w:t>
      </w:r>
      <w:r>
        <w:rPr>
          <w:rFonts w:ascii="Times New Roman" w:eastAsia="Times New Roman" w:hAnsi="Times New Roman" w:cs="Times New Roman"/>
          <w:sz w:val="24"/>
          <w:szCs w:val="24"/>
        </w:rPr>
        <w:t xml:space="preserve">difundido de estos métodos </w:t>
      </w:r>
      <w:r w:rsidRPr="00867BFC">
        <w:rPr>
          <w:rFonts w:ascii="Times New Roman" w:eastAsia="Times New Roman" w:hAnsi="Times New Roman" w:cs="Times New Roman"/>
          <w:sz w:val="24"/>
          <w:szCs w:val="24"/>
        </w:rPr>
        <w:t>se conoce como el método Sullivan y se utiliza para calcular las e</w:t>
      </w:r>
      <w:r>
        <w:rPr>
          <w:rFonts w:ascii="Times New Roman" w:eastAsia="Times New Roman" w:hAnsi="Times New Roman" w:cs="Times New Roman"/>
          <w:sz w:val="24"/>
          <w:szCs w:val="24"/>
        </w:rPr>
        <w:t>speranzas</w:t>
      </w:r>
      <w:r w:rsidRPr="00867BFC">
        <w:rPr>
          <w:rFonts w:ascii="Times New Roman" w:eastAsia="Times New Roman" w:hAnsi="Times New Roman" w:cs="Times New Roman"/>
          <w:sz w:val="24"/>
          <w:szCs w:val="24"/>
        </w:rPr>
        <w:t xml:space="preserve"> de vida saludables</w:t>
      </w:r>
      <w:r>
        <w:rPr>
          <w:rFonts w:ascii="Times New Roman" w:eastAsia="Times New Roman" w:hAnsi="Times New Roman" w:cs="Times New Roman"/>
          <w:sz w:val="24"/>
          <w:szCs w:val="24"/>
        </w:rPr>
        <w:t xml:space="preserve"> o libres de enfermedad</w:t>
      </w:r>
      <w:r w:rsidRPr="00867B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EVS</w:t>
      </w:r>
      <w:r w:rsidRPr="00867BFC">
        <w:rPr>
          <w:rFonts w:ascii="Times New Roman" w:eastAsia="Times New Roman" w:hAnsi="Times New Roman" w:cs="Times New Roman"/>
          <w:sz w:val="24"/>
          <w:szCs w:val="24"/>
        </w:rPr>
        <w:t xml:space="preserve">) aprovechando los datos </w:t>
      </w:r>
      <w:r>
        <w:rPr>
          <w:rFonts w:ascii="Times New Roman" w:eastAsia="Times New Roman" w:hAnsi="Times New Roman" w:cs="Times New Roman"/>
          <w:sz w:val="24"/>
          <w:szCs w:val="24"/>
        </w:rPr>
        <w:t xml:space="preserve">transversales </w:t>
      </w:r>
      <w:r w:rsidRPr="00867BFC">
        <w:rPr>
          <w:rFonts w:ascii="Times New Roman" w:eastAsia="Times New Roman" w:hAnsi="Times New Roman" w:cs="Times New Roman"/>
          <w:sz w:val="24"/>
          <w:szCs w:val="24"/>
        </w:rPr>
        <w:t>de prevalencia</w:t>
      </w:r>
      <w:r>
        <w:rPr>
          <w:rFonts w:ascii="Times New Roman" w:eastAsia="Times New Roman" w:hAnsi="Times New Roman" w:cs="Times New Roman"/>
          <w:sz w:val="24"/>
          <w:szCs w:val="24"/>
        </w:rPr>
        <w:t xml:space="preserve"> de una condición determinada</w:t>
      </w:r>
      <w:r w:rsidRPr="00867BFC">
        <w:rPr>
          <w:rFonts w:ascii="Times New Roman" w:eastAsia="Times New Roman" w:hAnsi="Times New Roman" w:cs="Times New Roman"/>
          <w:sz w:val="24"/>
          <w:szCs w:val="24"/>
        </w:rPr>
        <w:t xml:space="preserve"> (Sullivan, 1971). Este método requiere tanto datos de mortalidad como de población para hacer una tabla de vida, junto con los datos de prevalencia de la condición elegida que se estiman (en este caso, trastornos de ansiedad/depresión). Sin embargo, dada su flexibilidad, hay que decir que el método de Sullivan se ha utilizado no solo para estimar las expectativas de salud basadas en </w:t>
      </w:r>
      <w:r w:rsidRPr="00867BFC">
        <w:rPr>
          <w:rFonts w:ascii="Times New Roman" w:eastAsia="Times New Roman" w:hAnsi="Times New Roman" w:cs="Times New Roman"/>
          <w:sz w:val="24"/>
          <w:szCs w:val="24"/>
        </w:rPr>
        <w:lastRenderedPageBreak/>
        <w:t>datos de morbilidad (siendo la prevalencia de una condición o limitación permanente, por ejemplo), sino también otros tipos de indicadores como</w:t>
      </w:r>
      <w:r>
        <w:rPr>
          <w:rFonts w:ascii="Times New Roman" w:eastAsia="Times New Roman" w:hAnsi="Times New Roman" w:cs="Times New Roman"/>
          <w:sz w:val="24"/>
          <w:szCs w:val="24"/>
        </w:rPr>
        <w:t xml:space="preserve"> el tiempo de</w:t>
      </w:r>
      <w:r w:rsidRPr="00867BFC">
        <w:rPr>
          <w:rFonts w:ascii="Times New Roman" w:eastAsia="Times New Roman" w:hAnsi="Times New Roman" w:cs="Times New Roman"/>
          <w:sz w:val="24"/>
          <w:szCs w:val="24"/>
        </w:rPr>
        <w:t xml:space="preserve">  satisfacción con la vida (Solé-</w:t>
      </w:r>
      <w:proofErr w:type="spellStart"/>
      <w:r w:rsidRPr="00867BFC">
        <w:rPr>
          <w:rFonts w:ascii="Times New Roman" w:eastAsia="Times New Roman" w:hAnsi="Times New Roman" w:cs="Times New Roman"/>
          <w:sz w:val="24"/>
          <w:szCs w:val="24"/>
        </w:rPr>
        <w:t>Auró</w:t>
      </w:r>
      <w:proofErr w:type="spellEnd"/>
      <w:r w:rsidRPr="00867BFC">
        <w:rPr>
          <w:rFonts w:ascii="Times New Roman" w:eastAsia="Times New Roman" w:hAnsi="Times New Roman" w:cs="Times New Roman"/>
          <w:sz w:val="24"/>
          <w:szCs w:val="24"/>
        </w:rPr>
        <w:t xml:space="preserve"> &amp; Lozano, 2019), el estado de</w:t>
      </w:r>
      <w:r>
        <w:rPr>
          <w:rFonts w:ascii="Times New Roman" w:eastAsia="Times New Roman" w:hAnsi="Times New Roman" w:cs="Times New Roman"/>
          <w:sz w:val="24"/>
          <w:szCs w:val="24"/>
        </w:rPr>
        <w:t xml:space="preserve"> buena o mala</w:t>
      </w:r>
      <w:r w:rsidRPr="00867BFC">
        <w:rPr>
          <w:rFonts w:ascii="Times New Roman" w:eastAsia="Times New Roman" w:hAnsi="Times New Roman" w:cs="Times New Roman"/>
          <w:sz w:val="24"/>
          <w:szCs w:val="24"/>
        </w:rPr>
        <w:t xml:space="preserve"> salud basado en la percepción (</w:t>
      </w:r>
      <w:proofErr w:type="spellStart"/>
      <w:r w:rsidRPr="00867BFC">
        <w:rPr>
          <w:rFonts w:ascii="Times New Roman" w:eastAsia="Times New Roman" w:hAnsi="Times New Roman" w:cs="Times New Roman"/>
          <w:sz w:val="24"/>
          <w:szCs w:val="24"/>
        </w:rPr>
        <w:t>Camargos</w:t>
      </w:r>
      <w:proofErr w:type="spellEnd"/>
      <w:r w:rsidRPr="00867BFC">
        <w:rPr>
          <w:rFonts w:ascii="Times New Roman" w:eastAsia="Times New Roman" w:hAnsi="Times New Roman" w:cs="Times New Roman"/>
          <w:sz w:val="24"/>
          <w:szCs w:val="24"/>
        </w:rPr>
        <w:t xml:space="preserve"> et al., 2008) o incluso la vida sexual activa en una población determinada (Lindau &amp; </w:t>
      </w:r>
      <w:proofErr w:type="spellStart"/>
      <w:r w:rsidRPr="00867BFC">
        <w:rPr>
          <w:rFonts w:ascii="Times New Roman" w:eastAsia="Times New Roman" w:hAnsi="Times New Roman" w:cs="Times New Roman"/>
          <w:sz w:val="24"/>
          <w:szCs w:val="24"/>
        </w:rPr>
        <w:t>Gavrilova</w:t>
      </w:r>
      <w:proofErr w:type="spellEnd"/>
      <w:r w:rsidRPr="00867BFC">
        <w:rPr>
          <w:rFonts w:ascii="Times New Roman" w:eastAsia="Times New Roman" w:hAnsi="Times New Roman" w:cs="Times New Roman"/>
          <w:sz w:val="24"/>
          <w:szCs w:val="24"/>
        </w:rPr>
        <w:t>, 2010). Sin embargo, una mayor esperanza de vida saludable obtenida a través de este método no indica necesariamente una mejora en la salud de la población</w:t>
      </w:r>
      <w:r>
        <w:rPr>
          <w:rFonts w:ascii="Times New Roman" w:eastAsia="Times New Roman" w:hAnsi="Times New Roman" w:cs="Times New Roman"/>
          <w:sz w:val="24"/>
          <w:szCs w:val="24"/>
        </w:rPr>
        <w:t>, por paradójico que suene</w:t>
      </w:r>
      <w:r w:rsidRPr="00867B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Aunque suene paradójico, esto es porque p</w:t>
      </w:r>
      <w:r w:rsidRPr="00867BFC">
        <w:rPr>
          <w:rFonts w:ascii="Times New Roman" w:eastAsia="Times New Roman" w:hAnsi="Times New Roman" w:cs="Times New Roman"/>
          <w:sz w:val="24"/>
          <w:szCs w:val="24"/>
        </w:rPr>
        <w:t xml:space="preserve">rocedimientos como el método Sullivan </w:t>
      </w:r>
      <w:r>
        <w:rPr>
          <w:rFonts w:ascii="Times New Roman" w:eastAsia="Times New Roman" w:hAnsi="Times New Roman" w:cs="Times New Roman"/>
          <w:sz w:val="24"/>
          <w:szCs w:val="24"/>
        </w:rPr>
        <w:t>tienen ciertas limitaciones inherentes para el cálculo de las</w:t>
      </w:r>
      <w:r w:rsidRPr="00867B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EVS. U</w:t>
      </w:r>
      <w:r w:rsidRPr="00867BFC">
        <w:rPr>
          <w:rFonts w:ascii="Times New Roman" w:eastAsia="Times New Roman" w:hAnsi="Times New Roman" w:cs="Times New Roman"/>
          <w:sz w:val="24"/>
          <w:szCs w:val="24"/>
        </w:rPr>
        <w:t>na de e</w:t>
      </w:r>
      <w:r>
        <w:rPr>
          <w:rFonts w:ascii="Times New Roman" w:eastAsia="Times New Roman" w:hAnsi="Times New Roman" w:cs="Times New Roman"/>
          <w:sz w:val="24"/>
          <w:szCs w:val="24"/>
        </w:rPr>
        <w:t>llas</w:t>
      </w:r>
      <w:r w:rsidRPr="00867BFC">
        <w:rPr>
          <w:rFonts w:ascii="Times New Roman" w:eastAsia="Times New Roman" w:hAnsi="Times New Roman" w:cs="Times New Roman"/>
          <w:sz w:val="24"/>
          <w:szCs w:val="24"/>
        </w:rPr>
        <w:t xml:space="preserve"> es que, dado que este indicador se deriva de una tabla de vida, la esperanza de vida y la esperanza de vida saludable estimada</w:t>
      </w:r>
      <w:r>
        <w:rPr>
          <w:rFonts w:ascii="Times New Roman" w:eastAsia="Times New Roman" w:hAnsi="Times New Roman" w:cs="Times New Roman"/>
          <w:sz w:val="24"/>
          <w:szCs w:val="24"/>
        </w:rPr>
        <w:t>s</w:t>
      </w:r>
      <w:r w:rsidRPr="00867BFC">
        <w:rPr>
          <w:rFonts w:ascii="Times New Roman" w:eastAsia="Times New Roman" w:hAnsi="Times New Roman" w:cs="Times New Roman"/>
          <w:sz w:val="24"/>
          <w:szCs w:val="24"/>
        </w:rPr>
        <w:t xml:space="preserve"> estarán fuertemente correlacionadas (van </w:t>
      </w:r>
      <w:proofErr w:type="spellStart"/>
      <w:r w:rsidRPr="00867BFC">
        <w:rPr>
          <w:rFonts w:ascii="Times New Roman" w:eastAsia="Times New Roman" w:hAnsi="Times New Roman" w:cs="Times New Roman"/>
          <w:sz w:val="24"/>
          <w:szCs w:val="24"/>
        </w:rPr>
        <w:t>Raalte</w:t>
      </w:r>
      <w:proofErr w:type="spellEnd"/>
      <w:r w:rsidRPr="00867BFC">
        <w:rPr>
          <w:rFonts w:ascii="Times New Roman" w:eastAsia="Times New Roman" w:hAnsi="Times New Roman" w:cs="Times New Roman"/>
          <w:sz w:val="24"/>
          <w:szCs w:val="24"/>
        </w:rPr>
        <w:t xml:space="preserve"> &amp; Nepomuceno, 2020). Por lo tanto, es posible que una esperanza de vida saludable en un momento </w:t>
      </w:r>
      <w:r w:rsidRPr="00056309">
        <w:rPr>
          <w:rFonts w:ascii="Times New Roman" w:eastAsia="Times New Roman" w:hAnsi="Times New Roman" w:cs="Times New Roman"/>
          <w:b/>
          <w:sz w:val="24"/>
          <w:szCs w:val="24"/>
        </w:rPr>
        <w:t>n+1</w:t>
      </w:r>
      <w:r w:rsidRPr="00867BFC">
        <w:rPr>
          <w:rFonts w:ascii="Times New Roman" w:eastAsia="Times New Roman" w:hAnsi="Times New Roman" w:cs="Times New Roman"/>
          <w:sz w:val="24"/>
          <w:szCs w:val="24"/>
        </w:rPr>
        <w:t xml:space="preserve"> presente un valor mayor en comparación con un momento anterior </w:t>
      </w:r>
      <w:r w:rsidRPr="00056309">
        <w:rPr>
          <w:rFonts w:ascii="Times New Roman" w:eastAsia="Times New Roman" w:hAnsi="Times New Roman" w:cs="Times New Roman"/>
          <w:b/>
          <w:sz w:val="24"/>
          <w:szCs w:val="24"/>
        </w:rPr>
        <w:t>n</w:t>
      </w:r>
      <w:r w:rsidRPr="00867BFC">
        <w:rPr>
          <w:rFonts w:ascii="Times New Roman" w:eastAsia="Times New Roman" w:hAnsi="Times New Roman" w:cs="Times New Roman"/>
          <w:sz w:val="24"/>
          <w:szCs w:val="24"/>
        </w:rPr>
        <w:t xml:space="preserve">, pero tal aumento podría deberse potencialmente a una mejora en la esperanza de vida general, y no necesariamente debido a </w:t>
      </w:r>
      <w:r>
        <w:rPr>
          <w:rFonts w:ascii="Times New Roman" w:eastAsia="Times New Roman" w:hAnsi="Times New Roman" w:cs="Times New Roman"/>
          <w:sz w:val="24"/>
          <w:szCs w:val="24"/>
        </w:rPr>
        <w:t xml:space="preserve">una mejora en </w:t>
      </w:r>
      <w:r w:rsidRPr="00867BFC">
        <w:rPr>
          <w:rFonts w:ascii="Times New Roman" w:eastAsia="Times New Roman" w:hAnsi="Times New Roman" w:cs="Times New Roman"/>
          <w:sz w:val="24"/>
          <w:szCs w:val="24"/>
        </w:rPr>
        <w:t>la condición</w:t>
      </w:r>
      <w:r>
        <w:rPr>
          <w:rFonts w:ascii="Times New Roman" w:eastAsia="Times New Roman" w:hAnsi="Times New Roman" w:cs="Times New Roman"/>
          <w:sz w:val="24"/>
          <w:szCs w:val="24"/>
        </w:rPr>
        <w:t>/limitación en cuestión</w:t>
      </w:r>
      <w:r w:rsidR="00416E15">
        <w:rPr>
          <w:rFonts w:ascii="Times New Roman" w:eastAsia="Times New Roman" w:hAnsi="Times New Roman" w:cs="Times New Roman"/>
          <w:sz w:val="24"/>
          <w:szCs w:val="24"/>
        </w:rPr>
        <w:t xml:space="preserve"> </w:t>
      </w:r>
      <w:r w:rsidR="00416E15">
        <w:rPr>
          <w:rFonts w:ascii="Times New Roman" w:eastAsia="Times New Roman" w:hAnsi="Times New Roman" w:cs="Times New Roman"/>
          <w:sz w:val="24"/>
          <w:szCs w:val="24"/>
        </w:rPr>
        <w:fldChar w:fldCharType="begin" w:fldLock="1"/>
      </w:r>
      <w:r w:rsidR="00D502A6">
        <w:rPr>
          <w:rFonts w:ascii="Times New Roman" w:eastAsia="Times New Roman" w:hAnsi="Times New Roman" w:cs="Times New Roman"/>
          <w:sz w:val="24"/>
          <w:szCs w:val="24"/>
        </w:rPr>
        <w:instrText>ADDIN CSL_CITATION {"citationItems":[{"id":"ITEM-1","itemData":{"DOI":"10.1007/s00038-012-0361-1","ISSN":"1420911X","PMID":"22618297","abstract":"Objectives: To evaluated the female-male health-survival paradox by estimating the contribution of women's mortality advantage versus women's disability disadvantage. Methods: Disability prevalence was measured from the 2006 Survey on Income and Living Conditions in 25 European countries. Disability prevalence was applied to life tables to estimate healthy life years (HLY) at age 15. Gender differences in HLY were split into two parts: that due to gender inequality in mortality and that due to gender inequality in disability. The relationship between women's mortality advantage or disability disadvantage and the level of population health between countries was analysed using random-effects meta-regression. Results: Women's mortality advantage contributes to more HLY in women; women's higher prevalence of disability reduces the difference in HLY. In populations with high life expectancy women's advantage in HLY was small or even a men's advantage was found. In populations with lower life expectancy, the hardship among men is already evident at young ages. Conclusions: The results suggest that the health-survival paradox is a function of the level of population health, dependent on modifiable factors. © 2012 The Author(s).","author":[{"dropping-particle":"","family":"Oyen","given":"Herman","non-dropping-particle":"Van","parse-names":false,"suffix":""},{"dropping-particle":"","family":"Nusselder","given":"Wilma","non-dropping-particle":"","parse-names":false,"suffix":""},{"dropping-particle":"","family":"Jagger","given":"Carol","non-dropping-particle":"","parse-names":false,"suffix":""},{"dropping-particle":"","family":"Kolip","given":"Petra","non-dropping-particle":"","parse-names":false,"suffix":""},{"dropping-particle":"","family":"Cambois","given":"Emmanuelle","non-dropping-particle":"","parse-names":false,"suffix":""},{"dropping-particle":"","family":"Robine","given":"Jean Marie","non-dropping-particle":"","parse-names":false,"suffix":""}],"container-title":"International Journal of Public Health","id":"ITEM-1","issue":"1","issued":{"date-parts":[["2013"]]},"page":"143-155","publisher":"Birkhauser Verlag AG","title":"Gender differences in healthy life years within the EU: An exploration of the \"health-survival\" paradox","type":"article-journal","volume":"58"},"uris":["http://www.mendeley.com/documents/?uuid=bb80e895-5522-3104-ae5a-6db9567a113b"]}],"mendeley":{"formattedCitation":"(Van Oyen et al., 2013)","plainTextFormattedCitation":"(Van Oyen et al., 2013)","previouslyFormattedCitation":"(Van Oyen et al., 2013)"},"properties":{"noteIndex":0},"schema":"https://github.com/citation-style-language/schema/raw/master/csl-citation.json"}</w:instrText>
      </w:r>
      <w:r w:rsidR="00416E15">
        <w:rPr>
          <w:rFonts w:ascii="Times New Roman" w:eastAsia="Times New Roman" w:hAnsi="Times New Roman" w:cs="Times New Roman"/>
          <w:sz w:val="24"/>
          <w:szCs w:val="24"/>
        </w:rPr>
        <w:fldChar w:fldCharType="separate"/>
      </w:r>
      <w:r w:rsidR="00416E15" w:rsidRPr="00416E15">
        <w:rPr>
          <w:rFonts w:ascii="Times New Roman" w:eastAsia="Times New Roman" w:hAnsi="Times New Roman" w:cs="Times New Roman"/>
          <w:noProof/>
          <w:sz w:val="24"/>
          <w:szCs w:val="24"/>
        </w:rPr>
        <w:t>(Van Oyen et al., 2013)</w:t>
      </w:r>
      <w:r w:rsidR="00416E15">
        <w:rPr>
          <w:rFonts w:ascii="Times New Roman" w:eastAsia="Times New Roman" w:hAnsi="Times New Roman" w:cs="Times New Roman"/>
          <w:sz w:val="24"/>
          <w:szCs w:val="24"/>
        </w:rPr>
        <w:fldChar w:fldCharType="end"/>
      </w:r>
      <w:r w:rsidRPr="00867BFC">
        <w:rPr>
          <w:rFonts w:ascii="Times New Roman" w:eastAsia="Times New Roman" w:hAnsi="Times New Roman" w:cs="Times New Roman"/>
          <w:sz w:val="24"/>
          <w:szCs w:val="24"/>
        </w:rPr>
        <w:t xml:space="preserve">. </w:t>
      </w:r>
    </w:p>
    <w:p w:rsidR="00416E15" w:rsidRDefault="00416E15" w:rsidP="00416E15">
      <w:pPr>
        <w:shd w:val="clear" w:color="auto" w:fill="FDFDFD"/>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
        <w:t>En el análisis demográfico</w:t>
      </w:r>
      <w:r w:rsidR="000B0737" w:rsidRPr="00867BFC">
        <w:rPr>
          <w:rFonts w:ascii="Times New Roman" w:eastAsia="Times New Roman" w:hAnsi="Times New Roman" w:cs="Times New Roman"/>
          <w:sz w:val="24"/>
          <w:szCs w:val="24"/>
        </w:rPr>
        <w:t xml:space="preserve"> existen una serie de técnicas matemáticas de descomposición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{"citationItems":[{"id":"ITEM-1","itemData":{"DOI":"10.4054/demres.2002.7.14","ISSN":"14359871","abstract":"A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 © Max-Planck-Gesellschaft.","author":[{"dropping-particle":"","family":"Andreev","given":"Evgueni M.","non-dropping-particle":"","parse-names":false,"suffix":""},{"dropping-particle":"","family":"Shkolnikov","given":"Vladimir M.","non-dropping-particle":"","parse-names":false,"suffix":""},{"dropping-particle":"","family":"Begun","given":"Alexander Z.","non-dropping-particle":"","parse-names":false,"suffix":""}],"container-title":"Demographic Research","id":"ITEM-1","issued":{"date-parts":[["2002","10","1"]]},"page":"499-521","publisher":"Max Planck Institute for Demographic Research","title":"Algorithm for decomposition of differences between aggregate demographic measures and its application to life expectancies, healthy life expectancies, parity-progression ratios and total fertility rates","type":"article-journal","volume":"7"},"uris":["http://www.mendeley.com/documents/?uuid=0e8025cb-d8a7-3fad-ba4c-2719b8e6253e"]},{"id":"ITEM-2","itemData":{"DOI":"10.1353/dem.2004.0017","ISSN":"00703370","PMID":"15209043","abstract":"Health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Netherlands.","author":[{"dropping-particle":"","family":"Nusselder","given":"Wilma J.","non-dropping-particle":"","parse-names":false,"suffix":""},{"dropping-particle":"","family":"Looman","given":"Casper W.N.","non-dropping-particle":"","parse-names":false,"suffix":""}],"container-title":"Demography","id":"ITEM-2","issue":"2","issued":{"date-parts":[["2004"]]},"page":"315-334","publisher":"Duke University Press","title":"Decomposition of differences in health expectancy by cause","type":"article-journal","volume":"41"},"uris":["http://www.mendeley.com/documents/?uuid=8e4a8127-33df-31eb-883e-49f82298f0d3"]}],"mendeley":{"formattedCitation":"(Andreev et al., 2002; Nusselder &amp; Looman, 2004)","plainTextFormattedCitation":"(Andreev et al., 2002; Nusselder &amp; Looman, 2004)","previouslyFormattedCitation":"(Andreev et al., 2002; Nusselder &amp; Looman, 2004)"},"properties":{"noteIndex":0},"schema":"https://github.com/citation-style-language/schema/raw/master/csl-citation.json"}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16E15">
        <w:rPr>
          <w:rFonts w:ascii="Times New Roman" w:eastAsia="Times New Roman" w:hAnsi="Times New Roman" w:cs="Times New Roman"/>
          <w:noProof/>
          <w:sz w:val="24"/>
          <w:szCs w:val="24"/>
        </w:rPr>
        <w:t>(Andreev et al., 2002; Nusselder &amp; Looman, 2004)</w:t>
      </w:r>
      <w:r>
        <w:rPr>
          <w:rFonts w:ascii="Times New Roman" w:eastAsia="Times New Roman" w:hAnsi="Times New Roman" w:cs="Times New Roman"/>
          <w:sz w:val="24"/>
          <w:szCs w:val="24"/>
        </w:rPr>
        <w:fldChar w:fldCharType="end"/>
      </w:r>
      <w:r w:rsidR="000B0737" w:rsidRPr="00867BFC">
        <w:rPr>
          <w:rFonts w:ascii="Times New Roman" w:eastAsia="Times New Roman" w:hAnsi="Times New Roman" w:cs="Times New Roman"/>
          <w:sz w:val="24"/>
          <w:szCs w:val="24"/>
        </w:rPr>
        <w:t xml:space="preserve"> que permiten desentrañar el impacto "neto" del cambio</w:t>
      </w:r>
      <w:r w:rsidR="000B0737">
        <w:rPr>
          <w:rFonts w:ascii="Times New Roman" w:eastAsia="Times New Roman" w:hAnsi="Times New Roman" w:cs="Times New Roman"/>
          <w:sz w:val="24"/>
          <w:szCs w:val="24"/>
        </w:rPr>
        <w:t xml:space="preserve"> demográfico</w:t>
      </w:r>
      <w:r w:rsidR="000B0737" w:rsidRPr="00867BFC">
        <w:rPr>
          <w:rFonts w:ascii="Times New Roman" w:eastAsia="Times New Roman" w:hAnsi="Times New Roman" w:cs="Times New Roman"/>
          <w:sz w:val="24"/>
          <w:szCs w:val="24"/>
        </w:rPr>
        <w:t xml:space="preserve"> en la esperanza de vida saludable/esperanza de vida libre de </w:t>
      </w:r>
      <w:r w:rsidR="000B0737">
        <w:rPr>
          <w:rFonts w:ascii="Times New Roman" w:eastAsia="Times New Roman" w:hAnsi="Times New Roman" w:cs="Times New Roman"/>
          <w:sz w:val="24"/>
          <w:szCs w:val="24"/>
        </w:rPr>
        <w:t xml:space="preserve">una </w:t>
      </w:r>
      <w:r w:rsidR="000B0737" w:rsidRPr="00867BFC">
        <w:rPr>
          <w:rFonts w:ascii="Times New Roman" w:eastAsia="Times New Roman" w:hAnsi="Times New Roman" w:cs="Times New Roman"/>
          <w:sz w:val="24"/>
          <w:szCs w:val="24"/>
        </w:rPr>
        <w:t>enfermedad</w:t>
      </w:r>
      <w:r w:rsidR="000B0737">
        <w:rPr>
          <w:rFonts w:ascii="Times New Roman" w:eastAsia="Times New Roman" w:hAnsi="Times New Roman" w:cs="Times New Roman"/>
          <w:sz w:val="24"/>
          <w:szCs w:val="24"/>
        </w:rPr>
        <w:t xml:space="preserve"> dada</w:t>
      </w:r>
      <w:r w:rsidR="000B0737" w:rsidRPr="00867BFC">
        <w:rPr>
          <w:rFonts w:ascii="Times New Roman" w:eastAsia="Times New Roman" w:hAnsi="Times New Roman" w:cs="Times New Roman"/>
          <w:sz w:val="24"/>
          <w:szCs w:val="24"/>
        </w:rPr>
        <w:t xml:space="preserve"> (que se atribuye a la evolución de la morbilidad de la condición dada), separándola del cambio que podría ser atribuible a la mortalidad</w:t>
      </w:r>
      <w:r w:rsidR="000B0737">
        <w:rPr>
          <w:rFonts w:ascii="Times New Roman" w:eastAsia="Times New Roman" w:hAnsi="Times New Roman" w:cs="Times New Roman"/>
          <w:sz w:val="24"/>
          <w:szCs w:val="24"/>
        </w:rPr>
        <w:t xml:space="preserve"> (o a la esperanza de vida total)</w:t>
      </w:r>
      <w:r w:rsidR="000B0737" w:rsidRPr="00867B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Incluso, </w:t>
      </w:r>
      <w:r w:rsidR="000B0737" w:rsidRPr="00867BFC">
        <w:rPr>
          <w:rStyle w:val="ts-alignment-element"/>
          <w:rFonts w:ascii="Times New Roman" w:hAnsi="Times New Roman" w:cs="Times New Roman"/>
          <w:sz w:val="24"/>
          <w:szCs w:val="24"/>
        </w:rPr>
        <w:t>también</w:t>
      </w:r>
      <w:r w:rsidR="000B0737">
        <w:rPr>
          <w:rStyle w:val="ts-alignment-element"/>
          <w:rFonts w:ascii="Times New Roman" w:hAnsi="Times New Roman" w:cs="Times New Roman"/>
          <w:sz w:val="24"/>
          <w:szCs w:val="24"/>
        </w:rPr>
        <w:t xml:space="preserve"> es posible determinar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contribución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grupo</w:t>
      </w:r>
      <w:r w:rsidR="000B0737">
        <w:rPr>
          <w:rStyle w:val="ts-alignment-element"/>
          <w:rFonts w:ascii="Times New Roman" w:hAnsi="Times New Roman" w:cs="Times New Roman"/>
          <w:sz w:val="24"/>
          <w:szCs w:val="24"/>
        </w:rPr>
        <w:t xml:space="preserve"> quinquenal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edad</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total</w:t>
      </w:r>
      <w:r w:rsidR="000B0737" w:rsidRPr="00867BFC">
        <w:rPr>
          <w:rFonts w:ascii="Times New Roman" w:hAnsi="Times New Roman" w:cs="Times New Roman"/>
          <w:sz w:val="24"/>
          <w:szCs w:val="24"/>
        </w:rPr>
        <w:t xml:space="preserve"> </w:t>
      </w:r>
      <w:r w:rsidR="000B0737">
        <w:rPr>
          <w:rStyle w:val="ts-alignment-element"/>
          <w:rFonts w:ascii="Times New Roman" w:hAnsi="Times New Roman" w:cs="Times New Roman"/>
          <w:sz w:val="24"/>
          <w:szCs w:val="24"/>
        </w:rPr>
        <w:t>de dicha diferencia</w:t>
      </w:r>
      <w:r w:rsidR="000B0737" w:rsidRPr="00867BFC">
        <w:rPr>
          <w:rStyle w:val="ts-alignment-element"/>
          <w:rFonts w:ascii="Times New Roman" w:hAnsi="Times New Roman" w:cs="Times New Roman"/>
          <w:sz w:val="24"/>
          <w:szCs w:val="24"/>
        </w:rPr>
        <w: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manera,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posible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especificar</w:t>
      </w:r>
      <w:r w:rsidR="000B0737" w:rsidRPr="00867BFC">
        <w:rPr>
          <w:rFonts w:ascii="Times New Roman" w:hAnsi="Times New Roman" w:cs="Times New Roman"/>
          <w:sz w:val="24"/>
          <w:szCs w:val="24"/>
        </w:rPr>
        <w:t xml:space="preserve"> </w:t>
      </w:r>
      <w:r w:rsidR="000B0737">
        <w:rPr>
          <w:rStyle w:val="ts-alignment-element"/>
          <w:rFonts w:ascii="Times New Roman" w:hAnsi="Times New Roman" w:cs="Times New Roman"/>
          <w:sz w:val="24"/>
          <w:szCs w:val="24"/>
        </w:rPr>
        <w:t xml:space="preserve">de una manera más precisa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relación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entre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cambio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tiempo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vivido</w:t>
      </w:r>
      <w:r w:rsidR="000B0737">
        <w:rPr>
          <w:rFonts w:ascii="Times New Roman" w:hAnsi="Times New Roman" w:cs="Times New Roman"/>
          <w:sz w:val="24"/>
          <w:szCs w:val="24"/>
        </w:rPr>
        <w:t xml:space="preserve"> (componente de mortalidad, expresado en la esperanza de 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y</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cambio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tiempo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convivido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presencia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una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condición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una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población</w:t>
      </w:r>
      <w:r w:rsidR="000B0737">
        <w:rPr>
          <w:rStyle w:val="ts-alignment-element"/>
          <w:rFonts w:ascii="Times New Roman" w:hAnsi="Times New Roman" w:cs="Times New Roman"/>
          <w:sz w:val="24"/>
          <w:szCs w:val="24"/>
        </w:rPr>
        <w:t xml:space="preserve"> (el componente de morbilidad)</w:t>
      </w:r>
      <w:r w:rsidR="000B0737" w:rsidRPr="00867BFC">
        <w:rPr>
          <w:rStyle w:val="ts-alignment-element"/>
          <w:rFonts w:ascii="Times New Roman" w:hAnsi="Times New Roman" w:cs="Times New Roman"/>
          <w:sz w:val="24"/>
          <w:szCs w:val="24"/>
        </w:rPr>
        <w: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Algunos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estudios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han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hecho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previamente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para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descomponer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diferencia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Pr>
          <w:rFonts w:ascii="Times New Roman" w:hAnsi="Times New Roman" w:cs="Times New Roman"/>
          <w:sz w:val="24"/>
          <w:szCs w:val="24"/>
        </w:rPr>
        <w:t xml:space="preserve"> EV</w:t>
      </w:r>
      <w:r>
        <w:rPr>
          <w:rFonts w:ascii="Times New Roman" w:hAnsi="Times New Roman" w:cs="Times New Roman"/>
          <w:sz w:val="24"/>
          <w:szCs w:val="24"/>
        </w:rPr>
        <w:t>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manera,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utilizando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datos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Europa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Estados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Unidos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como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referencia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w:t>
      </w:r>
      <w:proofErr w:type="spellStart"/>
      <w:r w:rsidR="000B0737" w:rsidRPr="00867BFC">
        <w:rPr>
          <w:rStyle w:val="ts-alignment-element"/>
          <w:rFonts w:ascii="Times New Roman" w:hAnsi="Times New Roman" w:cs="Times New Roman"/>
          <w:sz w:val="24"/>
          <w:szCs w:val="24"/>
        </w:rPr>
        <w:t>Nusselder</w:t>
      </w:r>
      <w:proofErr w:type="spellEnd"/>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2005;</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Nusselder</w:t>
      </w:r>
      <w:proofErr w:type="spellEnd"/>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&amp;</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Looman</w:t>
      </w:r>
      <w:proofErr w:type="spellEnd"/>
      <w:r w:rsidR="000B0737" w:rsidRPr="00867BFC">
        <w:rPr>
          <w:rStyle w:val="ts-alignment-element"/>
          <w:rFonts w:ascii="Times New Roman" w:hAnsi="Times New Roman" w:cs="Times New Roman"/>
          <w:sz w:val="24"/>
          <w:szCs w:val="24"/>
        </w:rPr>
        <w: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2004;</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Sauerberg</w:t>
      </w:r>
      <w:proofErr w:type="spellEnd"/>
      <w:r w:rsidR="000B0737" w:rsidRPr="00867BFC">
        <w:rPr>
          <w:rStyle w:val="ts-alignment-element"/>
          <w:rFonts w:ascii="Times New Roman" w:hAnsi="Times New Roman" w:cs="Times New Roman"/>
          <w:sz w:val="24"/>
          <w:szCs w:val="24"/>
        </w:rPr>
        <w: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2021;</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van</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Raalte</w:t>
      </w:r>
      <w:proofErr w:type="spellEnd"/>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&amp;</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Nepomuceno,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2020;</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Voigt</w:t>
      </w:r>
      <w:proofErr w:type="spellEnd"/>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2020).</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Sin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embargo,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ninguno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análisis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descomposición</w:t>
      </w:r>
      <w:r w:rsidR="000B0737" w:rsidRPr="00867BFC">
        <w:rPr>
          <w:rFonts w:ascii="Times New Roman" w:hAnsi="Times New Roman" w:cs="Times New Roman"/>
          <w:sz w:val="24"/>
          <w:szCs w:val="24"/>
        </w:rPr>
        <w:t xml:space="preserve"> </w:t>
      </w:r>
      <w:r>
        <w:rPr>
          <w:rFonts w:ascii="Times New Roman" w:hAnsi="Times New Roman" w:cs="Times New Roman"/>
          <w:sz w:val="24"/>
          <w:szCs w:val="24"/>
        </w:rPr>
        <w:t xml:space="preserve">confeccionados para estos países </w:t>
      </w:r>
      <w:r w:rsidR="000B0737" w:rsidRPr="00867BFC">
        <w:rPr>
          <w:rStyle w:val="ts-alignment-element"/>
          <w:rFonts w:ascii="Times New Roman" w:hAnsi="Times New Roman" w:cs="Times New Roman"/>
          <w:sz w:val="24"/>
          <w:szCs w:val="24"/>
        </w:rPr>
        <w:t>se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ha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centrado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específicamente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los </w:t>
      </w:r>
      <w:r w:rsidR="000B0737" w:rsidRPr="00867BFC">
        <w:rPr>
          <w:rStyle w:val="ts-alignment-element"/>
          <w:rFonts w:ascii="Times New Roman" w:hAnsi="Times New Roman" w:cs="Times New Roman"/>
          <w:sz w:val="24"/>
          <w:szCs w:val="24"/>
        </w:rPr>
        <w:t>trastornos</w:t>
      </w:r>
      <w:r w:rsidR="000B0737">
        <w:rPr>
          <w:rStyle w:val="ts-alignment-element"/>
          <w:rFonts w:ascii="Times New Roman" w:hAnsi="Times New Roman" w:cs="Times New Roman"/>
          <w:sz w:val="24"/>
          <w:szCs w:val="24"/>
        </w:rPr>
        <w:t xml:space="preserve"> de tipo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mental,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optando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por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calcular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expectativas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saludables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basadas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limitaciones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físicas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(como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analizadas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por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índice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GALI)</w:t>
      </w:r>
      <w:r w:rsidR="000B0737" w:rsidRPr="00867BFC">
        <w:rPr>
          <w:rFonts w:ascii="Times New Roman" w:hAnsi="Times New Roman" w:cs="Times New Roman"/>
          <w:sz w:val="24"/>
          <w:szCs w:val="24"/>
        </w:rPr>
        <w:t xml:space="preserve"> </w:t>
      </w:r>
      <w:r w:rsidR="000B0737">
        <w:rPr>
          <w:rFonts w:ascii="Times New Roman" w:hAnsi="Times New Roman" w:cs="Times New Roman"/>
          <w:sz w:val="24"/>
          <w:szCs w:val="24"/>
        </w:rPr>
        <w:t xml:space="preserve">o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grandes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grupos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arbitrarios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enfermedades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crónicas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(independientemente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su</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origen,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sea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física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mental).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trabajo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Steensma</w:t>
      </w:r>
      <w:proofErr w:type="spellEnd"/>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(2016),</w:t>
      </w:r>
      <w:r w:rsidR="000B0737" w:rsidRPr="00867BFC">
        <w:rPr>
          <w:rFonts w:ascii="Times New Roman" w:hAnsi="Times New Roman" w:cs="Times New Roman"/>
          <w:sz w:val="24"/>
          <w:szCs w:val="24"/>
        </w:rPr>
        <w:t xml:space="preserve"> sin </w:t>
      </w:r>
      <w:r w:rsidR="000B0737" w:rsidRPr="00867BFC">
        <w:rPr>
          <w:rStyle w:val="ts-alignment-element"/>
          <w:rFonts w:ascii="Times New Roman" w:hAnsi="Times New Roman" w:cs="Times New Roman"/>
          <w:sz w:val="24"/>
          <w:szCs w:val="24"/>
        </w:rPr>
        <w:t>embargo,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presentó</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estimaciones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esperanza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libre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lastRenderedPageBreak/>
        <w:t>depresión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y</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su</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cambio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mediante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procedimiento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descomposición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Nusselder</w:t>
      </w:r>
      <w:proofErr w:type="spellEnd"/>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y</w:t>
      </w:r>
      <w:r w:rsidR="000B0737" w:rsidRPr="00867BFC">
        <w:rPr>
          <w:rFonts w:ascii="Times New Roman" w:hAnsi="Times New Roman" w:cs="Times New Roman"/>
          <w:sz w:val="24"/>
          <w:szCs w:val="24"/>
        </w:rPr>
        <w:t xml:space="preserve"> </w:t>
      </w:r>
      <w:proofErr w:type="spellStart"/>
      <w:r w:rsidR="000B0737" w:rsidRPr="00867BFC">
        <w:rPr>
          <w:rStyle w:val="ts-alignment-element"/>
          <w:rFonts w:ascii="Times New Roman" w:hAnsi="Times New Roman" w:cs="Times New Roman"/>
          <w:sz w:val="24"/>
          <w:szCs w:val="24"/>
        </w:rPr>
        <w:t>Looman</w:t>
      </w:r>
      <w:proofErr w:type="spellEnd"/>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(2004).</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han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hecho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comparando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resultados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encuestas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salud</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Canadá,</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obteniendo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que,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pesar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una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prevalencia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más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alta,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esperanza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libre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depresión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para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mujeres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más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alta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que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para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hombres,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junto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una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menor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mortalidad</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general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para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aquellos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individuos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sin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depresión.</w:t>
      </w:r>
      <w:r w:rsidR="000B0737" w:rsidRPr="00867BFC">
        <w:rPr>
          <w:rFonts w:ascii="Times New Roman" w:hAnsi="Times New Roman" w:cs="Times New Roman"/>
          <w:sz w:val="24"/>
          <w:szCs w:val="24"/>
        </w:rPr>
        <w:t xml:space="preserve"> </w:t>
      </w:r>
      <w:r w:rsidR="000B0737">
        <w:rPr>
          <w:rFonts w:ascii="Times New Roman" w:hAnsi="Times New Roman" w:cs="Times New Roman"/>
          <w:sz w:val="24"/>
          <w:szCs w:val="24"/>
        </w:rPr>
        <w:tab/>
      </w:r>
    </w:p>
    <w:p w:rsidR="000B0737" w:rsidRDefault="00416E15" w:rsidP="00416E15">
      <w:pPr>
        <w:shd w:val="clear" w:color="auto" w:fill="FDFDFD"/>
        <w:spacing w:after="0" w:line="360" w:lineRule="auto"/>
        <w:jc w:val="both"/>
        <w:rPr>
          <w:rFonts w:ascii="Times New Roman" w:hAnsi="Times New Roman" w:cs="Times New Roman"/>
          <w:sz w:val="24"/>
          <w:szCs w:val="24"/>
        </w:rPr>
      </w:pPr>
      <w:r>
        <w:rPr>
          <w:rStyle w:val="ts-alignment-element"/>
          <w:rFonts w:ascii="Times New Roman" w:hAnsi="Times New Roman" w:cs="Times New Roman"/>
          <w:sz w:val="24"/>
          <w:szCs w:val="24"/>
        </w:rPr>
        <w:tab/>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América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Latina,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trabajo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Andrade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(2016)</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estimó</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previamente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esperanza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libre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depresión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para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adultos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mayores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Brasil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y</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encontró</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un</w:t>
      </w:r>
      <w:r w:rsidR="000B0737" w:rsidRPr="00867BFC">
        <w:rPr>
          <w:rFonts w:ascii="Times New Roman" w:hAnsi="Times New Roman" w:cs="Times New Roman"/>
          <w:sz w:val="24"/>
          <w:szCs w:val="24"/>
        </w:rPr>
        <w:t xml:space="preserve"> </w:t>
      </w:r>
      <w:r w:rsidR="000B0737">
        <w:rPr>
          <w:rFonts w:ascii="Times New Roman" w:hAnsi="Times New Roman" w:cs="Times New Roman"/>
          <w:sz w:val="24"/>
          <w:szCs w:val="24"/>
        </w:rPr>
        <w:t>incremento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indicador</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durante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período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2000</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y</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2010.</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Alves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&amp;</w:t>
      </w:r>
      <w:r w:rsidR="000B0737">
        <w:rPr>
          <w:rStyle w:val="ts-alignment-element"/>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Pereira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(2018)</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también</w:t>
      </w:r>
      <w:r w:rsidR="000B0737" w:rsidRPr="00867BFC">
        <w:rPr>
          <w:rFonts w:ascii="Times New Roman" w:hAnsi="Times New Roman" w:cs="Times New Roman"/>
          <w:sz w:val="24"/>
          <w:szCs w:val="24"/>
        </w:rPr>
        <w:t xml:space="preserve"> </w:t>
      </w:r>
      <w:r w:rsidR="000B0737">
        <w:rPr>
          <w:rStyle w:val="ts-alignment-element"/>
          <w:rFonts w:ascii="Times New Roman" w:hAnsi="Times New Roman" w:cs="Times New Roman"/>
          <w:sz w:val="24"/>
          <w:szCs w:val="24"/>
        </w:rPr>
        <w:t>produjeron una serie de estimaciones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esperanza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libre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depresión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para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Brasil,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separado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por</w:t>
      </w:r>
      <w:r w:rsidR="000B0737" w:rsidRPr="00867BFC">
        <w:rPr>
          <w:rFonts w:ascii="Times New Roman" w:hAnsi="Times New Roman" w:cs="Times New Roman"/>
          <w:sz w:val="24"/>
          <w:szCs w:val="24"/>
        </w:rPr>
        <w:t xml:space="preserve"> </w:t>
      </w:r>
      <w:r w:rsidR="000B0737">
        <w:rPr>
          <w:rFonts w:ascii="Times New Roman" w:hAnsi="Times New Roman" w:cs="Times New Roman"/>
          <w:sz w:val="24"/>
          <w:szCs w:val="24"/>
        </w:rPr>
        <w:t>etnias</w:t>
      </w:r>
      <w:r w:rsidR="000B0737" w:rsidRPr="00867BFC">
        <w:rPr>
          <w:rStyle w:val="ts-alignment-element"/>
          <w:rFonts w:ascii="Times New Roman" w:hAnsi="Times New Roman" w:cs="Times New Roman"/>
          <w:sz w:val="24"/>
          <w:szCs w:val="24"/>
        </w:rPr>
        <w:t>,</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pero</w:t>
      </w:r>
      <w:r w:rsidR="000B0737" w:rsidRPr="00867BFC">
        <w:rPr>
          <w:rFonts w:ascii="Times New Roman" w:hAnsi="Times New Roman" w:cs="Times New Roman"/>
          <w:sz w:val="24"/>
          <w:szCs w:val="24"/>
        </w:rPr>
        <w:t xml:space="preserve"> </w:t>
      </w:r>
      <w:r w:rsidR="000B0737">
        <w:rPr>
          <w:rFonts w:ascii="Times New Roman" w:hAnsi="Times New Roman" w:cs="Times New Roman"/>
          <w:sz w:val="24"/>
          <w:szCs w:val="24"/>
        </w:rPr>
        <w:t>ninguno de estos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trabajos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descompuso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aumento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general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esperanza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aumento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esperanza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libre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depresión.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Como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mencionó</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anteriormente,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Argentina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no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existen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estimaciones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demográficas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ningún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tipo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sobre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carga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general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los </w:t>
      </w:r>
      <w:r w:rsidR="000B0737" w:rsidRPr="00867BFC">
        <w:rPr>
          <w:rStyle w:val="ts-alignment-element"/>
          <w:rFonts w:ascii="Times New Roman" w:hAnsi="Times New Roman" w:cs="Times New Roman"/>
          <w:sz w:val="24"/>
          <w:szCs w:val="24"/>
        </w:rPr>
        <w:t>síntomas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mala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salud</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mental.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base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también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w:t>
      </w:r>
      <w:r w:rsidR="000B0737">
        <w:rPr>
          <w:rFonts w:ascii="Times New Roman" w:hAnsi="Times New Roman" w:cs="Times New Roman"/>
          <w:sz w:val="24"/>
          <w:szCs w:val="24"/>
        </w:rPr>
        <w:t xml:space="preserve"> esperable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que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no</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existan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estudios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que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consideren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el</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cambio</w:t>
      </w:r>
      <w:r w:rsidR="000B0737" w:rsidRPr="00867BFC">
        <w:rPr>
          <w:rFonts w:ascii="Times New Roman" w:hAnsi="Times New Roman" w:cs="Times New Roman"/>
          <w:sz w:val="24"/>
          <w:szCs w:val="24"/>
        </w:rPr>
        <w:t xml:space="preserve"> </w:t>
      </w:r>
      <w:r w:rsidR="000B0737">
        <w:rPr>
          <w:rStyle w:val="ts-alignment-element"/>
          <w:rFonts w:ascii="Times New Roman" w:hAnsi="Times New Roman" w:cs="Times New Roman"/>
          <w:sz w:val="24"/>
          <w:szCs w:val="24"/>
        </w:rPr>
        <w:t xml:space="preserve">composicional </w:t>
      </w:r>
      <w:r w:rsidR="000B0737" w:rsidRPr="00867BFC">
        <w:rPr>
          <w:rStyle w:val="ts-alignment-element"/>
          <w:rFonts w:ascii="Times New Roman" w:hAnsi="Times New Roman" w:cs="Times New Roman"/>
          <w:sz w:val="24"/>
          <w:szCs w:val="24"/>
        </w:rPr>
        <w:t>en</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esperanza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vida</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libre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de</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estas</w:t>
      </w:r>
      <w:r w:rsidR="000B0737" w:rsidRPr="00867BFC">
        <w:rPr>
          <w:rFonts w:ascii="Times New Roman" w:hAnsi="Times New Roman" w:cs="Times New Roman"/>
          <w:sz w:val="24"/>
          <w:szCs w:val="24"/>
        </w:rPr>
        <w:t xml:space="preserve"> </w:t>
      </w:r>
      <w:r w:rsidR="000B0737" w:rsidRPr="00867BFC">
        <w:rPr>
          <w:rStyle w:val="ts-alignment-element"/>
          <w:rFonts w:ascii="Times New Roman" w:hAnsi="Times New Roman" w:cs="Times New Roman"/>
          <w:sz w:val="24"/>
          <w:szCs w:val="24"/>
        </w:rPr>
        <w:t>condiciones.</w:t>
      </w:r>
      <w:r w:rsidR="000B0737" w:rsidRPr="00867BFC">
        <w:rPr>
          <w:rFonts w:ascii="Times New Roman" w:hAnsi="Times New Roman" w:cs="Times New Roman"/>
          <w:sz w:val="24"/>
          <w:szCs w:val="24"/>
        </w:rPr>
        <w:t xml:space="preserve"> </w:t>
      </w:r>
    </w:p>
    <w:p w:rsidR="00416E15" w:rsidRPr="00867BFC" w:rsidRDefault="00416E15" w:rsidP="00416E15">
      <w:pPr>
        <w:shd w:val="clear" w:color="auto" w:fill="FDFDFD"/>
        <w:spacing w:after="0" w:line="360" w:lineRule="auto"/>
        <w:jc w:val="both"/>
        <w:rPr>
          <w:rFonts w:ascii="Times New Roman" w:hAnsi="Times New Roman" w:cs="Times New Roman"/>
          <w:sz w:val="24"/>
          <w:szCs w:val="24"/>
        </w:rPr>
      </w:pPr>
    </w:p>
    <w:p w:rsidR="000B0737" w:rsidRPr="00867BFC" w:rsidRDefault="000B0737" w:rsidP="000B0737">
      <w:pPr>
        <w:shd w:val="clear" w:color="auto" w:fill="FDFDFD"/>
        <w:spacing w:after="0" w:line="360" w:lineRule="auto"/>
        <w:jc w:val="both"/>
        <w:rPr>
          <w:rFonts w:ascii="Times New Roman" w:eastAsia="Times New Roman" w:hAnsi="Times New Roman" w:cs="Times New Roman"/>
          <w:sz w:val="24"/>
          <w:szCs w:val="24"/>
        </w:rPr>
      </w:pPr>
      <w:r w:rsidRPr="00867BFC">
        <w:rPr>
          <w:rFonts w:ascii="Times New Roman" w:eastAsia="Times New Roman" w:hAnsi="Times New Roman" w:cs="Times New Roman"/>
          <w:i/>
          <w:sz w:val="24"/>
          <w:szCs w:val="24"/>
        </w:rPr>
        <w:t>Objetivo:</w:t>
      </w:r>
      <w:r w:rsidRPr="00867BFC">
        <w:rPr>
          <w:rFonts w:ascii="Times New Roman" w:eastAsia="Times New Roman" w:hAnsi="Times New Roman" w:cs="Times New Roman"/>
          <w:sz w:val="24"/>
          <w:szCs w:val="24"/>
        </w:rPr>
        <w:t xml:space="preserve"> </w:t>
      </w:r>
    </w:p>
    <w:p w:rsidR="000B0737" w:rsidRPr="00867BFC" w:rsidRDefault="000B0737" w:rsidP="000B0737">
      <w:pPr>
        <w:shd w:val="clear" w:color="auto" w:fill="FDFDFD"/>
        <w:spacing w:after="0" w:line="360" w:lineRule="auto"/>
        <w:jc w:val="both"/>
        <w:rPr>
          <w:rFonts w:ascii="Times New Roman" w:eastAsia="Times New Roman" w:hAnsi="Times New Roman" w:cs="Times New Roman"/>
          <w:sz w:val="24"/>
          <w:szCs w:val="24"/>
        </w:rPr>
      </w:pPr>
    </w:p>
    <w:p w:rsidR="000B0737" w:rsidRDefault="00416E15" w:rsidP="00D502A6">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0737" w:rsidRPr="00867BFC">
        <w:rPr>
          <w:rFonts w:ascii="Times New Roman" w:eastAsia="Times New Roman" w:hAnsi="Times New Roman" w:cs="Times New Roman"/>
          <w:sz w:val="24"/>
          <w:szCs w:val="24"/>
        </w:rPr>
        <w:t>Este trabajo bus</w:t>
      </w:r>
      <w:r>
        <w:rPr>
          <w:rFonts w:ascii="Times New Roman" w:eastAsia="Times New Roman" w:hAnsi="Times New Roman" w:cs="Times New Roman"/>
          <w:sz w:val="24"/>
          <w:szCs w:val="24"/>
        </w:rPr>
        <w:t xml:space="preserve">ca describir la evolución de los trastornos de ansiedad/depresión en la población argentina, </w:t>
      </w:r>
      <w:r w:rsidR="000B0737" w:rsidRPr="00867BFC">
        <w:rPr>
          <w:rFonts w:ascii="Times New Roman" w:eastAsia="Times New Roman" w:hAnsi="Times New Roman" w:cs="Times New Roman"/>
          <w:sz w:val="24"/>
          <w:szCs w:val="24"/>
        </w:rPr>
        <w:t>presentando no sólo estimaciones de esperanza de vida libre de</w:t>
      </w:r>
      <w:r w:rsidR="000B0737">
        <w:rPr>
          <w:rFonts w:ascii="Times New Roman" w:eastAsia="Times New Roman" w:hAnsi="Times New Roman" w:cs="Times New Roman"/>
          <w:sz w:val="24"/>
          <w:szCs w:val="24"/>
        </w:rPr>
        <w:t xml:space="preserve"> trastornos de</w:t>
      </w:r>
      <w:r w:rsidR="000B0737" w:rsidRPr="00867BFC">
        <w:rPr>
          <w:rFonts w:ascii="Times New Roman" w:eastAsia="Times New Roman" w:hAnsi="Times New Roman" w:cs="Times New Roman"/>
          <w:sz w:val="24"/>
          <w:szCs w:val="24"/>
        </w:rPr>
        <w:t xml:space="preserve"> ansiedad/depresión</w:t>
      </w:r>
      <w:r w:rsidR="000B0737">
        <w:rPr>
          <w:rFonts w:ascii="Times New Roman" w:eastAsia="Times New Roman" w:hAnsi="Times New Roman" w:cs="Times New Roman"/>
          <w:sz w:val="24"/>
          <w:szCs w:val="24"/>
        </w:rPr>
        <w:t xml:space="preserve"> (EVLTAD)</w:t>
      </w:r>
      <w:r w:rsidR="000B0737" w:rsidRPr="00867BFC">
        <w:rPr>
          <w:rFonts w:ascii="Times New Roman" w:eastAsia="Times New Roman" w:hAnsi="Times New Roman" w:cs="Times New Roman"/>
          <w:sz w:val="24"/>
          <w:szCs w:val="24"/>
        </w:rPr>
        <w:t xml:space="preserve">, sino también descomponiendo el cambio </w:t>
      </w:r>
      <w:r w:rsidR="000B0737">
        <w:rPr>
          <w:rFonts w:ascii="Times New Roman" w:eastAsia="Times New Roman" w:hAnsi="Times New Roman" w:cs="Times New Roman"/>
          <w:sz w:val="24"/>
          <w:szCs w:val="24"/>
        </w:rPr>
        <w:t>de dichas esperanzas</w:t>
      </w:r>
      <w:r w:rsidR="000B0737" w:rsidRPr="00867BFC">
        <w:rPr>
          <w:rFonts w:ascii="Times New Roman" w:eastAsia="Times New Roman" w:hAnsi="Times New Roman" w:cs="Times New Roman"/>
          <w:sz w:val="24"/>
          <w:szCs w:val="24"/>
        </w:rPr>
        <w:t xml:space="preserve"> a lo largo del tiempo</w:t>
      </w:r>
      <w:r w:rsidR="000B0737">
        <w:rPr>
          <w:rFonts w:ascii="Times New Roman" w:eastAsia="Times New Roman" w:hAnsi="Times New Roman" w:cs="Times New Roman"/>
          <w:sz w:val="24"/>
          <w:szCs w:val="24"/>
        </w:rPr>
        <w:t xml:space="preserve">. Esto se hizo para </w:t>
      </w:r>
      <w:r w:rsidR="000B0737" w:rsidRPr="00867BFC">
        <w:rPr>
          <w:rFonts w:ascii="Times New Roman" w:eastAsia="Times New Roman" w:hAnsi="Times New Roman" w:cs="Times New Roman"/>
          <w:sz w:val="24"/>
          <w:szCs w:val="24"/>
        </w:rPr>
        <w:t>ver no sólo la contribución de cada componente</w:t>
      </w:r>
      <w:r w:rsidR="000B0737">
        <w:rPr>
          <w:rFonts w:ascii="Times New Roman" w:eastAsia="Times New Roman" w:hAnsi="Times New Roman" w:cs="Times New Roman"/>
          <w:sz w:val="24"/>
          <w:szCs w:val="24"/>
        </w:rPr>
        <w:t xml:space="preserve"> (mortalidad</w:t>
      </w:r>
      <w:r>
        <w:rPr>
          <w:rFonts w:ascii="Times New Roman" w:eastAsia="Times New Roman" w:hAnsi="Times New Roman" w:cs="Times New Roman"/>
          <w:sz w:val="24"/>
          <w:szCs w:val="24"/>
        </w:rPr>
        <w:t>/</w:t>
      </w:r>
      <w:r w:rsidR="000B0737">
        <w:rPr>
          <w:rFonts w:ascii="Times New Roman" w:eastAsia="Times New Roman" w:hAnsi="Times New Roman" w:cs="Times New Roman"/>
          <w:sz w:val="24"/>
          <w:szCs w:val="24"/>
        </w:rPr>
        <w:t>morbilidad)</w:t>
      </w:r>
      <w:r w:rsidR="000B0737" w:rsidRPr="00867BFC">
        <w:rPr>
          <w:rFonts w:ascii="Times New Roman" w:eastAsia="Times New Roman" w:hAnsi="Times New Roman" w:cs="Times New Roman"/>
          <w:sz w:val="24"/>
          <w:szCs w:val="24"/>
        </w:rPr>
        <w:t xml:space="preserve"> en el cambio general</w:t>
      </w:r>
      <w:r w:rsidR="000B0737">
        <w:rPr>
          <w:rFonts w:ascii="Times New Roman" w:eastAsia="Times New Roman" w:hAnsi="Times New Roman" w:cs="Times New Roman"/>
          <w:sz w:val="24"/>
          <w:szCs w:val="24"/>
        </w:rPr>
        <w:t xml:space="preserve"> de las EVLTAD</w:t>
      </w:r>
      <w:r w:rsidR="000B0737" w:rsidRPr="00867BFC">
        <w:rPr>
          <w:rFonts w:ascii="Times New Roman" w:eastAsia="Times New Roman" w:hAnsi="Times New Roman" w:cs="Times New Roman"/>
          <w:sz w:val="24"/>
          <w:szCs w:val="24"/>
        </w:rPr>
        <w:t xml:space="preserve">, sino también </w:t>
      </w:r>
      <w:r w:rsidR="000B0737">
        <w:rPr>
          <w:rFonts w:ascii="Times New Roman" w:eastAsia="Times New Roman" w:hAnsi="Times New Roman" w:cs="Times New Roman"/>
          <w:sz w:val="24"/>
          <w:szCs w:val="24"/>
        </w:rPr>
        <w:t>en que edades se concentró dicho cambio</w:t>
      </w:r>
      <w:r w:rsidR="000B0737" w:rsidRPr="00867BFC">
        <w:rPr>
          <w:rFonts w:ascii="Times New Roman" w:eastAsia="Times New Roman" w:hAnsi="Times New Roman" w:cs="Times New Roman"/>
          <w:sz w:val="24"/>
          <w:szCs w:val="24"/>
        </w:rPr>
        <w:t xml:space="preserve">, para cuantificar </w:t>
      </w:r>
      <w:r w:rsidR="000B0737">
        <w:rPr>
          <w:rFonts w:ascii="Times New Roman" w:eastAsia="Times New Roman" w:hAnsi="Times New Roman" w:cs="Times New Roman"/>
          <w:sz w:val="24"/>
          <w:szCs w:val="24"/>
        </w:rPr>
        <w:t>con mayor precisión la problemática</w:t>
      </w:r>
      <w:r>
        <w:rPr>
          <w:rFonts w:ascii="Times New Roman" w:eastAsia="Times New Roman" w:hAnsi="Times New Roman" w:cs="Times New Roman"/>
          <w:sz w:val="24"/>
          <w:szCs w:val="24"/>
        </w:rPr>
        <w:t>.</w:t>
      </w:r>
    </w:p>
    <w:p w:rsidR="000B0737" w:rsidRPr="00867BFC" w:rsidRDefault="000B0737" w:rsidP="00D502A6">
      <w:pPr>
        <w:shd w:val="clear" w:color="auto" w:fill="FDFDFD"/>
        <w:spacing w:after="0" w:line="360" w:lineRule="auto"/>
        <w:jc w:val="both"/>
        <w:rPr>
          <w:rFonts w:ascii="Times New Roman" w:eastAsia="Times New Roman" w:hAnsi="Times New Roman" w:cs="Times New Roman"/>
          <w:sz w:val="24"/>
          <w:szCs w:val="24"/>
        </w:rPr>
      </w:pPr>
    </w:p>
    <w:p w:rsidR="000B0737" w:rsidRDefault="000B0737" w:rsidP="00D502A6">
      <w:pPr>
        <w:shd w:val="clear" w:color="auto" w:fill="FDFDFD"/>
        <w:spacing w:after="0" w:line="360" w:lineRule="auto"/>
        <w:jc w:val="both"/>
        <w:rPr>
          <w:rFonts w:ascii="Times New Roman" w:eastAsia="Times New Roman" w:hAnsi="Times New Roman" w:cs="Times New Roman"/>
          <w:i/>
          <w:sz w:val="24"/>
          <w:szCs w:val="24"/>
        </w:rPr>
      </w:pPr>
      <w:r w:rsidRPr="00867BFC">
        <w:rPr>
          <w:rFonts w:ascii="Times New Roman" w:eastAsia="Times New Roman" w:hAnsi="Times New Roman" w:cs="Times New Roman"/>
          <w:i/>
          <w:sz w:val="24"/>
          <w:szCs w:val="24"/>
        </w:rPr>
        <w:t xml:space="preserve">Datos y métodos: </w:t>
      </w:r>
    </w:p>
    <w:p w:rsidR="00280AF5" w:rsidRDefault="00280AF5" w:rsidP="00D502A6">
      <w:pPr>
        <w:shd w:val="clear" w:color="auto" w:fill="FDFDFD"/>
        <w:spacing w:after="0" w:line="360" w:lineRule="auto"/>
        <w:jc w:val="both"/>
        <w:rPr>
          <w:rFonts w:ascii="Times New Roman" w:eastAsia="Times New Roman" w:hAnsi="Times New Roman" w:cs="Times New Roman"/>
          <w:i/>
          <w:sz w:val="24"/>
          <w:szCs w:val="24"/>
        </w:rPr>
      </w:pPr>
    </w:p>
    <w:p w:rsidR="000B0737" w:rsidRPr="00867BFC" w:rsidRDefault="00D502A6" w:rsidP="00D502A6">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Fuentes de datos</w:t>
      </w:r>
    </w:p>
    <w:p w:rsidR="000B0737" w:rsidRPr="00867BFC" w:rsidRDefault="000B0737" w:rsidP="00D502A6">
      <w:pPr>
        <w:shd w:val="clear" w:color="auto" w:fill="FFFFFF"/>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7BFC">
        <w:rPr>
          <w:rFonts w:ascii="Times New Roman" w:eastAsia="Times New Roman" w:hAnsi="Times New Roman" w:cs="Times New Roman"/>
          <w:sz w:val="24"/>
          <w:szCs w:val="24"/>
        </w:rPr>
        <w:t xml:space="preserve">Para este estudio, se necesitaron datos sobre la presencia de síntomas de ansiedad/depresión, datos de mortalidad y datos de población para calcular las </w:t>
      </w:r>
      <w:r>
        <w:rPr>
          <w:rFonts w:ascii="Times New Roman" w:eastAsia="Times New Roman" w:hAnsi="Times New Roman" w:cs="Times New Roman"/>
          <w:sz w:val="24"/>
          <w:szCs w:val="24"/>
        </w:rPr>
        <w:t>esperanzas</w:t>
      </w:r>
      <w:r w:rsidRPr="00867BFC">
        <w:rPr>
          <w:rFonts w:ascii="Times New Roman" w:eastAsia="Times New Roman" w:hAnsi="Times New Roman" w:cs="Times New Roman"/>
          <w:sz w:val="24"/>
          <w:szCs w:val="24"/>
        </w:rPr>
        <w:t xml:space="preserve"> de vida y las esperanzas de vida libres de trastornos de ansiedad/depresión (y su posterior descomposición). La primera se obt</w:t>
      </w:r>
      <w:r>
        <w:rPr>
          <w:rFonts w:ascii="Times New Roman" w:eastAsia="Times New Roman" w:hAnsi="Times New Roman" w:cs="Times New Roman"/>
          <w:sz w:val="24"/>
          <w:szCs w:val="24"/>
        </w:rPr>
        <w:t xml:space="preserve">uvo </w:t>
      </w:r>
      <w:r w:rsidRPr="00867BFC">
        <w:rPr>
          <w:rFonts w:ascii="Times New Roman" w:eastAsia="Times New Roman" w:hAnsi="Times New Roman" w:cs="Times New Roman"/>
          <w:sz w:val="24"/>
          <w:szCs w:val="24"/>
        </w:rPr>
        <w:t xml:space="preserve">de las Encuestas Nacionales de Factores de Riesgo de Argentina (ENFR) de Argentina (aprovechando sus cuatro ediciones disponibles: 2005, 2009, </w:t>
      </w:r>
      <w:r w:rsidRPr="00867BFC">
        <w:rPr>
          <w:rFonts w:ascii="Times New Roman" w:eastAsia="Times New Roman" w:hAnsi="Times New Roman" w:cs="Times New Roman"/>
          <w:sz w:val="24"/>
          <w:szCs w:val="24"/>
        </w:rPr>
        <w:lastRenderedPageBreak/>
        <w:t xml:space="preserve">2013 y 2018). La ENFR es una encuesta transversal que estudia los determinantes de la salud, los factores de riesgo y la información sociodemográfica básica de la población adulta (de 18 años o más) en 31 aglomeraciones urbanas </w:t>
      </w:r>
      <w:r>
        <w:rPr>
          <w:rFonts w:ascii="Times New Roman" w:eastAsia="Times New Roman" w:hAnsi="Times New Roman" w:cs="Times New Roman"/>
          <w:sz w:val="24"/>
          <w:szCs w:val="24"/>
        </w:rPr>
        <w:t>de</w:t>
      </w:r>
      <w:r w:rsidRPr="00867BFC">
        <w:rPr>
          <w:rFonts w:ascii="Times New Roman" w:eastAsia="Times New Roman" w:hAnsi="Times New Roman" w:cs="Times New Roman"/>
          <w:sz w:val="24"/>
          <w:szCs w:val="24"/>
        </w:rPr>
        <w:t xml:space="preserve"> Argentina (que representan aproximadamente más del 90% de la población adulta total).</w:t>
      </w:r>
      <w:r w:rsidR="00D502A6">
        <w:rPr>
          <w:rFonts w:ascii="Times New Roman" w:eastAsia="Times New Roman" w:hAnsi="Times New Roman" w:cs="Times New Roman"/>
          <w:sz w:val="24"/>
          <w:szCs w:val="24"/>
        </w:rPr>
        <w:t xml:space="preserve"> </w:t>
      </w:r>
      <w:r w:rsidR="00D502A6" w:rsidRPr="00D502A6">
        <w:rPr>
          <w:rFonts w:ascii="Times New Roman" w:eastAsia="Times New Roman" w:hAnsi="Times New Roman" w:cs="Times New Roman"/>
          <w:sz w:val="24"/>
          <w:szCs w:val="24"/>
        </w:rPr>
        <w:t xml:space="preserve">Cada encuesta se correspondió a una muestra polietápica de </w:t>
      </w:r>
      <w:r w:rsidR="006D5D6C" w:rsidRPr="00D502A6">
        <w:rPr>
          <w:rFonts w:ascii="Times New Roman" w:eastAsia="Times New Roman" w:hAnsi="Times New Roman" w:cs="Times New Roman"/>
          <w:sz w:val="24"/>
          <w:szCs w:val="24"/>
        </w:rPr>
        <w:t>áreas</w:t>
      </w:r>
      <w:r w:rsidR="00D502A6" w:rsidRPr="00D502A6">
        <w:rPr>
          <w:rFonts w:ascii="Times New Roman" w:eastAsia="Times New Roman" w:hAnsi="Times New Roman" w:cs="Times New Roman"/>
          <w:sz w:val="24"/>
          <w:szCs w:val="24"/>
        </w:rPr>
        <w:t xml:space="preserve"> censales, hogares e individuos, </w:t>
      </w:r>
      <w:r w:rsidR="00D502A6">
        <w:rPr>
          <w:rFonts w:ascii="Times New Roman" w:eastAsia="Times New Roman" w:hAnsi="Times New Roman" w:cs="Times New Roman"/>
          <w:sz w:val="24"/>
          <w:szCs w:val="24"/>
        </w:rPr>
        <w:t xml:space="preserve">respectivamente. </w:t>
      </w:r>
      <w:r w:rsidR="00D502A6" w:rsidRPr="00D502A6">
        <w:rPr>
          <w:rFonts w:ascii="Times New Roman" w:eastAsia="Times New Roman" w:hAnsi="Times New Roman" w:cs="Times New Roman"/>
          <w:sz w:val="24"/>
          <w:szCs w:val="24"/>
        </w:rPr>
        <w:t>La tasa de respuesta promedia fue de aproximadamente 70%, y los factores</w:t>
      </w:r>
      <w:r w:rsidR="00D502A6">
        <w:rPr>
          <w:rFonts w:ascii="Times New Roman" w:eastAsia="Times New Roman" w:hAnsi="Times New Roman" w:cs="Times New Roman"/>
          <w:sz w:val="24"/>
          <w:szCs w:val="24"/>
        </w:rPr>
        <w:t xml:space="preserve"> de corrección fueron aplicados para lidiar con posibles problemas de no respuesta y </w:t>
      </w:r>
      <w:proofErr w:type="spellStart"/>
      <w:r w:rsidR="00D502A6">
        <w:rPr>
          <w:rFonts w:ascii="Times New Roman" w:eastAsia="Times New Roman" w:hAnsi="Times New Roman" w:cs="Times New Roman"/>
          <w:sz w:val="24"/>
          <w:szCs w:val="24"/>
        </w:rPr>
        <w:t>subreporte</w:t>
      </w:r>
      <w:proofErr w:type="spellEnd"/>
      <w:r w:rsidR="00D502A6">
        <w:rPr>
          <w:rFonts w:ascii="Times New Roman" w:eastAsia="Times New Roman" w:hAnsi="Times New Roman" w:cs="Times New Roman"/>
          <w:sz w:val="24"/>
          <w:szCs w:val="24"/>
        </w:rPr>
        <w:t>.</w:t>
      </w:r>
      <w:r w:rsidRPr="00D502A6">
        <w:rPr>
          <w:rFonts w:ascii="Times New Roman" w:eastAsia="Times New Roman" w:hAnsi="Times New Roman" w:cs="Times New Roman"/>
          <w:sz w:val="24"/>
          <w:szCs w:val="24"/>
        </w:rPr>
        <w:t xml:space="preserve"> </w:t>
      </w:r>
      <w:r w:rsidRPr="00D502A6">
        <w:rPr>
          <w:rFonts w:ascii="Times New Roman" w:eastAsia="Times New Roman" w:hAnsi="Times New Roman" w:cs="Times New Roman"/>
          <w:sz w:val="24"/>
          <w:szCs w:val="24"/>
          <w:lang w:val="es-ES"/>
        </w:rPr>
        <w:t xml:space="preserve">Las cuatro </w:t>
      </w:r>
      <w:proofErr w:type="spellStart"/>
      <w:r w:rsidRPr="00D502A6">
        <w:rPr>
          <w:rFonts w:ascii="Times New Roman" w:eastAsia="Times New Roman" w:hAnsi="Times New Roman" w:cs="Times New Roman"/>
          <w:sz w:val="24"/>
          <w:szCs w:val="24"/>
          <w:lang w:val="es-ES"/>
        </w:rPr>
        <w:t>ENFRs</w:t>
      </w:r>
      <w:proofErr w:type="spellEnd"/>
      <w:r w:rsidRPr="00D502A6">
        <w:rPr>
          <w:rFonts w:ascii="Times New Roman" w:eastAsia="Times New Roman" w:hAnsi="Times New Roman" w:cs="Times New Roman"/>
          <w:sz w:val="24"/>
          <w:szCs w:val="24"/>
          <w:lang w:val="es-ES"/>
        </w:rPr>
        <w:t xml:space="preserve"> </w:t>
      </w:r>
      <w:r w:rsidR="00D502A6">
        <w:rPr>
          <w:rFonts w:ascii="Times New Roman" w:eastAsia="Times New Roman" w:hAnsi="Times New Roman" w:cs="Times New Roman"/>
          <w:sz w:val="24"/>
          <w:szCs w:val="24"/>
          <w:lang w:val="es-ES"/>
        </w:rPr>
        <w:t xml:space="preserve">presentaron </w:t>
      </w:r>
      <w:r w:rsidRPr="00D502A6">
        <w:rPr>
          <w:rFonts w:ascii="Times New Roman" w:eastAsia="Times New Roman" w:hAnsi="Times New Roman" w:cs="Times New Roman"/>
          <w:sz w:val="24"/>
          <w:szCs w:val="24"/>
          <w:lang w:val="es-ES"/>
        </w:rPr>
        <w:t xml:space="preserve">41392, 34732, 32365, y 29224 casos, respectivamente. </w:t>
      </w:r>
      <w:r w:rsidRPr="00867BFC">
        <w:rPr>
          <w:rFonts w:ascii="Times New Roman" w:eastAsia="Times New Roman" w:hAnsi="Times New Roman" w:cs="Times New Roman"/>
          <w:sz w:val="24"/>
          <w:szCs w:val="24"/>
        </w:rPr>
        <w:t>Los datos de mortalidad fueron proporcionados por la Dirección de Estadísticas e Información en Salud (DEIS), perteneciente</w:t>
      </w:r>
      <w:r>
        <w:rPr>
          <w:rFonts w:ascii="Times New Roman" w:eastAsia="Times New Roman" w:hAnsi="Times New Roman" w:cs="Times New Roman"/>
          <w:sz w:val="24"/>
          <w:szCs w:val="24"/>
        </w:rPr>
        <w:t>s</w:t>
      </w:r>
      <w:r w:rsidRPr="00867BFC">
        <w:rPr>
          <w:rFonts w:ascii="Times New Roman" w:eastAsia="Times New Roman" w:hAnsi="Times New Roman" w:cs="Times New Roman"/>
          <w:sz w:val="24"/>
          <w:szCs w:val="24"/>
        </w:rPr>
        <w:t xml:space="preserve"> al Ministerio de Salud de Argentina</w:t>
      </w:r>
      <w:r>
        <w:rPr>
          <w:rFonts w:ascii="Times New Roman" w:eastAsia="Times New Roman" w:hAnsi="Times New Roman" w:cs="Times New Roman"/>
          <w:sz w:val="24"/>
          <w:szCs w:val="24"/>
        </w:rPr>
        <w:t>. D</w:t>
      </w:r>
      <w:r w:rsidRPr="00867BFC">
        <w:rPr>
          <w:rFonts w:ascii="Times New Roman" w:eastAsia="Times New Roman" w:hAnsi="Times New Roman" w:cs="Times New Roman"/>
          <w:sz w:val="24"/>
          <w:szCs w:val="24"/>
        </w:rPr>
        <w:t>ado que</w:t>
      </w:r>
      <w:r>
        <w:rPr>
          <w:rFonts w:ascii="Times New Roman" w:eastAsia="Times New Roman" w:hAnsi="Times New Roman" w:cs="Times New Roman"/>
          <w:sz w:val="24"/>
          <w:szCs w:val="24"/>
        </w:rPr>
        <w:t xml:space="preserve"> se utilizaron las cuatro</w:t>
      </w:r>
      <w:r w:rsidRPr="00867BFC">
        <w:rPr>
          <w:rFonts w:ascii="Times New Roman" w:eastAsia="Times New Roman" w:hAnsi="Times New Roman" w:cs="Times New Roman"/>
          <w:sz w:val="24"/>
          <w:szCs w:val="24"/>
        </w:rPr>
        <w:t xml:space="preserve"> ENFR, </w:t>
      </w:r>
      <w:r>
        <w:rPr>
          <w:rFonts w:ascii="Times New Roman" w:eastAsia="Times New Roman" w:hAnsi="Times New Roman" w:cs="Times New Roman"/>
          <w:sz w:val="24"/>
          <w:szCs w:val="24"/>
        </w:rPr>
        <w:t>se aprovecharon</w:t>
      </w:r>
      <w:r w:rsidRPr="00867BFC">
        <w:rPr>
          <w:rFonts w:ascii="Times New Roman" w:eastAsia="Times New Roman" w:hAnsi="Times New Roman" w:cs="Times New Roman"/>
          <w:sz w:val="24"/>
          <w:szCs w:val="24"/>
        </w:rPr>
        <w:t xml:space="preserve"> los datos de mortalidad de los años 2004, 2005, 2006, 2008, 2009, 2010, 2012, 2013, 2014, 2017, 2018 y 2019. </w:t>
      </w:r>
      <w:r>
        <w:rPr>
          <w:rFonts w:ascii="Times New Roman" w:eastAsia="Times New Roman" w:hAnsi="Times New Roman" w:cs="Times New Roman"/>
          <w:sz w:val="24"/>
          <w:szCs w:val="24"/>
        </w:rPr>
        <w:t xml:space="preserve">Esto se debe a que </w:t>
      </w:r>
      <w:r w:rsidRPr="00867BFC">
        <w:rPr>
          <w:rFonts w:ascii="Times New Roman" w:eastAsia="Times New Roman" w:hAnsi="Times New Roman" w:cs="Times New Roman"/>
          <w:sz w:val="24"/>
          <w:szCs w:val="24"/>
        </w:rPr>
        <w:t xml:space="preserve">la mortalidad es un fenómeno que puede presentar variaciones en un año </w:t>
      </w:r>
      <w:r>
        <w:rPr>
          <w:rFonts w:ascii="Times New Roman" w:eastAsia="Times New Roman" w:hAnsi="Times New Roman" w:cs="Times New Roman"/>
          <w:sz w:val="24"/>
          <w:szCs w:val="24"/>
        </w:rPr>
        <w:t>puntual</w:t>
      </w:r>
      <w:r w:rsidRPr="00867BFC">
        <w:rPr>
          <w:rFonts w:ascii="Times New Roman" w:eastAsia="Times New Roman" w:hAnsi="Times New Roman" w:cs="Times New Roman"/>
          <w:sz w:val="24"/>
          <w:szCs w:val="24"/>
        </w:rPr>
        <w:t xml:space="preserve"> (y particularmente en los países donde las estimaciones de mortalidad suelen </w:t>
      </w:r>
      <w:r>
        <w:rPr>
          <w:rFonts w:ascii="Times New Roman" w:eastAsia="Times New Roman" w:hAnsi="Times New Roman" w:cs="Times New Roman"/>
          <w:sz w:val="24"/>
          <w:szCs w:val="24"/>
        </w:rPr>
        <w:t xml:space="preserve">recurrir a </w:t>
      </w:r>
      <w:r w:rsidRPr="00867BFC">
        <w:rPr>
          <w:rFonts w:ascii="Times New Roman" w:eastAsia="Times New Roman" w:hAnsi="Times New Roman" w:cs="Times New Roman"/>
          <w:sz w:val="24"/>
          <w:szCs w:val="24"/>
        </w:rPr>
        <w:t xml:space="preserve">censos </w:t>
      </w:r>
      <w:r>
        <w:rPr>
          <w:rFonts w:ascii="Times New Roman" w:eastAsia="Times New Roman" w:hAnsi="Times New Roman" w:cs="Times New Roman"/>
          <w:sz w:val="24"/>
          <w:szCs w:val="24"/>
        </w:rPr>
        <w:t xml:space="preserve">y proyecciones </w:t>
      </w:r>
      <w:r w:rsidRPr="00867BFC">
        <w:rPr>
          <w:rFonts w:ascii="Times New Roman" w:eastAsia="Times New Roman" w:hAnsi="Times New Roman" w:cs="Times New Roman"/>
          <w:sz w:val="24"/>
          <w:szCs w:val="24"/>
        </w:rPr>
        <w:t xml:space="preserve">para complementar dichos datos), </w:t>
      </w:r>
      <w:r>
        <w:rPr>
          <w:rFonts w:ascii="Times New Roman" w:eastAsia="Times New Roman" w:hAnsi="Times New Roman" w:cs="Times New Roman"/>
          <w:sz w:val="24"/>
          <w:szCs w:val="24"/>
        </w:rPr>
        <w:t xml:space="preserve">se elaboraron </w:t>
      </w:r>
      <w:r w:rsidRPr="00867BFC">
        <w:rPr>
          <w:rFonts w:ascii="Times New Roman" w:eastAsia="Times New Roman" w:hAnsi="Times New Roman" w:cs="Times New Roman"/>
          <w:sz w:val="24"/>
          <w:szCs w:val="24"/>
        </w:rPr>
        <w:t xml:space="preserve">tablas de vida considerando </w:t>
      </w:r>
      <w:r>
        <w:rPr>
          <w:rFonts w:ascii="Times New Roman" w:eastAsia="Times New Roman" w:hAnsi="Times New Roman" w:cs="Times New Roman"/>
          <w:sz w:val="24"/>
          <w:szCs w:val="24"/>
        </w:rPr>
        <w:t>el trienio correspondiente</w:t>
      </w:r>
      <w:r w:rsidRPr="00867B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es, </w:t>
      </w:r>
      <w:r w:rsidRPr="00867BFC">
        <w:rPr>
          <w:rFonts w:ascii="Times New Roman" w:eastAsia="Times New Roman" w:hAnsi="Times New Roman" w:cs="Times New Roman"/>
          <w:sz w:val="24"/>
          <w:szCs w:val="24"/>
        </w:rPr>
        <w:t>no sólo el año en que se llevaron a cabo los ENFR sino también el año anterior y el año siguiente), para obtener un indicador más robusto (así, la mortalidad en 2005 es un promedio de mortalidad en el trienio 2004-06, por ejemplo).</w:t>
      </w:r>
      <w:r w:rsidR="00D502A6">
        <w:rPr>
          <w:rFonts w:ascii="Times New Roman" w:eastAsia="Times New Roman" w:hAnsi="Times New Roman" w:cs="Times New Roman"/>
          <w:sz w:val="24"/>
          <w:szCs w:val="24"/>
        </w:rPr>
        <w:t xml:space="preserve"> </w:t>
      </w:r>
      <w:r w:rsidR="00D502A6" w:rsidRPr="00D502A6">
        <w:rPr>
          <w:rFonts w:ascii="Times New Roman" w:eastAsia="Times New Roman" w:hAnsi="Times New Roman" w:cs="Times New Roman"/>
          <w:sz w:val="24"/>
          <w:szCs w:val="24"/>
        </w:rPr>
        <w:t xml:space="preserve">Si bien no se disponen datos para todos los años, </w:t>
      </w:r>
      <w:r w:rsidR="00D502A6">
        <w:rPr>
          <w:rFonts w:ascii="Times New Roman" w:eastAsia="Times New Roman" w:hAnsi="Times New Roman" w:cs="Times New Roman"/>
          <w:sz w:val="24"/>
          <w:szCs w:val="24"/>
        </w:rPr>
        <w:t>los análisis</w:t>
      </w:r>
      <w:r w:rsidR="00D502A6" w:rsidRPr="00D502A6">
        <w:rPr>
          <w:rFonts w:ascii="Times New Roman" w:eastAsia="Times New Roman" w:hAnsi="Times New Roman" w:cs="Times New Roman"/>
          <w:sz w:val="24"/>
          <w:szCs w:val="24"/>
        </w:rPr>
        <w:t xml:space="preserve"> previos sugieren que en términos de cobertura</w:t>
      </w:r>
      <w:r w:rsidR="00D502A6">
        <w:rPr>
          <w:rFonts w:ascii="Times New Roman" w:eastAsia="Times New Roman" w:hAnsi="Times New Roman" w:cs="Times New Roman"/>
          <w:sz w:val="24"/>
          <w:szCs w:val="24"/>
        </w:rPr>
        <w:t xml:space="preserve"> (y particularmente de adultos) Argentina no presenta problemas en la completitud de las muertes registradas </w:t>
      </w:r>
      <w:r w:rsidR="00D502A6">
        <w:rPr>
          <w:rFonts w:ascii="Times New Roman" w:eastAsia="Times New Roman" w:hAnsi="Times New Roman" w:cs="Times New Roman"/>
          <w:sz w:val="24"/>
          <w:szCs w:val="24"/>
        </w:rPr>
        <w:fldChar w:fldCharType="begin" w:fldLock="1"/>
      </w:r>
      <w:r w:rsidR="00D502A6">
        <w:rPr>
          <w:rFonts w:ascii="Times New Roman" w:eastAsia="Times New Roman" w:hAnsi="Times New Roman" w:cs="Times New Roman"/>
          <w:sz w:val="24"/>
          <w:szCs w:val="24"/>
        </w:rPr>
        <w:instrText>ADDIN CSL_CITATION {"citationItems":[{"id":"ITEM-1","itemData":{"author":[{"dropping-particle":"","family":"Ribotta","given":"Bruno Sebastián","non-dropping-particle":"","parse-names":false,"suffix":""}],"container-title":"Mem. Inst. Investig. Cienc. Salud","id":"ITEM-1","issued":{"date-parts":[["2016"]]},"page":"78-87","title":"Causas de defunción mal definidas en las provincias de Argentina, 2001-2013","type":"article-magazine"},"uris":["http://www.mendeley.com/documents/?uuid=011c6aa8-5a23-3590-9f88-a594bc955ee7"]},{"id":"ITEM-2","itemData":{"DOI":"10.15517/PSM.V14I1.25306","abstract":"&lt;p&gt;&lt;strong&gt;Objetivo:&lt;/strong&gt; evaluar las variables disponibles en el censo de población de 2010 para Argentina en lo que a mortalidad refiere. &lt;strong&gt;Métodos:&lt;/strong&gt; Con base en métodos indirectos de estimación demográfica se ofrece una lectura de la calidad de estas estadísticas en comparación con censos previos y estadísticas vitales. &lt;strong&gt;Resultados:&lt;/strong&gt; La comparación de las tasas de mortalidad infantil y adulta con las tasas calculadas a partir de los nacimientos y las defunciones permite dilucidar, en principio, que estos datos no revelan problemas serios de calidad o cobertura y que el nivel (y la tendencia) indicado por las fue</w:instrText>
      </w:r>
      <w:r w:rsidR="00D502A6" w:rsidRPr="00D502A6">
        <w:rPr>
          <w:rFonts w:ascii="Times New Roman" w:eastAsia="Times New Roman" w:hAnsi="Times New Roman" w:cs="Times New Roman"/>
          <w:sz w:val="24"/>
          <w:szCs w:val="24"/>
          <w:lang w:val="es-ES"/>
        </w:rPr>
        <w:instrText>ntes es ampliamente compatible.</w:instrText>
      </w:r>
      <w:r w:rsidR="00D502A6" w:rsidRPr="00D3168A">
        <w:rPr>
          <w:rFonts w:ascii="Times New Roman" w:eastAsia="Times New Roman" w:hAnsi="Times New Roman" w:cs="Times New Roman"/>
          <w:sz w:val="24"/>
          <w:szCs w:val="24"/>
          <w:lang w:val="es-ES"/>
        </w:rPr>
        <w:instrText xml:space="preserve"> &lt;strong&gt;Discusión:&lt;/strong&gt; a pesar de que los resultados parecen mostrar coherencia, la posibilidad de detectar y cuantificar los errores se mantiene como un punto ciego del artículo hasta tanto no se publique la totalidad de la información necesaria para realizar un examen cabal, dado el universo limitado de publicaciones por parte del Instituto Nacional de Estadística y Censos. &lt;strong&gt;Conclusiones:&lt;/strong&gt; las estimaciones de población en cuanto a mortalidad son consistentes con los datos del censo previo de 2001 y con las series de nacimientos y muertes del período intercensal a nivel total del país.&lt;strong&gt;&lt;/strong&gt;&lt;/p&gt;","author":[{"dropping-particle":"","family":"Sacco","given":"Nicolás","non-dropping-particle":"","parse-names":false,"suffix":""}],"container-title":"Población y Salud en Mesoamérica","id":"ITEM-2","issue":"1","issued":{"date-parts":[["2016","6","30"]]},"publisher":"Universidad de Costa Rica","title":"La calidad de los datos de mortalidad del Censo 2010 de Argentina","type":"article-journal","volume":"14"},"uris":["http://www.mendeley.com/documents/?uuid=2657ff5d-624a-32bf-99dd-dcca87b9a969"]}],"mendeley":{"formattedCitation":"(Ribotta, 2016; Sacco, 2016)","manualFormatting":"(Ribotta, 2016; Sacco, 2016, Organizacón Mundial de la Salud, 2014)","plainTextFormattedCitation":"(Ribotta, 2016; Sacco, 2016)"},"properties":{"noteIndex":0},"schema":"https://github.com/citation-style-language/schema/raw/master/csl-citation.json"}</w:instrText>
      </w:r>
      <w:r w:rsidR="00D502A6">
        <w:rPr>
          <w:rFonts w:ascii="Times New Roman" w:eastAsia="Times New Roman" w:hAnsi="Times New Roman" w:cs="Times New Roman"/>
          <w:sz w:val="24"/>
          <w:szCs w:val="24"/>
        </w:rPr>
        <w:fldChar w:fldCharType="separate"/>
      </w:r>
      <w:r w:rsidR="00D502A6" w:rsidRPr="00D3168A">
        <w:rPr>
          <w:rFonts w:ascii="Times New Roman" w:eastAsia="Times New Roman" w:hAnsi="Times New Roman" w:cs="Times New Roman"/>
          <w:noProof/>
          <w:sz w:val="24"/>
          <w:szCs w:val="24"/>
          <w:lang w:val="es-ES"/>
        </w:rPr>
        <w:t>(Ribotta, 2016; Sacco, 2016, Organizacón Mundial de la Salud, 2014)</w:t>
      </w:r>
      <w:r w:rsidR="00D502A6">
        <w:rPr>
          <w:rFonts w:ascii="Times New Roman" w:eastAsia="Times New Roman" w:hAnsi="Times New Roman" w:cs="Times New Roman"/>
          <w:sz w:val="24"/>
          <w:szCs w:val="24"/>
        </w:rPr>
        <w:fldChar w:fldCharType="end"/>
      </w:r>
      <w:r w:rsidR="00D502A6" w:rsidRPr="00D3168A">
        <w:rPr>
          <w:rFonts w:ascii="Times New Roman" w:eastAsia="Times New Roman" w:hAnsi="Times New Roman" w:cs="Times New Roman"/>
          <w:sz w:val="24"/>
          <w:szCs w:val="24"/>
          <w:lang w:val="es-ES"/>
        </w:rPr>
        <w:t>.</w:t>
      </w: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7BFC">
        <w:rPr>
          <w:rFonts w:ascii="Times New Roman" w:eastAsia="Times New Roman" w:hAnsi="Times New Roman" w:cs="Times New Roman"/>
          <w:sz w:val="24"/>
          <w:szCs w:val="24"/>
        </w:rPr>
        <w:t xml:space="preserve">Las proyecciones de población realizadas por el CELADE (División de Población de la Comisión Económica para América Latina y el Caribe - CEPAL) se utilizaron para </w:t>
      </w:r>
      <w:r>
        <w:rPr>
          <w:rFonts w:ascii="Times New Roman" w:eastAsia="Times New Roman" w:hAnsi="Times New Roman" w:cs="Times New Roman"/>
          <w:sz w:val="24"/>
          <w:szCs w:val="24"/>
        </w:rPr>
        <w:t xml:space="preserve">los denominadores </w:t>
      </w:r>
      <w:r w:rsidRPr="00867BFC">
        <w:rPr>
          <w:rFonts w:ascii="Times New Roman" w:eastAsia="Times New Roman" w:hAnsi="Times New Roman" w:cs="Times New Roman"/>
          <w:sz w:val="24"/>
          <w:szCs w:val="24"/>
        </w:rPr>
        <w:t xml:space="preserve">de la población en los años correspondientes. Esta decisión se tomó ya que la última revisión de dichas proyecciones es más reciente (2019) que la realizada por el </w:t>
      </w:r>
      <w:r>
        <w:rPr>
          <w:rFonts w:ascii="Times New Roman" w:eastAsia="Times New Roman" w:hAnsi="Times New Roman" w:cs="Times New Roman"/>
          <w:sz w:val="24"/>
          <w:szCs w:val="24"/>
        </w:rPr>
        <w:t>Instituto</w:t>
      </w:r>
      <w:r w:rsidRPr="00867BFC">
        <w:rPr>
          <w:rFonts w:ascii="Times New Roman" w:eastAsia="Times New Roman" w:hAnsi="Times New Roman" w:cs="Times New Roman"/>
          <w:sz w:val="24"/>
          <w:szCs w:val="24"/>
        </w:rPr>
        <w:t xml:space="preserve"> Nacional de Estadística</w:t>
      </w:r>
      <w:r>
        <w:rPr>
          <w:rFonts w:ascii="Times New Roman" w:eastAsia="Times New Roman" w:hAnsi="Times New Roman" w:cs="Times New Roman"/>
          <w:sz w:val="24"/>
          <w:szCs w:val="24"/>
        </w:rPr>
        <w:t>s y Censos</w:t>
      </w:r>
      <w:r w:rsidRPr="00867BFC">
        <w:rPr>
          <w:rFonts w:ascii="Times New Roman" w:eastAsia="Times New Roman" w:hAnsi="Times New Roman" w:cs="Times New Roman"/>
          <w:sz w:val="24"/>
          <w:szCs w:val="24"/>
        </w:rPr>
        <w:t xml:space="preserve"> de Argentina (INDEC, que publicó sus proyecciones de población en el año 2013 sin ninguna otra revisión). El procedimiento clásico mencionado por Preston et al. (2001) fue utilizado para calcular las </w:t>
      </w:r>
      <w:r>
        <w:rPr>
          <w:rFonts w:ascii="Times New Roman" w:eastAsia="Times New Roman" w:hAnsi="Times New Roman" w:cs="Times New Roman"/>
          <w:sz w:val="24"/>
          <w:szCs w:val="24"/>
        </w:rPr>
        <w:t>esperanza</w:t>
      </w:r>
      <w:r w:rsidRPr="00867BFC">
        <w:rPr>
          <w:rFonts w:ascii="Times New Roman" w:eastAsia="Times New Roman" w:hAnsi="Times New Roman" w:cs="Times New Roman"/>
          <w:sz w:val="24"/>
          <w:szCs w:val="24"/>
        </w:rPr>
        <w:t>s de vida</w:t>
      </w:r>
      <w:r>
        <w:rPr>
          <w:rFonts w:ascii="Times New Roman" w:eastAsia="Times New Roman" w:hAnsi="Times New Roman" w:cs="Times New Roman"/>
          <w:sz w:val="24"/>
          <w:szCs w:val="24"/>
        </w:rPr>
        <w:t xml:space="preserve"> (EV)</w:t>
      </w:r>
      <w:r w:rsidRPr="00867BFC">
        <w:rPr>
          <w:rFonts w:ascii="Times New Roman" w:eastAsia="Times New Roman" w:hAnsi="Times New Roman" w:cs="Times New Roman"/>
          <w:sz w:val="24"/>
          <w:szCs w:val="24"/>
        </w:rPr>
        <w:t xml:space="preserve">, considerando el grupo de edad de 80 años y más como el grupo final para las estimaciones (principalmente porque los datos de mortalidad en Argentina se proporcionan de esta manera, y también porque </w:t>
      </w:r>
      <w:r>
        <w:rPr>
          <w:rFonts w:ascii="Times New Roman" w:eastAsia="Times New Roman" w:hAnsi="Times New Roman" w:cs="Times New Roman"/>
          <w:sz w:val="24"/>
          <w:szCs w:val="24"/>
        </w:rPr>
        <w:t>en general</w:t>
      </w:r>
      <w:r w:rsidRPr="00867BFC">
        <w:rPr>
          <w:rFonts w:ascii="Times New Roman" w:eastAsia="Times New Roman" w:hAnsi="Times New Roman" w:cs="Times New Roman"/>
          <w:sz w:val="24"/>
          <w:szCs w:val="24"/>
        </w:rPr>
        <w:t xml:space="preserve"> las </w:t>
      </w:r>
      <w:r>
        <w:rPr>
          <w:rFonts w:ascii="Times New Roman" w:eastAsia="Times New Roman" w:hAnsi="Times New Roman" w:cs="Times New Roman"/>
          <w:sz w:val="24"/>
          <w:szCs w:val="24"/>
        </w:rPr>
        <w:t xml:space="preserve">esperanzas de vida saludables </w:t>
      </w:r>
      <w:r w:rsidRPr="00867BFC">
        <w:rPr>
          <w:rFonts w:ascii="Times New Roman" w:eastAsia="Times New Roman" w:hAnsi="Times New Roman" w:cs="Times New Roman"/>
          <w:sz w:val="24"/>
          <w:szCs w:val="24"/>
        </w:rPr>
        <w:t>se calculan más allá de los 80</w:t>
      </w:r>
      <w:r>
        <w:rPr>
          <w:rFonts w:ascii="Times New Roman" w:eastAsia="Times New Roman" w:hAnsi="Times New Roman" w:cs="Times New Roman"/>
          <w:sz w:val="24"/>
          <w:szCs w:val="24"/>
        </w:rPr>
        <w:t xml:space="preserve"> u 85 años y más como grupo final</w:t>
      </w:r>
      <w:r w:rsidRPr="00867BFC">
        <w:rPr>
          <w:rFonts w:ascii="Times New Roman" w:eastAsia="Times New Roman" w:hAnsi="Times New Roman" w:cs="Times New Roman"/>
          <w:sz w:val="24"/>
          <w:szCs w:val="24"/>
        </w:rPr>
        <w:t xml:space="preserve">). También se consideró la edad de 20 años como </w:t>
      </w:r>
      <w:r>
        <w:rPr>
          <w:rFonts w:ascii="Times New Roman" w:eastAsia="Times New Roman" w:hAnsi="Times New Roman" w:cs="Times New Roman"/>
          <w:sz w:val="24"/>
          <w:szCs w:val="24"/>
        </w:rPr>
        <w:t xml:space="preserve">la edad inicial </w:t>
      </w:r>
      <w:r w:rsidRPr="00867BFC">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el cálculo </w:t>
      </w:r>
      <w:r>
        <w:rPr>
          <w:rFonts w:ascii="Times New Roman" w:eastAsia="Times New Roman" w:hAnsi="Times New Roman" w:cs="Times New Roman"/>
          <w:sz w:val="24"/>
          <w:szCs w:val="24"/>
        </w:rPr>
        <w:lastRenderedPageBreak/>
        <w:t>de</w:t>
      </w:r>
      <w:r w:rsidRPr="00867BFC">
        <w:rPr>
          <w:rFonts w:ascii="Times New Roman" w:eastAsia="Times New Roman" w:hAnsi="Times New Roman" w:cs="Times New Roman"/>
          <w:sz w:val="24"/>
          <w:szCs w:val="24"/>
        </w:rPr>
        <w:t xml:space="preserve"> las </w:t>
      </w:r>
      <w:r>
        <w:rPr>
          <w:rFonts w:ascii="Times New Roman" w:eastAsia="Times New Roman" w:hAnsi="Times New Roman" w:cs="Times New Roman"/>
          <w:sz w:val="24"/>
          <w:szCs w:val="24"/>
        </w:rPr>
        <w:t>EV y EVLTAD</w:t>
      </w:r>
      <w:r w:rsidRPr="00867BFC">
        <w:rPr>
          <w:rFonts w:ascii="Times New Roman" w:eastAsia="Times New Roman" w:hAnsi="Times New Roman" w:cs="Times New Roman"/>
          <w:sz w:val="24"/>
          <w:szCs w:val="24"/>
        </w:rPr>
        <w:t>, ya que la ENFR no presenta estimaci</w:t>
      </w:r>
      <w:r>
        <w:rPr>
          <w:rFonts w:ascii="Times New Roman" w:eastAsia="Times New Roman" w:hAnsi="Times New Roman" w:cs="Times New Roman"/>
          <w:sz w:val="24"/>
          <w:szCs w:val="24"/>
        </w:rPr>
        <w:t>ones</w:t>
      </w:r>
      <w:r w:rsidRPr="00867BFC">
        <w:rPr>
          <w:rFonts w:ascii="Times New Roman" w:eastAsia="Times New Roman" w:hAnsi="Times New Roman" w:cs="Times New Roman"/>
          <w:sz w:val="24"/>
          <w:szCs w:val="24"/>
        </w:rPr>
        <w:t xml:space="preserve"> para individuos menores de 18 años. </w:t>
      </w:r>
    </w:p>
    <w:p w:rsidR="000B0737" w:rsidRPr="00867BFC" w:rsidRDefault="000B0737"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7BFC">
        <w:rPr>
          <w:rFonts w:ascii="Times New Roman" w:eastAsia="Times New Roman" w:hAnsi="Times New Roman" w:cs="Times New Roman"/>
          <w:sz w:val="24"/>
          <w:szCs w:val="24"/>
        </w:rPr>
        <w:t>Una de las preguntas de la encuesta se refiere a la situación diaria de ansiedad/depresión de</w:t>
      </w:r>
      <w:r>
        <w:rPr>
          <w:rFonts w:ascii="Times New Roman" w:eastAsia="Times New Roman" w:hAnsi="Times New Roman" w:cs="Times New Roman"/>
          <w:sz w:val="24"/>
          <w:szCs w:val="24"/>
        </w:rPr>
        <w:t xml:space="preserve"> la persona entrevistada</w:t>
      </w:r>
      <w:r w:rsidRPr="00867BFC">
        <w:rPr>
          <w:rFonts w:ascii="Times New Roman" w:eastAsia="Times New Roman" w:hAnsi="Times New Roman" w:cs="Times New Roman"/>
          <w:sz w:val="24"/>
          <w:szCs w:val="24"/>
        </w:rPr>
        <w:t xml:space="preserve"> (codificada como CISG06/BISG06 en la base de datos</w:t>
      </w:r>
      <w:r>
        <w:rPr>
          <w:rFonts w:ascii="Times New Roman" w:eastAsia="Times New Roman" w:hAnsi="Times New Roman" w:cs="Times New Roman"/>
          <w:sz w:val="24"/>
          <w:szCs w:val="24"/>
        </w:rPr>
        <w:t xml:space="preserve"> para usuarios de la</w:t>
      </w:r>
      <w:r w:rsidRPr="00867BFC">
        <w:rPr>
          <w:rFonts w:ascii="Times New Roman" w:eastAsia="Times New Roman" w:hAnsi="Times New Roman" w:cs="Times New Roman"/>
          <w:sz w:val="24"/>
          <w:szCs w:val="24"/>
        </w:rPr>
        <w:t xml:space="preserve"> ENFR, aunque la redacción</w:t>
      </w:r>
      <w:r>
        <w:rPr>
          <w:rFonts w:ascii="Times New Roman" w:eastAsia="Times New Roman" w:hAnsi="Times New Roman" w:cs="Times New Roman"/>
          <w:sz w:val="24"/>
          <w:szCs w:val="24"/>
        </w:rPr>
        <w:t xml:space="preserve"> de la pregunta fue la misma</w:t>
      </w:r>
      <w:r w:rsidRPr="00867BFC">
        <w:rPr>
          <w:rFonts w:ascii="Times New Roman" w:eastAsia="Times New Roman" w:hAnsi="Times New Roman" w:cs="Times New Roman"/>
          <w:sz w:val="24"/>
          <w:szCs w:val="24"/>
        </w:rPr>
        <w:t xml:space="preserve"> para las cuatro encuestas), en una adaptación directa para Argentina de la escala EuroQol5D (EQ-5D-3L), utilizada para medir la calidad de vida de una población determinada. La pregunta</w:t>
      </w:r>
      <w:r>
        <w:rPr>
          <w:rFonts w:ascii="Times New Roman" w:eastAsia="Times New Roman" w:hAnsi="Times New Roman" w:cs="Times New Roman"/>
          <w:sz w:val="24"/>
          <w:szCs w:val="24"/>
        </w:rPr>
        <w:t xml:space="preserve"> indaga</w:t>
      </w:r>
      <w:r w:rsidRPr="00867BFC">
        <w:rPr>
          <w:rFonts w:ascii="Times New Roman" w:eastAsia="Times New Roman" w:hAnsi="Times New Roman" w:cs="Times New Roman"/>
          <w:sz w:val="24"/>
          <w:szCs w:val="24"/>
        </w:rPr>
        <w:t xml:space="preserve"> si la persona entrevistada no se siente ansiosa</w:t>
      </w:r>
      <w:r>
        <w:rPr>
          <w:rFonts w:ascii="Times New Roman" w:eastAsia="Times New Roman" w:hAnsi="Times New Roman" w:cs="Times New Roman"/>
          <w:sz w:val="24"/>
          <w:szCs w:val="24"/>
        </w:rPr>
        <w:t>/</w:t>
      </w:r>
      <w:r w:rsidRPr="00867BFC">
        <w:rPr>
          <w:rFonts w:ascii="Times New Roman" w:eastAsia="Times New Roman" w:hAnsi="Times New Roman" w:cs="Times New Roman"/>
          <w:sz w:val="24"/>
          <w:szCs w:val="24"/>
        </w:rPr>
        <w:t>deprimida (nivel 1), si la persona entrevistada se siente moderadamente ansiosa</w:t>
      </w:r>
      <w:r>
        <w:rPr>
          <w:rFonts w:ascii="Times New Roman" w:eastAsia="Times New Roman" w:hAnsi="Times New Roman" w:cs="Times New Roman"/>
          <w:sz w:val="24"/>
          <w:szCs w:val="24"/>
        </w:rPr>
        <w:t>/</w:t>
      </w:r>
      <w:r w:rsidRPr="00867BFC">
        <w:rPr>
          <w:rFonts w:ascii="Times New Roman" w:eastAsia="Times New Roman" w:hAnsi="Times New Roman" w:cs="Times New Roman"/>
          <w:sz w:val="24"/>
          <w:szCs w:val="24"/>
        </w:rPr>
        <w:t xml:space="preserve">deprimida (nivel 2), o </w:t>
      </w:r>
      <w:r>
        <w:rPr>
          <w:rFonts w:ascii="Times New Roman" w:eastAsia="Times New Roman" w:hAnsi="Times New Roman" w:cs="Times New Roman"/>
          <w:sz w:val="24"/>
          <w:szCs w:val="24"/>
        </w:rPr>
        <w:t>muy</w:t>
      </w:r>
      <w:r w:rsidRPr="00867BFC">
        <w:rPr>
          <w:rFonts w:ascii="Times New Roman" w:eastAsia="Times New Roman" w:hAnsi="Times New Roman" w:cs="Times New Roman"/>
          <w:sz w:val="24"/>
          <w:szCs w:val="24"/>
        </w:rPr>
        <w:t xml:space="preserve"> ansiosa</w:t>
      </w:r>
      <w:r>
        <w:rPr>
          <w:rFonts w:ascii="Times New Roman" w:eastAsia="Times New Roman" w:hAnsi="Times New Roman" w:cs="Times New Roman"/>
          <w:sz w:val="24"/>
          <w:szCs w:val="24"/>
        </w:rPr>
        <w:t>/</w:t>
      </w:r>
      <w:r w:rsidRPr="00867BFC">
        <w:rPr>
          <w:rFonts w:ascii="Times New Roman" w:eastAsia="Times New Roman" w:hAnsi="Times New Roman" w:cs="Times New Roman"/>
          <w:sz w:val="24"/>
          <w:szCs w:val="24"/>
        </w:rPr>
        <w:t>deprimida (nivel 3). A partir de esta pregunta, teniendo en cuenta tanto los niveles 2 como 3, lo consideramos como un proxy de la presencia de síntomas de</w:t>
      </w:r>
      <w:r>
        <w:rPr>
          <w:rFonts w:ascii="Times New Roman" w:eastAsia="Times New Roman" w:hAnsi="Times New Roman" w:cs="Times New Roman"/>
          <w:sz w:val="24"/>
          <w:szCs w:val="24"/>
        </w:rPr>
        <w:t xml:space="preserve"> trastornos de</w:t>
      </w:r>
      <w:r w:rsidRPr="00867BFC">
        <w:rPr>
          <w:rFonts w:ascii="Times New Roman" w:eastAsia="Times New Roman" w:hAnsi="Times New Roman" w:cs="Times New Roman"/>
          <w:sz w:val="24"/>
          <w:szCs w:val="24"/>
        </w:rPr>
        <w:t xml:space="preserve"> ansiedad/depresión, como variable de resultado para calcular las expectativas de salud (o, en este caso, mantener la esperanza de vida libre de ansiedad/depresión - </w:t>
      </w:r>
      <w:r>
        <w:rPr>
          <w:rFonts w:ascii="Times New Roman" w:eastAsia="Times New Roman" w:hAnsi="Times New Roman" w:cs="Times New Roman"/>
          <w:sz w:val="24"/>
          <w:szCs w:val="24"/>
        </w:rPr>
        <w:t>EVLTAD</w:t>
      </w:r>
      <w:r w:rsidRPr="00867BFC">
        <w:rPr>
          <w:rFonts w:ascii="Times New Roman" w:eastAsia="Times New Roman" w:hAnsi="Times New Roman" w:cs="Times New Roman"/>
          <w:sz w:val="24"/>
          <w:szCs w:val="24"/>
        </w:rPr>
        <w:t>). Este método ciertamente tiene algunos inconvenientes: no se basa en un diagnóstico médico ni en una escala psiquiátrica completa para monitorear la situación de salud mental (</w:t>
      </w:r>
      <w:r>
        <w:rPr>
          <w:rFonts w:ascii="Times New Roman" w:eastAsia="Times New Roman" w:hAnsi="Times New Roman" w:cs="Times New Roman"/>
          <w:sz w:val="24"/>
          <w:szCs w:val="24"/>
        </w:rPr>
        <w:t xml:space="preserve">lamentablemente la </w:t>
      </w:r>
      <w:r w:rsidRPr="00867BFC">
        <w:rPr>
          <w:rFonts w:ascii="Times New Roman" w:eastAsia="Times New Roman" w:hAnsi="Times New Roman" w:cs="Times New Roman"/>
          <w:sz w:val="24"/>
          <w:szCs w:val="24"/>
        </w:rPr>
        <w:t xml:space="preserve">ENFR no </w:t>
      </w:r>
      <w:r>
        <w:rPr>
          <w:rFonts w:ascii="Times New Roman" w:eastAsia="Times New Roman" w:hAnsi="Times New Roman" w:cs="Times New Roman"/>
          <w:sz w:val="24"/>
          <w:szCs w:val="24"/>
        </w:rPr>
        <w:t xml:space="preserve">cuenta con </w:t>
      </w:r>
      <w:r w:rsidRPr="00867BFC">
        <w:rPr>
          <w:rFonts w:ascii="Times New Roman" w:eastAsia="Times New Roman" w:hAnsi="Times New Roman" w:cs="Times New Roman"/>
          <w:sz w:val="24"/>
          <w:szCs w:val="24"/>
        </w:rPr>
        <w:t>un módulo de salud mental separado).</w:t>
      </w:r>
    </w:p>
    <w:p w:rsidR="000B0737" w:rsidRDefault="000B0737" w:rsidP="000B0737">
      <w:pPr>
        <w:shd w:val="clear" w:color="auto" w:fill="FDFDFD"/>
        <w:spacing w:after="0" w:line="360" w:lineRule="auto"/>
        <w:jc w:val="both"/>
        <w:rPr>
          <w:rFonts w:ascii="Times New Roman" w:hAnsi="Times New Roman" w:cs="Times New Roman"/>
          <w:sz w:val="24"/>
          <w:szCs w:val="24"/>
        </w:rPr>
      </w:pPr>
      <w:r w:rsidRPr="00867BFC">
        <w:rPr>
          <w:rStyle w:val="ts-alignment-element"/>
          <w:rFonts w:ascii="Times New Roman" w:hAnsi="Times New Roman" w:cs="Times New Roman"/>
          <w:sz w:val="24"/>
          <w:szCs w:val="24"/>
        </w:rPr>
        <w:tab/>
        <w:t>Sin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embargo,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desempeño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escala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EQ-5D-3L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monitorear</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de manera aproximada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presencia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trastornos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ansiedad/depre</w:t>
      </w:r>
      <w:r>
        <w:rPr>
          <w:rStyle w:val="ts-alignment-element"/>
          <w:rFonts w:ascii="Times New Roman" w:hAnsi="Times New Roman" w:cs="Times New Roman"/>
          <w:sz w:val="24"/>
          <w:szCs w:val="24"/>
        </w:rPr>
        <w:t>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nivel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comunitario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consideró</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aceptable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comparación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otras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escalas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internacionales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Cuestionario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Paciente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PHQ-9)</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tradicionalmente presentan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mayor</w:t>
      </w:r>
      <w:r>
        <w:rPr>
          <w:rStyle w:val="ts-alignment-element"/>
          <w:rFonts w:ascii="Times New Roman" w:hAnsi="Times New Roman" w:cs="Times New Roman"/>
          <w:sz w:val="24"/>
          <w:szCs w:val="24"/>
        </w:rPr>
        <w:t xml:space="preserve"> nivel 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detalle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proofErr w:type="spellStart"/>
      <w:r w:rsidRPr="00867BFC">
        <w:rPr>
          <w:rStyle w:val="ts-alignment-element"/>
          <w:rFonts w:ascii="Times New Roman" w:hAnsi="Times New Roman" w:cs="Times New Roman"/>
          <w:sz w:val="24"/>
          <w:szCs w:val="24"/>
        </w:rPr>
        <w:t>Augustovski</w:t>
      </w:r>
      <w:proofErr w:type="spellEnd"/>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2013;</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Short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2021;</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Supina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2007).</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Además,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caso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aquellos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síntomas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graves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ansiedad/depresión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(nivel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3</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pregunta),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valores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obtenidos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estuvieron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calcularon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estimaciones</w:t>
      </w:r>
      <w:r w:rsidRPr="00867BFC">
        <w:rPr>
          <w:rFonts w:ascii="Times New Roman" w:hAnsi="Times New Roman" w:cs="Times New Roman"/>
          <w:sz w:val="24"/>
          <w:szCs w:val="24"/>
        </w:rPr>
        <w:t xml:space="preserve"> </w:t>
      </w:r>
      <w:r>
        <w:rPr>
          <w:rFonts w:ascii="Times New Roman" w:hAnsi="Times New Roman" w:cs="Times New Roman"/>
          <w:sz w:val="24"/>
          <w:szCs w:val="24"/>
        </w:rPr>
        <w:t xml:space="preserve">provistas en </w:t>
      </w:r>
      <w:r>
        <w:rPr>
          <w:rStyle w:val="ts-alignment-element"/>
          <w:rFonts w:ascii="Times New Roman" w:hAnsi="Times New Roman" w:cs="Times New Roman"/>
          <w:sz w:val="24"/>
          <w:szCs w:val="24"/>
        </w:rPr>
        <w:t xml:space="preserve">la base de datos de la conocida Global </w:t>
      </w:r>
      <w:proofErr w:type="spellStart"/>
      <w:r>
        <w:rPr>
          <w:rStyle w:val="ts-alignment-element"/>
          <w:rFonts w:ascii="Times New Roman" w:hAnsi="Times New Roman" w:cs="Times New Roman"/>
          <w:sz w:val="24"/>
          <w:szCs w:val="24"/>
        </w:rPr>
        <w:t>Burden</w:t>
      </w:r>
      <w:proofErr w:type="spellEnd"/>
      <w:r>
        <w:rPr>
          <w:rStyle w:val="ts-alignment-element"/>
          <w:rFonts w:ascii="Times New Roman" w:hAnsi="Times New Roman" w:cs="Times New Roman"/>
          <w:sz w:val="24"/>
          <w:szCs w:val="24"/>
        </w:rPr>
        <w:t xml:space="preserve"> </w:t>
      </w:r>
      <w:proofErr w:type="spellStart"/>
      <w:r>
        <w:rPr>
          <w:rStyle w:val="ts-alignment-element"/>
          <w:rFonts w:ascii="Times New Roman" w:hAnsi="Times New Roman" w:cs="Times New Roman"/>
          <w:sz w:val="24"/>
          <w:szCs w:val="24"/>
        </w:rPr>
        <w:t>of</w:t>
      </w:r>
      <w:proofErr w:type="spellEnd"/>
      <w:r>
        <w:rPr>
          <w:rStyle w:val="ts-alignment-element"/>
          <w:rFonts w:ascii="Times New Roman" w:hAnsi="Times New Roman" w:cs="Times New Roman"/>
          <w:sz w:val="24"/>
          <w:szCs w:val="24"/>
        </w:rPr>
        <w:t xml:space="preserve"> </w:t>
      </w:r>
      <w:proofErr w:type="spellStart"/>
      <w:r>
        <w:rPr>
          <w:rStyle w:val="ts-alignment-element"/>
          <w:rFonts w:ascii="Times New Roman" w:hAnsi="Times New Roman" w:cs="Times New Roman"/>
          <w:sz w:val="24"/>
          <w:szCs w:val="24"/>
        </w:rPr>
        <w:t>Disease</w:t>
      </w:r>
      <w:proofErr w:type="spellEnd"/>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2015).</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Si</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bien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ciertamente</w:t>
      </w:r>
      <w:r>
        <w:rPr>
          <w:rFonts w:ascii="Times New Roman" w:hAnsi="Times New Roman" w:cs="Times New Roman"/>
          <w:sz w:val="24"/>
          <w:szCs w:val="24"/>
        </w:rPr>
        <w:t xml:space="preserve"> se podría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alcance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nuestra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investigación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este último nivel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particular,</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se intentó </w:t>
      </w:r>
      <w:r w:rsidRPr="00867BFC">
        <w:rPr>
          <w:rStyle w:val="ts-alignment-element"/>
          <w:rFonts w:ascii="Times New Roman" w:hAnsi="Times New Roman" w:cs="Times New Roman"/>
          <w:sz w:val="24"/>
          <w:szCs w:val="24"/>
        </w:rPr>
        <w:t>abordar</w:t>
      </w:r>
      <w:r>
        <w:rPr>
          <w:rStyle w:val="ts-alignment-element"/>
          <w:rFonts w:ascii="Times New Roman" w:hAnsi="Times New Roman" w:cs="Times New Roman"/>
          <w:sz w:val="24"/>
          <w:szCs w:val="24"/>
        </w:rPr>
        <w:t xml:space="preserve"> en este trabajo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Pr>
          <w:rFonts w:ascii="Times New Roman" w:hAnsi="Times New Roman" w:cs="Times New Roman"/>
          <w:sz w:val="24"/>
          <w:szCs w:val="24"/>
        </w:rPr>
        <w:t>esfera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salud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amplia,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definición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utilizada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estudio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ad-hoc</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(dado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considera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tanto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presencia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condición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otra,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puede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necesariamente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exclusiva)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Pr>
          <w:rStyle w:val="ts-alignment-element"/>
          <w:rFonts w:ascii="Times New Roman" w:hAnsi="Times New Roman" w:cs="Times New Roman"/>
          <w:sz w:val="24"/>
          <w:szCs w:val="24"/>
        </w:rPr>
        <w:t xml:space="preserve"> por ello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coincide</w:t>
      </w:r>
      <w:r>
        <w:rPr>
          <w:rStyle w:val="ts-alignment-element"/>
          <w:rFonts w:ascii="Times New Roman" w:hAnsi="Times New Roman" w:cs="Times New Roman"/>
          <w:sz w:val="24"/>
          <w:szCs w:val="24"/>
        </w:rPr>
        <w:t xml:space="preserve"> de manera exacta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otras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definiciones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abordan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trastornos</w:t>
      </w:r>
      <w:r>
        <w:rPr>
          <w:rStyle w:val="ts-alignment-element"/>
          <w:rFonts w:ascii="Times New Roman" w:hAnsi="Times New Roman" w:cs="Times New Roman"/>
          <w:sz w:val="24"/>
          <w:szCs w:val="24"/>
        </w:rPr>
        <w:t xml:space="preserve"> de tipo anímico o mental</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Por</w:t>
      </w:r>
      <w:r w:rsidRPr="00867BFC">
        <w:rPr>
          <w:rFonts w:ascii="Times New Roman" w:hAnsi="Times New Roman" w:cs="Times New Roman"/>
          <w:sz w:val="24"/>
          <w:szCs w:val="24"/>
        </w:rPr>
        <w:t xml:space="preserve"> lo </w:t>
      </w:r>
      <w:r w:rsidRPr="00867BFC">
        <w:rPr>
          <w:rStyle w:val="ts-alignment-element"/>
          <w:rFonts w:ascii="Times New Roman" w:hAnsi="Times New Roman" w:cs="Times New Roman"/>
          <w:sz w:val="24"/>
          <w:szCs w:val="24"/>
        </w:rPr>
        <w:t>tanto,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pesar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tales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consideramos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indicador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definido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forma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elegimos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suficientemente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valioso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punto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partida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visualizar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tendencias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generales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largo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tiempo.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Otras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se pueden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señalar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las </w:t>
      </w:r>
      <w:r w:rsidRPr="00867BFC">
        <w:rPr>
          <w:rStyle w:val="ts-alignment-element"/>
          <w:rFonts w:ascii="Times New Roman" w:hAnsi="Times New Roman" w:cs="Times New Roman"/>
          <w:sz w:val="24"/>
          <w:szCs w:val="24"/>
        </w:rPr>
        <w:t>ENFR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tanto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limitaciones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trabajo),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no</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relevan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la </w:t>
      </w:r>
      <w:r w:rsidRPr="00867BFC">
        <w:rPr>
          <w:rStyle w:val="ts-alignment-element"/>
          <w:rFonts w:ascii="Times New Roman" w:hAnsi="Times New Roman" w:cs="Times New Roman"/>
          <w:sz w:val="24"/>
          <w:szCs w:val="24"/>
        </w:rPr>
        <w:t>población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institucionalizada,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sólo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limitan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zonas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urbanas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áreas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rurales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representan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lastRenderedPageBreak/>
        <w:t>aproximadamente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8%</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población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total,</w:t>
      </w:r>
      <w:r>
        <w:rPr>
          <w:rFonts w:ascii="Times New Roman" w:hAnsi="Times New Roman" w:cs="Times New Roman"/>
          <w:sz w:val="24"/>
          <w:szCs w:val="24"/>
        </w:rPr>
        <w:t xml:space="preserve"> aunque no se dispone de </w:t>
      </w:r>
      <w:r w:rsidRPr="00867BFC">
        <w:rPr>
          <w:rStyle w:val="ts-alignment-element"/>
          <w:rFonts w:ascii="Times New Roman" w:hAnsi="Times New Roman" w:cs="Times New Roman"/>
          <w:sz w:val="24"/>
          <w:szCs w:val="24"/>
        </w:rPr>
        <w:t>una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razón</w:t>
      </w:r>
      <w:r w:rsidRPr="00867BFC">
        <w:rPr>
          <w:rFonts w:ascii="Times New Roman" w:hAnsi="Times New Roman" w:cs="Times New Roman"/>
          <w:sz w:val="24"/>
          <w:szCs w:val="24"/>
        </w:rPr>
        <w:t xml:space="preserve"> </w:t>
      </w:r>
      <w:r>
        <w:rPr>
          <w:rFonts w:ascii="Times New Roman" w:hAnsi="Times New Roman" w:cs="Times New Roman"/>
          <w:sz w:val="24"/>
          <w:szCs w:val="24"/>
        </w:rPr>
        <w:t xml:space="preserve">a priori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creer</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entre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grupos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excluidos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presencia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síntomas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ansiedad</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/depresión</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varía de forma sensible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comparación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población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encuestada).</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Es por todas estas razones que se considera que las </w:t>
      </w:r>
      <w:r w:rsidRPr="00867BFC">
        <w:rPr>
          <w:rStyle w:val="ts-alignment-element"/>
          <w:rFonts w:ascii="Times New Roman" w:hAnsi="Times New Roman" w:cs="Times New Roman"/>
          <w:sz w:val="24"/>
          <w:szCs w:val="24"/>
        </w:rPr>
        <w:t>ENFR</w:t>
      </w:r>
      <w:r w:rsidRPr="00867BFC">
        <w:rPr>
          <w:rFonts w:ascii="Times New Roman" w:hAnsi="Times New Roman" w:cs="Times New Roman"/>
          <w:sz w:val="24"/>
          <w:szCs w:val="24"/>
        </w:rPr>
        <w:t xml:space="preserve"> </w:t>
      </w:r>
      <w:r>
        <w:rPr>
          <w:rFonts w:ascii="Times New Roman" w:hAnsi="Times New Roman" w:cs="Times New Roman"/>
          <w:sz w:val="24"/>
          <w:szCs w:val="24"/>
        </w:rPr>
        <w:t xml:space="preserve">son instrumentos suficientemente </w:t>
      </w:r>
      <w:r w:rsidRPr="00867BFC">
        <w:rPr>
          <w:rStyle w:val="ts-alignment-element"/>
          <w:rFonts w:ascii="Times New Roman" w:hAnsi="Times New Roman" w:cs="Times New Roman"/>
          <w:sz w:val="24"/>
          <w:szCs w:val="24"/>
        </w:rPr>
        <w:t>confiables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como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Pr>
          <w:rStyle w:val="ts-alignment-element"/>
          <w:rFonts w:ascii="Times New Roman" w:hAnsi="Times New Roman" w:cs="Times New Roman"/>
          <w:sz w:val="24"/>
          <w:szCs w:val="24"/>
        </w:rPr>
        <w:t xml:space="preserve"> obtener una serie de EVLTAD2</w:t>
      </w:r>
      <w:r w:rsidRPr="00867BFC">
        <w:rPr>
          <w:rStyle w:val="ts-alignment-element"/>
          <w:rFonts w:ascii="Times New Roman" w:hAnsi="Times New Roman" w:cs="Times New Roman"/>
          <w:sz w:val="24"/>
          <w:szCs w:val="24"/>
        </w:rPr>
        <w:t>0</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w:t>
      </w:r>
      <w:r>
        <w:rPr>
          <w:rStyle w:val="ts-alignment-element"/>
          <w:rFonts w:ascii="Times New Roman" w:hAnsi="Times New Roman" w:cs="Times New Roman"/>
          <w:sz w:val="24"/>
          <w:szCs w:val="24"/>
        </w:rPr>
        <w:t>E</w:t>
      </w:r>
      <w:r w:rsidRPr="00867BFC">
        <w:rPr>
          <w:rStyle w:val="ts-alignment-element"/>
          <w:rFonts w:ascii="Times New Roman" w:hAnsi="Times New Roman" w:cs="Times New Roman"/>
          <w:sz w:val="24"/>
          <w:szCs w:val="24"/>
        </w:rPr>
        <w:t>speranza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V</w:t>
      </w:r>
      <w:r w:rsidRPr="00867BFC">
        <w:rPr>
          <w:rStyle w:val="ts-alignment-element"/>
          <w:rFonts w:ascii="Times New Roman" w:hAnsi="Times New Roman" w:cs="Times New Roman"/>
          <w:sz w:val="24"/>
          <w:szCs w:val="24"/>
        </w:rPr>
        <w:t>ida</w:t>
      </w:r>
      <w:r>
        <w:rPr>
          <w:rStyle w:val="ts-alignment-element"/>
          <w:rFonts w:ascii="Times New Roman" w:hAnsi="Times New Roman" w:cs="Times New Roman"/>
          <w:sz w:val="24"/>
          <w:szCs w:val="24"/>
        </w:rPr>
        <w:t xml:space="preserve"> L</w:t>
      </w:r>
      <w:r w:rsidRPr="00867BFC">
        <w:rPr>
          <w:rStyle w:val="ts-alignment-element"/>
          <w:rFonts w:ascii="Times New Roman" w:hAnsi="Times New Roman" w:cs="Times New Roman"/>
          <w:sz w:val="24"/>
          <w:szCs w:val="24"/>
        </w:rPr>
        <w:t>ibre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Pr>
          <w:rStyle w:val="ts-alignment-element"/>
          <w:rFonts w:ascii="Times New Roman" w:hAnsi="Times New Roman" w:cs="Times New Roman"/>
          <w:sz w:val="24"/>
          <w:szCs w:val="24"/>
        </w:rPr>
        <w:t xml:space="preserve"> Trastornos de</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A</w:t>
      </w:r>
      <w:r w:rsidRPr="00867BFC">
        <w:rPr>
          <w:rStyle w:val="ts-alignment-element"/>
          <w:rFonts w:ascii="Times New Roman" w:hAnsi="Times New Roman" w:cs="Times New Roman"/>
          <w:sz w:val="24"/>
          <w:szCs w:val="24"/>
        </w:rPr>
        <w:t>nsiedad/</w:t>
      </w:r>
      <w:r>
        <w:rPr>
          <w:rFonts w:ascii="Times New Roman" w:hAnsi="Times New Roman" w:cs="Times New Roman"/>
          <w:sz w:val="24"/>
          <w:szCs w:val="24"/>
        </w:rPr>
        <w:t>D</w:t>
      </w:r>
      <w:r w:rsidRPr="00867BFC">
        <w:rPr>
          <w:rStyle w:val="ts-alignment-element"/>
          <w:rFonts w:ascii="Times New Roman" w:hAnsi="Times New Roman" w:cs="Times New Roman"/>
          <w:sz w:val="24"/>
          <w:szCs w:val="24"/>
        </w:rPr>
        <w:t>epresión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20</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años).</w:t>
      </w:r>
      <w:r w:rsidRPr="00867BFC">
        <w:rPr>
          <w:rFonts w:ascii="Times New Roman" w:hAnsi="Times New Roman" w:cs="Times New Roman"/>
          <w:sz w:val="24"/>
          <w:szCs w:val="24"/>
        </w:rPr>
        <w:t xml:space="preserve"> </w:t>
      </w:r>
    </w:p>
    <w:p w:rsidR="00D502A6" w:rsidRPr="00D502A6" w:rsidRDefault="00D502A6" w:rsidP="000B0737">
      <w:pPr>
        <w:shd w:val="clear" w:color="auto" w:fill="FDFDFD"/>
        <w:spacing w:after="0" w:line="360" w:lineRule="auto"/>
        <w:jc w:val="both"/>
        <w:rPr>
          <w:rFonts w:ascii="Times New Roman" w:hAnsi="Times New Roman" w:cs="Times New Roman"/>
          <w:i/>
          <w:sz w:val="24"/>
          <w:szCs w:val="24"/>
        </w:rPr>
      </w:pPr>
    </w:p>
    <w:p w:rsidR="00D502A6" w:rsidRPr="00D3168A" w:rsidRDefault="00D502A6" w:rsidP="000B0737">
      <w:pPr>
        <w:shd w:val="clear" w:color="auto" w:fill="FDFDFD"/>
        <w:spacing w:after="0" w:line="360" w:lineRule="auto"/>
        <w:jc w:val="both"/>
        <w:rPr>
          <w:rFonts w:ascii="Times New Roman" w:hAnsi="Times New Roman" w:cs="Times New Roman"/>
          <w:i/>
          <w:sz w:val="24"/>
          <w:szCs w:val="24"/>
          <w:lang w:val="es-ES"/>
        </w:rPr>
      </w:pPr>
      <w:r w:rsidRPr="00D3168A">
        <w:rPr>
          <w:rFonts w:ascii="Times New Roman" w:hAnsi="Times New Roman" w:cs="Times New Roman"/>
          <w:i/>
          <w:sz w:val="24"/>
          <w:szCs w:val="24"/>
          <w:lang w:val="es-ES"/>
        </w:rPr>
        <w:t>Métodos</w:t>
      </w:r>
      <w:r w:rsidR="00280AF5" w:rsidRPr="00D3168A">
        <w:rPr>
          <w:rFonts w:ascii="Times New Roman" w:hAnsi="Times New Roman" w:cs="Times New Roman"/>
          <w:i/>
          <w:sz w:val="24"/>
          <w:szCs w:val="24"/>
          <w:lang w:val="es-ES"/>
        </w:rPr>
        <w:t>:</w:t>
      </w:r>
    </w:p>
    <w:p w:rsidR="00D502A6" w:rsidRPr="00D3168A" w:rsidRDefault="00D502A6" w:rsidP="000B0737">
      <w:pPr>
        <w:shd w:val="clear" w:color="auto" w:fill="FDFDFD"/>
        <w:spacing w:after="0" w:line="360" w:lineRule="auto"/>
        <w:jc w:val="both"/>
        <w:rPr>
          <w:rFonts w:ascii="Times New Roman" w:hAnsi="Times New Roman" w:cs="Times New Roman"/>
          <w:i/>
          <w:sz w:val="24"/>
          <w:szCs w:val="24"/>
          <w:lang w:val="es-ES"/>
        </w:rPr>
      </w:pPr>
    </w:p>
    <w:p w:rsidR="00D502A6" w:rsidRPr="00EE08D0" w:rsidRDefault="00D502A6" w:rsidP="000B0737">
      <w:pPr>
        <w:shd w:val="clear" w:color="auto" w:fill="FDFDFD"/>
        <w:spacing w:after="0" w:line="360" w:lineRule="auto"/>
        <w:jc w:val="both"/>
        <w:rPr>
          <w:rFonts w:ascii="Times New Roman" w:hAnsi="Times New Roman" w:cs="Times New Roman"/>
          <w:sz w:val="24"/>
          <w:szCs w:val="24"/>
          <w:lang w:val="es-ES"/>
        </w:rPr>
      </w:pPr>
      <w:r w:rsidRPr="00D502A6">
        <w:rPr>
          <w:rFonts w:ascii="Times New Roman" w:hAnsi="Times New Roman" w:cs="Times New Roman"/>
          <w:sz w:val="24"/>
          <w:szCs w:val="24"/>
          <w:lang w:val="es-ES"/>
        </w:rPr>
        <w:t>Se hizo un primer a</w:t>
      </w:r>
      <w:r>
        <w:rPr>
          <w:rFonts w:ascii="Times New Roman" w:hAnsi="Times New Roman" w:cs="Times New Roman"/>
          <w:sz w:val="24"/>
          <w:szCs w:val="24"/>
          <w:lang w:val="es-ES"/>
        </w:rPr>
        <w:t xml:space="preserve">nálisis exploratorio de las variables clave (sexo, edad, presencia de trastornos de ansiedad/depresión), </w:t>
      </w:r>
      <w:r w:rsidR="006E6CCC">
        <w:rPr>
          <w:rFonts w:ascii="Times New Roman" w:hAnsi="Times New Roman" w:cs="Times New Roman"/>
          <w:sz w:val="24"/>
          <w:szCs w:val="24"/>
          <w:lang w:val="es-ES"/>
        </w:rPr>
        <w:t>considerando</w:t>
      </w:r>
      <w:r>
        <w:rPr>
          <w:rFonts w:ascii="Times New Roman" w:hAnsi="Times New Roman" w:cs="Times New Roman"/>
          <w:sz w:val="24"/>
          <w:szCs w:val="24"/>
          <w:lang w:val="es-ES"/>
        </w:rPr>
        <w:t xml:space="preserve"> los valores medios y el desvío estándar, necesario para estimar intervalos de confianza del 95% para el valor medio, utilizando el procedimiento clásico de agregar a la media ± 1.96 errores estándar (que se obtuvieron dividiendo el desvío estándar sobre la raíz cuadrada del tamaño de la distribución de la variable en cuestión). </w:t>
      </w:r>
      <w:r w:rsidR="00EE08D0">
        <w:rPr>
          <w:rFonts w:ascii="Times New Roman" w:hAnsi="Times New Roman" w:cs="Times New Roman"/>
          <w:sz w:val="24"/>
          <w:szCs w:val="24"/>
          <w:lang w:val="es-ES"/>
        </w:rPr>
        <w:t>Cabe la aclaración que en</w:t>
      </w:r>
      <w:r w:rsidRPr="00D502A6">
        <w:rPr>
          <w:rFonts w:ascii="Times New Roman" w:hAnsi="Times New Roman" w:cs="Times New Roman"/>
          <w:sz w:val="24"/>
          <w:szCs w:val="24"/>
          <w:lang w:val="es-ES"/>
        </w:rPr>
        <w:t xml:space="preserve"> las ENFR la edad </w:t>
      </w:r>
      <w:r w:rsidR="00EE08D0">
        <w:rPr>
          <w:rFonts w:ascii="Times New Roman" w:hAnsi="Times New Roman" w:cs="Times New Roman"/>
          <w:sz w:val="24"/>
          <w:szCs w:val="24"/>
          <w:lang w:val="es-ES"/>
        </w:rPr>
        <w:t xml:space="preserve">se expresa </w:t>
      </w:r>
      <w:r w:rsidRPr="00D502A6">
        <w:rPr>
          <w:rFonts w:ascii="Times New Roman" w:hAnsi="Times New Roman" w:cs="Times New Roman"/>
          <w:sz w:val="24"/>
          <w:szCs w:val="24"/>
          <w:lang w:val="es-ES"/>
        </w:rPr>
        <w:t>en valores dis</w:t>
      </w:r>
      <w:r>
        <w:rPr>
          <w:rFonts w:ascii="Times New Roman" w:hAnsi="Times New Roman" w:cs="Times New Roman"/>
          <w:sz w:val="24"/>
          <w:szCs w:val="24"/>
          <w:lang w:val="es-ES"/>
        </w:rPr>
        <w:t xml:space="preserve">cretos. </w:t>
      </w:r>
      <w:r w:rsidR="00EE08D0" w:rsidRPr="00EE08D0">
        <w:rPr>
          <w:rFonts w:ascii="Times New Roman" w:hAnsi="Times New Roman" w:cs="Times New Roman"/>
          <w:sz w:val="24"/>
          <w:szCs w:val="24"/>
          <w:lang w:val="es-ES"/>
        </w:rPr>
        <w:t>En la categoría sexo, el 0 representa los varones y e</w:t>
      </w:r>
      <w:r w:rsidR="00EE08D0">
        <w:rPr>
          <w:rFonts w:ascii="Times New Roman" w:hAnsi="Times New Roman" w:cs="Times New Roman"/>
          <w:sz w:val="24"/>
          <w:szCs w:val="24"/>
          <w:lang w:val="es-ES"/>
        </w:rPr>
        <w:t>l 1 las mujeres, y en la presencia de trastornos de ansiedad/depresión el 0 representa ausencia y</w:t>
      </w:r>
      <w:r w:rsidR="006E6CCC">
        <w:rPr>
          <w:rFonts w:ascii="Times New Roman" w:hAnsi="Times New Roman" w:cs="Times New Roman"/>
          <w:sz w:val="24"/>
          <w:szCs w:val="24"/>
          <w:lang w:val="es-ES"/>
        </w:rPr>
        <w:t xml:space="preserve"> 1 presencia</w:t>
      </w:r>
      <w:r w:rsidR="00EE08D0">
        <w:rPr>
          <w:rFonts w:ascii="Times New Roman" w:hAnsi="Times New Roman" w:cs="Times New Roman"/>
          <w:sz w:val="24"/>
          <w:szCs w:val="24"/>
          <w:lang w:val="es-ES"/>
        </w:rPr>
        <w:t xml:space="preserve"> de la condición. También se han descrito las prevalencias por edad para cada ENFR. </w:t>
      </w:r>
      <w:r w:rsidR="00EE08D0" w:rsidRPr="00EE08D0">
        <w:rPr>
          <w:rFonts w:ascii="Times New Roman" w:hAnsi="Times New Roman" w:cs="Times New Roman"/>
          <w:sz w:val="24"/>
          <w:szCs w:val="24"/>
          <w:lang w:val="es-ES"/>
        </w:rPr>
        <w:t>El porcentaje de la población reportando ansiedad/depresión fue s</w:t>
      </w:r>
      <w:r w:rsidR="00EE08D0">
        <w:rPr>
          <w:rFonts w:ascii="Times New Roman" w:hAnsi="Times New Roman" w:cs="Times New Roman"/>
          <w:sz w:val="24"/>
          <w:szCs w:val="24"/>
          <w:lang w:val="es-ES"/>
        </w:rPr>
        <w:t>uavizado con el método de regresión local (LOESS), aprovechando las funcionalidades del paquete ggplot2 en el software libre R (</w:t>
      </w:r>
      <w:proofErr w:type="spellStart"/>
      <w:r w:rsidR="00EE08D0">
        <w:rPr>
          <w:rFonts w:ascii="Times New Roman" w:hAnsi="Times New Roman" w:cs="Times New Roman"/>
          <w:sz w:val="24"/>
          <w:szCs w:val="24"/>
          <w:lang w:val="es-ES"/>
        </w:rPr>
        <w:t>Wickham</w:t>
      </w:r>
      <w:proofErr w:type="spellEnd"/>
      <w:r w:rsidR="00EE08D0">
        <w:rPr>
          <w:rFonts w:ascii="Times New Roman" w:hAnsi="Times New Roman" w:cs="Times New Roman"/>
          <w:sz w:val="24"/>
          <w:szCs w:val="24"/>
          <w:lang w:val="es-ES"/>
        </w:rPr>
        <w:t>, 2016)</w:t>
      </w:r>
    </w:p>
    <w:p w:rsidR="000B0737" w:rsidRDefault="000B0737" w:rsidP="000B0737">
      <w:pPr>
        <w:shd w:val="clear" w:color="auto" w:fill="FDFDFD"/>
        <w:spacing w:after="0" w:line="360" w:lineRule="auto"/>
        <w:jc w:val="both"/>
        <w:rPr>
          <w:rStyle w:val="ts-alignment-element"/>
          <w:rFonts w:ascii="Times New Roman" w:hAnsi="Times New Roman" w:cs="Times New Roman"/>
          <w:sz w:val="24"/>
          <w:szCs w:val="24"/>
        </w:rPr>
      </w:pPr>
      <w:r w:rsidRPr="00D3168A">
        <w:rPr>
          <w:rStyle w:val="ts-alignment-element"/>
          <w:rFonts w:ascii="Times New Roman" w:hAnsi="Times New Roman" w:cs="Times New Roman"/>
          <w:sz w:val="24"/>
          <w:szCs w:val="24"/>
          <w:lang w:val="es-ES"/>
        </w:rPr>
        <w:tab/>
      </w:r>
      <w:r>
        <w:rPr>
          <w:rStyle w:val="ts-alignment-element"/>
          <w:rFonts w:ascii="Times New Roman" w:hAnsi="Times New Roman" w:cs="Times New Roman"/>
          <w:sz w:val="24"/>
          <w:szCs w:val="24"/>
        </w:rPr>
        <w:t>Previamente se comentó</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que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método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más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directo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y</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sencillo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calcular</w:t>
      </w:r>
      <w:r w:rsidRPr="00867BFC">
        <w:rPr>
          <w:rFonts w:ascii="Times New Roman" w:hAnsi="Times New Roman" w:cs="Times New Roman"/>
          <w:sz w:val="24"/>
          <w:szCs w:val="24"/>
        </w:rPr>
        <w:t xml:space="preserve"> </w:t>
      </w:r>
      <w:r w:rsidR="006E6CCC">
        <w:rPr>
          <w:rFonts w:ascii="Times New Roman" w:hAnsi="Times New Roman" w:cs="Times New Roman"/>
          <w:sz w:val="24"/>
          <w:szCs w:val="24"/>
        </w:rPr>
        <w:t>esperanzas de vida saludables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través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del</w:t>
      </w:r>
      <w:r>
        <w:rPr>
          <w:rStyle w:val="ts-alignment-element"/>
          <w:rFonts w:ascii="Times New Roman" w:hAnsi="Times New Roman" w:cs="Times New Roman"/>
          <w:sz w:val="24"/>
          <w:szCs w:val="24"/>
        </w:rPr>
        <w:t xml:space="preserve"> conocido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método</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S</w:t>
      </w:r>
      <w:r w:rsidRPr="00867BFC">
        <w:rPr>
          <w:rStyle w:val="ts-alignment-element"/>
          <w:rFonts w:ascii="Times New Roman" w:hAnsi="Times New Roman" w:cs="Times New Roman"/>
          <w:sz w:val="24"/>
          <w:szCs w:val="24"/>
        </w:rPr>
        <w:t>ullivan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(Sullivan,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1971)</w:t>
      </w:r>
      <w:r>
        <w:rPr>
          <w:rStyle w:val="ts-alignment-element"/>
          <w:rFonts w:ascii="Times New Roman" w:hAnsi="Times New Roman" w:cs="Times New Roman"/>
          <w:sz w:val="24"/>
          <w:szCs w:val="24"/>
        </w:rPr>
        <w:t>, tal como se hizo en este trabajo</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00D3168A">
        <w:rPr>
          <w:rStyle w:val="ts-alignment-element"/>
          <w:rFonts w:ascii="Times New Roman" w:hAnsi="Times New Roman" w:cs="Times New Roman"/>
          <w:sz w:val="24"/>
          <w:szCs w:val="24"/>
        </w:rPr>
        <w:t>A</w:t>
      </w:r>
      <w:r w:rsidR="00280AF5">
        <w:rPr>
          <w:rStyle w:val="ts-alignment-element"/>
          <w:rFonts w:ascii="Times New Roman" w:hAnsi="Times New Roman" w:cs="Times New Roman"/>
          <w:sz w:val="24"/>
          <w:szCs w:val="24"/>
        </w:rPr>
        <w:t xml:space="preserve">l final de este </w:t>
      </w:r>
      <w:r w:rsidR="0039227C">
        <w:rPr>
          <w:rStyle w:val="ts-alignment-element"/>
          <w:rFonts w:ascii="Times New Roman" w:hAnsi="Times New Roman" w:cs="Times New Roman"/>
          <w:sz w:val="24"/>
          <w:szCs w:val="24"/>
        </w:rPr>
        <w:t>apartado</w:t>
      </w:r>
      <w:r w:rsidR="00280AF5">
        <w:rPr>
          <w:rStyle w:val="ts-alignment-element"/>
          <w:rFonts w:ascii="Times New Roman" w:hAnsi="Times New Roman" w:cs="Times New Roman"/>
          <w:sz w:val="24"/>
          <w:szCs w:val="24"/>
        </w:rPr>
        <w:t xml:space="preserve"> se han presentado</w:t>
      </w:r>
      <w:r w:rsidR="006E6CCC">
        <w:rPr>
          <w:rStyle w:val="ts-alignment-element"/>
          <w:rFonts w:ascii="Times New Roman" w:hAnsi="Times New Roman" w:cs="Times New Roman"/>
          <w:sz w:val="24"/>
          <w:szCs w:val="24"/>
        </w:rPr>
        <w:t xml:space="preserve"> </w:t>
      </w:r>
      <w:r w:rsidR="00D3168A">
        <w:rPr>
          <w:rStyle w:val="ts-alignment-element"/>
          <w:rFonts w:ascii="Times New Roman" w:hAnsi="Times New Roman" w:cs="Times New Roman"/>
          <w:sz w:val="24"/>
          <w:szCs w:val="24"/>
        </w:rPr>
        <w:t>los</w:t>
      </w:r>
      <w:r w:rsidR="006E6CCC">
        <w:rPr>
          <w:rStyle w:val="ts-alignment-element"/>
          <w:rFonts w:ascii="Times New Roman" w:hAnsi="Times New Roman" w:cs="Times New Roman"/>
          <w:sz w:val="24"/>
          <w:szCs w:val="24"/>
        </w:rPr>
        <w:t xml:space="preserve"> </w:t>
      </w:r>
      <w:r w:rsidR="00D3168A">
        <w:rPr>
          <w:rStyle w:val="ts-alignment-element"/>
          <w:rFonts w:ascii="Times New Roman" w:hAnsi="Times New Roman" w:cs="Times New Roman"/>
          <w:sz w:val="24"/>
          <w:szCs w:val="24"/>
        </w:rPr>
        <w:t>aspectos más importantes de esta técnica, aunque se recomienda también consultar el trabajo de Jagger et al. (2006), donde se detalla el procedimiento con mayor profundidad</w:t>
      </w:r>
      <w:r w:rsidRPr="00867BFC">
        <w:rPr>
          <w:rStyle w:val="ts-alignment-element"/>
          <w:rFonts w:ascii="Times New Roman" w:hAnsi="Times New Roman" w:cs="Times New Roman"/>
          <w:sz w:val="24"/>
          <w:szCs w:val="24"/>
        </w:rPr>
        <w:t>.</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Se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calcularon</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intervalos</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confianza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95%</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para</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Pr>
          <w:rStyle w:val="ts-alignment-element"/>
          <w:rFonts w:ascii="Times New Roman" w:hAnsi="Times New Roman" w:cs="Times New Roman"/>
          <w:sz w:val="24"/>
          <w:szCs w:val="24"/>
        </w:rPr>
        <w:t>EVLTAD2</w:t>
      </w:r>
      <w:r w:rsidRPr="00867BFC">
        <w:rPr>
          <w:rStyle w:val="ts-alignment-element"/>
          <w:rFonts w:ascii="Times New Roman" w:hAnsi="Times New Roman" w:cs="Times New Roman"/>
          <w:sz w:val="24"/>
          <w:szCs w:val="24"/>
        </w:rPr>
        <w:t>0</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utilizando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el</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procedimiento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descrito</w:t>
      </w:r>
      <w:r w:rsidRPr="00867BFC">
        <w:rPr>
          <w:rFonts w:ascii="Times New Roman" w:hAnsi="Times New Roman" w:cs="Times New Roman"/>
          <w:sz w:val="24"/>
          <w:szCs w:val="24"/>
        </w:rPr>
        <w:t xml:space="preserve"> </w:t>
      </w:r>
      <w:r w:rsidRPr="00867BFC">
        <w:rPr>
          <w:rStyle w:val="ts-alignment-element"/>
          <w:rFonts w:ascii="Times New Roman" w:hAnsi="Times New Roman" w:cs="Times New Roman"/>
          <w:sz w:val="24"/>
          <w:szCs w:val="24"/>
        </w:rPr>
        <w:t>en</w:t>
      </w:r>
      <w:r w:rsidRPr="00867BFC">
        <w:rPr>
          <w:rFonts w:ascii="Times New Roman" w:hAnsi="Times New Roman" w:cs="Times New Roman"/>
          <w:sz w:val="24"/>
          <w:szCs w:val="24"/>
        </w:rPr>
        <w:t xml:space="preserve"> </w:t>
      </w:r>
      <w:r w:rsidR="00D3168A">
        <w:rPr>
          <w:rStyle w:val="ts-alignment-element"/>
          <w:rFonts w:ascii="Times New Roman" w:hAnsi="Times New Roman" w:cs="Times New Roman"/>
          <w:sz w:val="24"/>
          <w:szCs w:val="24"/>
        </w:rPr>
        <w:t>dicho trabajo</w:t>
      </w:r>
      <w:r w:rsidR="006E6CCC">
        <w:rPr>
          <w:rStyle w:val="ts-alignment-element"/>
          <w:rFonts w:ascii="Times New Roman" w:hAnsi="Times New Roman" w:cs="Times New Roman"/>
          <w:sz w:val="24"/>
          <w:szCs w:val="24"/>
        </w:rPr>
        <w:t xml:space="preserve"> (también disponible </w:t>
      </w:r>
      <w:r w:rsidR="00280AF5">
        <w:rPr>
          <w:rStyle w:val="ts-alignment-element"/>
          <w:rFonts w:ascii="Times New Roman" w:hAnsi="Times New Roman" w:cs="Times New Roman"/>
          <w:sz w:val="24"/>
          <w:szCs w:val="24"/>
        </w:rPr>
        <w:t xml:space="preserve">a final de este </w:t>
      </w:r>
      <w:r w:rsidR="0039227C">
        <w:rPr>
          <w:rStyle w:val="ts-alignment-element"/>
          <w:rFonts w:ascii="Times New Roman" w:hAnsi="Times New Roman" w:cs="Times New Roman"/>
          <w:sz w:val="24"/>
          <w:szCs w:val="24"/>
        </w:rPr>
        <w:t>apartad</w:t>
      </w:r>
      <w:r w:rsidR="00280AF5">
        <w:rPr>
          <w:rStyle w:val="ts-alignment-element"/>
          <w:rFonts w:ascii="Times New Roman" w:hAnsi="Times New Roman" w:cs="Times New Roman"/>
          <w:sz w:val="24"/>
          <w:szCs w:val="24"/>
        </w:rPr>
        <w:t>o</w:t>
      </w:r>
      <w:r w:rsidR="006E6CCC">
        <w:rPr>
          <w:rStyle w:val="ts-alignment-element"/>
          <w:rFonts w:ascii="Times New Roman" w:hAnsi="Times New Roman" w:cs="Times New Roman"/>
          <w:sz w:val="24"/>
          <w:szCs w:val="24"/>
        </w:rPr>
        <w:t>)</w:t>
      </w:r>
      <w:r w:rsidRPr="00867BFC">
        <w:rPr>
          <w:rStyle w:val="ts-alignment-element"/>
          <w:rFonts w:ascii="Times New Roman" w:hAnsi="Times New Roman" w:cs="Times New Roman"/>
          <w:sz w:val="24"/>
          <w:szCs w:val="24"/>
        </w:rPr>
        <w:t>.</w:t>
      </w:r>
      <w:r w:rsidR="006E6CCC">
        <w:rPr>
          <w:rStyle w:val="ts-alignment-element"/>
          <w:rFonts w:ascii="Times New Roman" w:hAnsi="Times New Roman" w:cs="Times New Roman"/>
          <w:sz w:val="24"/>
          <w:szCs w:val="24"/>
        </w:rPr>
        <w:t xml:space="preserve"> Para el cálculo de esperanzas de EV20 esto no es necesario, dado que las diferencias en las estimaciones, dado el tamaño poblacional, estarían en el orden de las milésimas o en magnitudes más pequeñas. </w:t>
      </w:r>
    </w:p>
    <w:p w:rsidR="00272099" w:rsidRDefault="00272099"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w:t>
      </w:r>
      <w:r w:rsidR="00AF3990">
        <w:rPr>
          <w:rFonts w:ascii="Times New Roman" w:eastAsia="Times New Roman" w:hAnsi="Times New Roman" w:cs="Times New Roman"/>
          <w:sz w:val="24"/>
          <w:szCs w:val="24"/>
        </w:rPr>
        <w:t xml:space="preserve"> las</w:t>
      </w:r>
      <w:r>
        <w:rPr>
          <w:rFonts w:ascii="Times New Roman" w:eastAsia="Times New Roman" w:hAnsi="Times New Roman" w:cs="Times New Roman"/>
          <w:sz w:val="24"/>
          <w:szCs w:val="24"/>
        </w:rPr>
        <w:t xml:space="preserve"> EV20 y EVLTAD20 es posible obtener el tempo vivido con ansiedad/depresión tanto en términos absolutos (expresados en años, como la diferencia entre EV20 y EVLTAD20) y relativos (expresados en porcentaje, como el cociente entre dicha </w:t>
      </w:r>
      <w:r>
        <w:rPr>
          <w:rFonts w:ascii="Times New Roman" w:eastAsia="Times New Roman" w:hAnsi="Times New Roman" w:cs="Times New Roman"/>
          <w:sz w:val="24"/>
          <w:szCs w:val="24"/>
        </w:rPr>
        <w:lastRenderedPageBreak/>
        <w:t xml:space="preserve">diferencia y la EV20). Esto se hizo como una forma alternativa de visualizar la evolución de la condición en el tiempo. </w:t>
      </w:r>
    </w:p>
    <w:p w:rsidR="00272099" w:rsidRPr="00BA3050" w:rsidRDefault="00272099"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80AF5">
        <w:rPr>
          <w:rFonts w:ascii="Times New Roman" w:eastAsia="Times New Roman" w:hAnsi="Times New Roman" w:cs="Times New Roman"/>
          <w:sz w:val="24"/>
          <w:szCs w:val="24"/>
        </w:rPr>
        <w:t>Descomponer</w:t>
      </w:r>
      <w:r>
        <w:rPr>
          <w:rFonts w:ascii="Times New Roman" w:eastAsia="Times New Roman" w:hAnsi="Times New Roman" w:cs="Times New Roman"/>
          <w:sz w:val="24"/>
          <w:szCs w:val="24"/>
        </w:rPr>
        <w:t xml:space="preserve"> el cambio en una esperanza de vida saludable es posible de varias formas. Una alternativa popular consiste en una extensión del método de Arriaga (</w:t>
      </w:r>
      <w:proofErr w:type="spellStart"/>
      <w:r>
        <w:rPr>
          <w:rFonts w:ascii="Times New Roman" w:eastAsia="Times New Roman" w:hAnsi="Times New Roman" w:cs="Times New Roman"/>
          <w:sz w:val="24"/>
          <w:szCs w:val="24"/>
        </w:rPr>
        <w:t>Nusselder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Looman</w:t>
      </w:r>
      <w:proofErr w:type="spellEnd"/>
      <w:r>
        <w:rPr>
          <w:rFonts w:ascii="Times New Roman" w:eastAsia="Times New Roman" w:hAnsi="Times New Roman" w:cs="Times New Roman"/>
          <w:sz w:val="24"/>
          <w:szCs w:val="24"/>
        </w:rPr>
        <w:t>, 2004), el cual es tradicionalmente utilizado a la hora de descomponer un cambio en la esperanza de vida (Arriaga, 1984). Sin embargo, como han notado algunos autores (</w:t>
      </w:r>
      <w:proofErr w:type="spellStart"/>
      <w:r>
        <w:rPr>
          <w:rFonts w:ascii="Times New Roman" w:eastAsia="Times New Roman" w:hAnsi="Times New Roman" w:cs="Times New Roman"/>
          <w:sz w:val="24"/>
          <w:szCs w:val="24"/>
        </w:rPr>
        <w:t>Shkolnikov</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Andreev</w:t>
      </w:r>
      <w:proofErr w:type="spellEnd"/>
      <w:r>
        <w:rPr>
          <w:rFonts w:ascii="Times New Roman" w:eastAsia="Times New Roman" w:hAnsi="Times New Roman" w:cs="Times New Roman"/>
          <w:sz w:val="24"/>
          <w:szCs w:val="24"/>
        </w:rPr>
        <w:t xml:space="preserve">, 2017; van </w:t>
      </w:r>
      <w:proofErr w:type="spellStart"/>
      <w:r>
        <w:rPr>
          <w:rFonts w:ascii="Times New Roman" w:eastAsia="Times New Roman" w:hAnsi="Times New Roman" w:cs="Times New Roman"/>
          <w:sz w:val="24"/>
          <w:szCs w:val="24"/>
        </w:rPr>
        <w:t>Raalte</w:t>
      </w:r>
      <w:proofErr w:type="spellEnd"/>
      <w:r>
        <w:rPr>
          <w:rFonts w:ascii="Times New Roman" w:eastAsia="Times New Roman" w:hAnsi="Times New Roman" w:cs="Times New Roman"/>
          <w:sz w:val="24"/>
          <w:szCs w:val="24"/>
        </w:rPr>
        <w:t xml:space="preserve"> &amp; Nepomuceno, 2020), algunos cálculos adicionales deben ser añadidos a este procedimiento para una representación adecuada del cambio</w:t>
      </w:r>
      <w:r w:rsidR="00096724">
        <w:rPr>
          <w:rFonts w:ascii="Times New Roman" w:eastAsia="Times New Roman" w:hAnsi="Times New Roman" w:cs="Times New Roman"/>
          <w:sz w:val="24"/>
          <w:szCs w:val="24"/>
        </w:rPr>
        <w:t xml:space="preserve"> por grupos de edad</w:t>
      </w:r>
      <w:r>
        <w:rPr>
          <w:rFonts w:ascii="Times New Roman" w:eastAsia="Times New Roman" w:hAnsi="Times New Roman" w:cs="Times New Roman"/>
          <w:sz w:val="24"/>
          <w:szCs w:val="24"/>
        </w:rPr>
        <w:t xml:space="preserve">. Es por eso que se utilizó un procedimiento de tipo más general, como el sugerido por </w:t>
      </w:r>
      <w:proofErr w:type="spellStart"/>
      <w:r>
        <w:rPr>
          <w:rFonts w:ascii="Times New Roman" w:eastAsia="Times New Roman" w:hAnsi="Times New Roman" w:cs="Times New Roman"/>
          <w:sz w:val="24"/>
          <w:szCs w:val="24"/>
        </w:rPr>
        <w:t>Andreev</w:t>
      </w:r>
      <w:proofErr w:type="spellEnd"/>
      <w:r>
        <w:rPr>
          <w:rFonts w:ascii="Times New Roman" w:eastAsia="Times New Roman" w:hAnsi="Times New Roman" w:cs="Times New Roman"/>
          <w:sz w:val="24"/>
          <w:szCs w:val="24"/>
        </w:rPr>
        <w:t xml:space="preserve"> et al. (2002). En este método, conocido como descomposición algorítmica de </w:t>
      </w:r>
      <w:proofErr w:type="spellStart"/>
      <w:r w:rsidRPr="00272099">
        <w:rPr>
          <w:rFonts w:ascii="Times New Roman" w:eastAsia="Times New Roman" w:hAnsi="Times New Roman" w:cs="Times New Roman"/>
          <w:i/>
          <w:sz w:val="24"/>
          <w:szCs w:val="24"/>
        </w:rPr>
        <w:t>stepwise</w:t>
      </w:r>
      <w:proofErr w:type="spellEnd"/>
      <w:r w:rsidRPr="00272099">
        <w:rPr>
          <w:rFonts w:ascii="Times New Roman" w:eastAsia="Times New Roman" w:hAnsi="Times New Roman" w:cs="Times New Roman"/>
          <w:i/>
          <w:sz w:val="24"/>
          <w:szCs w:val="24"/>
        </w:rPr>
        <w:t xml:space="preserve"> </w:t>
      </w:r>
      <w:proofErr w:type="spellStart"/>
      <w:r w:rsidRPr="00272099">
        <w:rPr>
          <w:rFonts w:ascii="Times New Roman" w:eastAsia="Times New Roman" w:hAnsi="Times New Roman" w:cs="Times New Roman"/>
          <w:i/>
          <w:sz w:val="24"/>
          <w:szCs w:val="24"/>
        </w:rPr>
        <w:t>replacement</w:t>
      </w:r>
      <w:proofErr w:type="spellEnd"/>
      <w:r>
        <w:rPr>
          <w:rFonts w:ascii="Times New Roman" w:eastAsia="Times New Roman" w:hAnsi="Times New Roman" w:cs="Times New Roman"/>
          <w:sz w:val="24"/>
          <w:szCs w:val="24"/>
        </w:rPr>
        <w:t xml:space="preserve">, la diferencia entre dos EVS (o cualquier otro indicador agregado) también resulta de la suma de dos componentes de mortalidad y morbilidad. El componente de mortalidad explicaría cuanto del cambio se debió al incremento de la EV20, y en el de morbilidad a la condición de salud en particular. </w:t>
      </w:r>
      <w:r w:rsidR="00280AF5">
        <w:rPr>
          <w:rFonts w:ascii="Times New Roman" w:eastAsia="Times New Roman" w:hAnsi="Times New Roman" w:cs="Times New Roman"/>
          <w:sz w:val="24"/>
          <w:szCs w:val="24"/>
        </w:rPr>
        <w:t xml:space="preserve">A final de este </w:t>
      </w:r>
      <w:r w:rsidR="0039227C">
        <w:rPr>
          <w:rFonts w:ascii="Times New Roman" w:eastAsia="Times New Roman" w:hAnsi="Times New Roman" w:cs="Times New Roman"/>
          <w:sz w:val="24"/>
          <w:szCs w:val="24"/>
        </w:rPr>
        <w:t>apartado</w:t>
      </w:r>
      <w:r w:rsidR="00280A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también </w:t>
      </w:r>
      <w:r w:rsidR="00280AF5">
        <w:rPr>
          <w:rFonts w:ascii="Times New Roman" w:eastAsia="Times New Roman" w:hAnsi="Times New Roman" w:cs="Times New Roman"/>
          <w:sz w:val="24"/>
          <w:szCs w:val="24"/>
        </w:rPr>
        <w:t>se encuentra</w:t>
      </w:r>
      <w:r>
        <w:rPr>
          <w:rFonts w:ascii="Times New Roman" w:eastAsia="Times New Roman" w:hAnsi="Times New Roman" w:cs="Times New Roman"/>
          <w:sz w:val="24"/>
          <w:szCs w:val="24"/>
        </w:rPr>
        <w:t xml:space="preserve"> </w:t>
      </w:r>
      <w:r w:rsidRPr="00BA3050">
        <w:rPr>
          <w:rFonts w:ascii="Times New Roman" w:eastAsia="Times New Roman" w:hAnsi="Times New Roman" w:cs="Times New Roman"/>
          <w:sz w:val="24"/>
          <w:szCs w:val="24"/>
        </w:rPr>
        <w:t xml:space="preserve">la forma final de este </w:t>
      </w:r>
      <w:r w:rsidR="00D3168A" w:rsidRPr="00BA3050">
        <w:rPr>
          <w:rFonts w:ascii="Times New Roman" w:eastAsia="Times New Roman" w:hAnsi="Times New Roman" w:cs="Times New Roman"/>
          <w:sz w:val="24"/>
          <w:szCs w:val="24"/>
        </w:rPr>
        <w:t>procedimiento</w:t>
      </w:r>
      <w:r w:rsidR="00280AF5" w:rsidRPr="00BA3050">
        <w:rPr>
          <w:rFonts w:ascii="Times New Roman" w:eastAsia="Times New Roman" w:hAnsi="Times New Roman" w:cs="Times New Roman"/>
          <w:sz w:val="24"/>
          <w:szCs w:val="24"/>
        </w:rPr>
        <w:t xml:space="preserve">, aunque se recomienda consultar a </w:t>
      </w:r>
      <w:proofErr w:type="spellStart"/>
      <w:r w:rsidR="00280AF5" w:rsidRPr="00BA3050">
        <w:rPr>
          <w:rFonts w:ascii="Times New Roman" w:eastAsia="Times New Roman" w:hAnsi="Times New Roman" w:cs="Times New Roman"/>
          <w:sz w:val="24"/>
          <w:szCs w:val="24"/>
        </w:rPr>
        <w:t>Andreev</w:t>
      </w:r>
      <w:proofErr w:type="spellEnd"/>
      <w:r w:rsidR="00280AF5" w:rsidRPr="00BA3050">
        <w:rPr>
          <w:rFonts w:ascii="Times New Roman" w:eastAsia="Times New Roman" w:hAnsi="Times New Roman" w:cs="Times New Roman"/>
          <w:sz w:val="24"/>
          <w:szCs w:val="24"/>
        </w:rPr>
        <w:t xml:space="preserve"> et. al (2002)</w:t>
      </w:r>
      <w:r w:rsidR="0039227C" w:rsidRPr="00BA3050">
        <w:rPr>
          <w:rFonts w:ascii="Times New Roman" w:eastAsia="Times New Roman" w:hAnsi="Times New Roman" w:cs="Times New Roman"/>
          <w:sz w:val="24"/>
          <w:szCs w:val="24"/>
        </w:rPr>
        <w:t xml:space="preserve"> o </w:t>
      </w:r>
      <w:r w:rsidR="0039227C" w:rsidRPr="00BA3050">
        <w:rPr>
          <w:rFonts w:ascii="Times New Roman" w:eastAsia="Times New Roman" w:hAnsi="Times New Roman" w:cs="Times New Roman"/>
          <w:noProof/>
          <w:sz w:val="24"/>
          <w:szCs w:val="24"/>
          <w:lang w:val="es-ES" w:eastAsia="es-ES"/>
        </w:rPr>
        <w:t>Shkolnikov &amp; Andreev (2017)</w:t>
      </w:r>
      <w:r w:rsidR="00280AF5" w:rsidRPr="00BA3050">
        <w:rPr>
          <w:rFonts w:ascii="Times New Roman" w:eastAsia="Times New Roman" w:hAnsi="Times New Roman" w:cs="Times New Roman"/>
          <w:sz w:val="24"/>
          <w:szCs w:val="24"/>
        </w:rPr>
        <w:t xml:space="preserve"> para una demostración</w:t>
      </w:r>
      <w:r w:rsidR="00D3168A">
        <w:rPr>
          <w:rFonts w:ascii="Times New Roman" w:eastAsia="Times New Roman" w:hAnsi="Times New Roman" w:cs="Times New Roman"/>
          <w:sz w:val="24"/>
          <w:szCs w:val="24"/>
        </w:rPr>
        <w:t xml:space="preserve"> matemática completa</w:t>
      </w:r>
      <w:r w:rsidRPr="00BA3050">
        <w:rPr>
          <w:rFonts w:ascii="Times New Roman" w:eastAsia="Times New Roman" w:hAnsi="Times New Roman" w:cs="Times New Roman"/>
          <w:sz w:val="24"/>
          <w:szCs w:val="24"/>
        </w:rPr>
        <w:t>.</w:t>
      </w:r>
    </w:p>
    <w:p w:rsidR="00272099" w:rsidRPr="00272099" w:rsidRDefault="00272099"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Esta técnica de descomposición se encuentra integrada en el paquete </w:t>
      </w:r>
      <w:proofErr w:type="spellStart"/>
      <w:r>
        <w:rPr>
          <w:rFonts w:ascii="Times New Roman" w:eastAsia="Times New Roman" w:hAnsi="Times New Roman" w:cs="Times New Roman"/>
          <w:i/>
          <w:sz w:val="24"/>
          <w:szCs w:val="24"/>
        </w:rPr>
        <w:t>DemoDecomp</w:t>
      </w:r>
      <w:proofErr w:type="spellEnd"/>
      <w:r>
        <w:rPr>
          <w:rFonts w:ascii="Times New Roman" w:eastAsia="Times New Roman" w:hAnsi="Times New Roman" w:cs="Times New Roman"/>
          <w:sz w:val="24"/>
          <w:szCs w:val="24"/>
        </w:rPr>
        <w:t>, también disponible de forma gratuita en el software libre R (</w:t>
      </w:r>
      <w:proofErr w:type="spellStart"/>
      <w:r>
        <w:rPr>
          <w:rFonts w:ascii="Times New Roman" w:eastAsia="Times New Roman" w:hAnsi="Times New Roman" w:cs="Times New Roman"/>
          <w:sz w:val="24"/>
          <w:szCs w:val="24"/>
        </w:rPr>
        <w:t>Riffe</w:t>
      </w:r>
      <w:proofErr w:type="spellEnd"/>
      <w:r>
        <w:rPr>
          <w:rFonts w:ascii="Times New Roman" w:eastAsia="Times New Roman" w:hAnsi="Times New Roman" w:cs="Times New Roman"/>
          <w:sz w:val="24"/>
          <w:szCs w:val="24"/>
        </w:rPr>
        <w:t xml:space="preserve">, 2018), con el comando de descomposición </w:t>
      </w:r>
      <w:proofErr w:type="spellStart"/>
      <w:r>
        <w:rPr>
          <w:rFonts w:ascii="Times New Roman" w:eastAsia="Times New Roman" w:hAnsi="Times New Roman" w:cs="Times New Roman"/>
          <w:i/>
          <w:sz w:val="24"/>
          <w:szCs w:val="24"/>
        </w:rPr>
        <w:t>stepwise</w:t>
      </w:r>
      <w:proofErr w:type="spellEnd"/>
      <w:r w:rsidR="00AF3990">
        <w:rPr>
          <w:rFonts w:ascii="Times New Roman" w:eastAsia="Times New Roman" w:hAnsi="Times New Roman" w:cs="Times New Roman"/>
          <w:sz w:val="24"/>
          <w:szCs w:val="24"/>
        </w:rPr>
        <w:t xml:space="preserve">. Se han calculado las diferencias para los períodos 2005-2009, 2009-2013 y 2013-2018, para cada componente y por grupos quinquenales de edad. Como es habitual en estos análisis, sólo se descompuso el valor medio en una diferencia </w:t>
      </w:r>
      <w:r w:rsidR="00AF3990">
        <w:rPr>
          <w:rFonts w:ascii="Times New Roman" w:eastAsia="Times New Roman" w:hAnsi="Times New Roman" w:cs="Times New Roman"/>
          <w:sz w:val="24"/>
          <w:szCs w:val="24"/>
          <w:lang w:eastAsia="es-ES"/>
        </w:rPr>
        <w:fldChar w:fldCharType="begin" w:fldLock="1"/>
      </w:r>
      <w:r w:rsidR="00AF3990" w:rsidRPr="00AF3990">
        <w:rPr>
          <w:rFonts w:ascii="Times New Roman" w:eastAsia="Times New Roman" w:hAnsi="Times New Roman" w:cs="Times New Roman"/>
          <w:sz w:val="24"/>
          <w:szCs w:val="24"/>
          <w:lang w:val="es-ES" w:eastAsia="es-ES"/>
        </w:rPr>
        <w:instrText>ADDIN CSL_CITATION {"citationItems":[{"id":"ITEM-1","itemData":{"DOI":"10.1353/dem.2004.0017","ISSN":"00703370","PMID":"15209043","abstract":"Health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Netherlands.","author":[{"dropping-particle":"","family":"Nusselder","given":"Wilma J.","non-dropping-particle":"","parse-names":false,"suffix":""},{"dropping-particle":"","family":"Looman","given":"Casper W.N.","non-dropping-particle":"","parse-names":false,"suffix":""}],"container-title":"Demography","id":"ITEM-1","issue":"2","issued":{"date-parts":[["2004"]]},"page":"315-334","publisher":"Duke University Press","title":"Decomposition of differences in health expectancy by cause","type":"article-journal","volume":"41"},"uris":["http://www.mendeley.com/documents/?uuid=8e4a8127-33df-31eb-883e-49f82298f0d3"]},{"id":"ITEM-2","itemData":{"DOI":"10.24095/HPCDP.36.10.01","ISSN":"2368738X","PMID":"27768557","abstract":"Introduction: Few studies have evaluated the impact of depression in terms of losses to both premature mortality and health-related quality of life (HRQOL) on the overall population. Health-adjusted life expectancy (HALE) is a summary measure of population health that combines both morbidity</w:instrText>
      </w:r>
      <w:r w:rsidR="00AF3990">
        <w:rPr>
          <w:rFonts w:ascii="Times New Roman" w:eastAsia="Times New Roman" w:hAnsi="Times New Roman" w:cs="Times New Roman"/>
          <w:sz w:val="24"/>
          <w:szCs w:val="24"/>
          <w:lang w:eastAsia="es-ES"/>
        </w:rPr>
        <w:instrText xml:space="preserve"> and mortality into a single summary statistic that describes the current health status of a population. Methods: We estimated HALE for the Canadian adult population according to depression status. National Population Health Survey (NPHS) participants 20 years and older (n = 12 373) were followed for mortality outcomes from 1994 to 2009, based on depression status. Depression was defined as having likely experienced a major depressive episode in the previous year as measured by the Composite International Diagnostic Interview Short Form. Life expectancy was estimated by building period abridged life tables by sex and depression status using the relative risks of mortality from the NPHS and mortality data from the Canadian Chronic Disease Surveillance System (2007-2009). The Canadian Community Health Survey (2009/10) provided estimates of depression prevalence and Health Utilities Index as a measure of HRQOL. Using the combined mortality, depression prevalence and HRQOL estimates, HALE was estimated for the adult population according to depression status and by sex. Results: For the population of women with a recent major depressive episode, HALE at 20 years of age was 42.0 years (95% CI: 40.2-43.8) compared to 57.0 years (95% CI: 56.8-57.2) for women without a recent major depressive episode. For the population of Canadian men, HALE at 20 was 39.0 years (95% CI: 36.5-41.5) for those with a recent major depressive episode compared to 53.8 years (95% CI: 53.6-54.0) for those without. For the 15.0-year difference in HALE between women with and without depression, 12.3 years can be attributed to the HRQOL gap and the remaining 2.7 years to the mortality gap. The 14.8 fewer years of HALE observed for men with depression equated to a 13.0-year HRQOL gap and a 1.8-year mortality gap. Conclusion: The population of adult men and women with depression in Canada had substantially lower healthy life expectancy than those without depression. Much of this gap is explained by lower levels of HRQOL, but premature mortality also plays a role.","author":[{"dropping-particle":"","family":"Steensma","given":"C.","non-dropping-particle":"","parse-names":false,"suffix":""},{"dropping-particle":"","family":"Loukine","given":"L.","non-dropping-particle":"","parse-names":false,"suffix":""},{"dropping-particle":"","family":"Orpana","given":"H.","non-dropping-particle":"","parse-names":false,"suffix":""},{"dropping-particle":"","family":"McRae","given":"L.","non-dropping-particle":"","parse-names":false,"suffix":""},{"dropping-particle":"","family":"Vachon","given":"J.","non-dropping-particle":"","parse-names":false,"suffix":""},{"dropping-particle":"","family":"Mo","given":"F.","non-dropping-particle":"","parse-names":false,"suffix":""},{"dropping-particle":"","family":"Boileau-Falardeau","given":"M.","non-dropping-particle":"","parse-names":false,"suffix":""},{"dropping-particle":"","family":"Reid","given":"C.","non-dropping-particle":"","parse-names":false,"suffix":""},{"dropping-particle":"","family":"Choi","given":"Bernard C.","non-dropping-particle":"","parse-names":false,"suffix":""}],"container-title":"Health Promotion and Chronic Disease Prevention in Canada","id":</w:instrText>
      </w:r>
      <w:r w:rsidR="00AF3990" w:rsidRPr="00D3168A">
        <w:rPr>
          <w:rFonts w:ascii="Times New Roman" w:eastAsia="Times New Roman" w:hAnsi="Times New Roman" w:cs="Times New Roman"/>
          <w:sz w:val="24"/>
          <w:szCs w:val="24"/>
          <w:lang w:val="es-ES" w:eastAsia="es-ES"/>
        </w:rPr>
        <w:instrText>"ITEM-2","issue":"10","issued":{"date-parts":[["2016","10","1"]]},"page":"205-213","publisher":"Public Health Agency of Canada","title":"Describing the population health burden of depression: Health-adjusted life expectancy by depression status in Canada","type":"article-journal","volume":"36"},"uris":["http://www.mendeley.com/documents/?uuid=ca43c248-8607-3d37-9b85-f7d95bd21b10"]},{"id":"ITEM-3","itemData":{"DOI":"10.1007/978-3-030-37668-0_7","author":[{"dropping-particle":"","family":"Raalte","given":"Alyson A.","non-dropping-particle":"van","parse-names":false,"suffix":""},{"dropping-particle":"","family":"Nepomuceno","given":"Marília R.","non-dropping-particle":"","parse-names":false,"suffix":""}],"container-title":"International Handbooks of Population","id":"ITEM-3","issued":{"date-parts":[["2020"]]},"page":"107-122","publisher":"Springer, Cham","title":"Decomposing Gaps in Healthy Life Expectancy","type":"chapter","volume":"9"},"uris":["http://www.mendeley.com/documents/?uuid=f04a8d4e-b39a-3d5a-86f5-a4aef03dce75"]}],"mendeley":{"formattedCitation":"(Nusselder &amp; Looman, 2004; Steensma et al., 2016; van Raalte &amp; Nepomuceno, 2020)","plainTextFormattedCitation":"(Nusselder &amp; Looman, 2004; Steensma et al., 2016; van Raalte &amp; Nepomuceno, 2020)","previouslyFormattedCitation":"(Nusselder &amp; Looman, 2004; Steensma et al., 2016; van Raalte &amp; Nepomuceno, 2020)"},"properties":{"noteIndex":0},"schema":"https://github.com/citation-style-language/schema/raw/master/csl-citation.json"}</w:instrText>
      </w:r>
      <w:r w:rsidR="00AF3990">
        <w:rPr>
          <w:rFonts w:ascii="Times New Roman" w:eastAsia="Times New Roman" w:hAnsi="Times New Roman" w:cs="Times New Roman"/>
          <w:sz w:val="24"/>
          <w:szCs w:val="24"/>
          <w:lang w:eastAsia="es-ES"/>
        </w:rPr>
        <w:fldChar w:fldCharType="separate"/>
      </w:r>
      <w:r w:rsidR="00AF3990" w:rsidRPr="00D3168A">
        <w:rPr>
          <w:rFonts w:ascii="Times New Roman" w:eastAsia="Times New Roman" w:hAnsi="Times New Roman" w:cs="Times New Roman"/>
          <w:noProof/>
          <w:sz w:val="24"/>
          <w:szCs w:val="24"/>
          <w:lang w:val="es-ES" w:eastAsia="es-ES"/>
        </w:rPr>
        <w:t>(Nusselder &amp; Looman, 2004; Steensma et al., 2016; van Raalte &amp; Nepomuceno, 2020)</w:t>
      </w:r>
      <w:r w:rsidR="00AF3990">
        <w:rPr>
          <w:rFonts w:ascii="Times New Roman" w:eastAsia="Times New Roman" w:hAnsi="Times New Roman" w:cs="Times New Roman"/>
          <w:sz w:val="24"/>
          <w:szCs w:val="24"/>
          <w:lang w:eastAsia="es-ES"/>
        </w:rPr>
        <w:fldChar w:fldCharType="end"/>
      </w:r>
      <w:r w:rsidR="00AF3990" w:rsidRPr="00D3168A">
        <w:rPr>
          <w:rFonts w:ascii="Times New Roman" w:eastAsia="Times New Roman" w:hAnsi="Times New Roman" w:cs="Times New Roman"/>
          <w:sz w:val="24"/>
          <w:szCs w:val="24"/>
          <w:lang w:val="es-ES" w:eastAsia="es-ES"/>
        </w:rPr>
        <w:t>.</w:t>
      </w:r>
    </w:p>
    <w:p w:rsidR="00272099" w:rsidRDefault="00272099" w:rsidP="000B0737">
      <w:pPr>
        <w:shd w:val="clear" w:color="auto" w:fill="FDFDFD"/>
        <w:spacing w:after="0" w:line="360" w:lineRule="auto"/>
        <w:jc w:val="both"/>
        <w:rPr>
          <w:rFonts w:ascii="Times New Roman" w:eastAsia="Times New Roman" w:hAnsi="Times New Roman" w:cs="Times New Roman"/>
          <w:sz w:val="24"/>
          <w:szCs w:val="24"/>
        </w:rPr>
      </w:pPr>
    </w:p>
    <w:p w:rsidR="0039227C" w:rsidRPr="00BA3050" w:rsidRDefault="0039227C" w:rsidP="0039227C">
      <w:pPr>
        <w:spacing w:line="480" w:lineRule="auto"/>
        <w:jc w:val="both"/>
        <w:rPr>
          <w:rFonts w:ascii="Times New Roman" w:eastAsia="Times New Roman" w:hAnsi="Times New Roman" w:cs="Times New Roman"/>
          <w:i/>
          <w:sz w:val="24"/>
          <w:szCs w:val="24"/>
          <w:lang w:val="es-ES" w:eastAsia="es-ES"/>
        </w:rPr>
      </w:pPr>
      <w:r w:rsidRPr="00BA3050">
        <w:rPr>
          <w:rFonts w:ascii="Times New Roman" w:eastAsia="Times New Roman" w:hAnsi="Times New Roman" w:cs="Times New Roman"/>
          <w:i/>
          <w:sz w:val="24"/>
          <w:szCs w:val="24"/>
          <w:lang w:val="es-ES" w:eastAsia="es-ES"/>
        </w:rPr>
        <w:t>En el cálculo de Esperanzas de Vida Saludable con el Método Sullivan:</w:t>
      </w:r>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 xml:space="preserve">El método Sullivan es quizás la manera más sencilla y directa de estimar una EVS (o EVLTAD20, en este caso). Como se mencionó previamente, necesita una tabla de vida (completa o resumida) y datos transversales de prevalencia de una condición dada. Hemos seguido el procedimiento de Jagger et al. (2006) para presentar esta técnica. </w:t>
      </w:r>
    </w:p>
    <w:p w:rsidR="0039227C" w:rsidRPr="00BA3050" w:rsidRDefault="0039227C" w:rsidP="00B068ED">
      <w:pPr>
        <w:spacing w:line="360" w:lineRule="auto"/>
        <w:jc w:val="both"/>
        <w:rPr>
          <w:rFonts w:ascii="Times New Roman" w:hAnsi="Times New Roman" w:cs="Times New Roman"/>
          <w:bCs/>
          <w:sz w:val="24"/>
          <w:szCs w:val="24"/>
          <w:shd w:val="clear" w:color="auto" w:fill="FFFFFF"/>
          <w:lang w:val="es-ES"/>
        </w:rPr>
      </w:pPr>
      <w:r w:rsidRPr="00BA3050">
        <w:rPr>
          <w:rFonts w:ascii="Times New Roman" w:eastAsia="Times New Roman" w:hAnsi="Times New Roman" w:cs="Times New Roman"/>
          <w:sz w:val="24"/>
          <w:szCs w:val="24"/>
          <w:lang w:val="es-ES" w:eastAsia="es-ES"/>
        </w:rPr>
        <w:t>En primer lugar, es necesario obtener la prevalencia (</w:t>
      </w:r>
      <w:r w:rsidRPr="00BA3050">
        <w:rPr>
          <w:rFonts w:ascii="Times New Roman" w:hAnsi="Times New Roman" w:cs="Times New Roman"/>
          <w:bCs/>
          <w:sz w:val="24"/>
          <w:szCs w:val="24"/>
          <w:shd w:val="clear" w:color="auto" w:fill="FFFFFF"/>
        </w:rPr>
        <w:t>π</w:t>
      </w:r>
      <w:r w:rsidRPr="00BA3050">
        <w:rPr>
          <w:rFonts w:ascii="Times New Roman" w:hAnsi="Times New Roman" w:cs="Times New Roman"/>
          <w:bCs/>
          <w:sz w:val="24"/>
          <w:szCs w:val="24"/>
          <w:shd w:val="clear" w:color="auto" w:fill="FFFFFF"/>
          <w:lang w:val="es-ES"/>
        </w:rPr>
        <w:t xml:space="preserve">). Si </w:t>
      </w:r>
      <w:r w:rsidRPr="00BA3050">
        <w:rPr>
          <w:rFonts w:ascii="Times New Roman" w:hAnsi="Times New Roman" w:cs="Times New Roman"/>
          <w:bCs/>
          <w:sz w:val="24"/>
          <w:szCs w:val="24"/>
          <w:shd w:val="clear" w:color="auto" w:fill="FFFFFF"/>
        </w:rPr>
        <w:t>π</w:t>
      </w:r>
      <w:r w:rsidRPr="00BA3050">
        <w:rPr>
          <w:rFonts w:ascii="Times New Roman" w:hAnsi="Times New Roman" w:cs="Times New Roman"/>
          <w:bCs/>
          <w:sz w:val="24"/>
          <w:szCs w:val="24"/>
          <w:shd w:val="clear" w:color="auto" w:fill="FFFFFF"/>
          <w:lang w:val="es-ES"/>
        </w:rPr>
        <w:t xml:space="preserve"> representa la </w:t>
      </w:r>
      <w:r w:rsidR="00127C9C" w:rsidRPr="00BA3050">
        <w:rPr>
          <w:rFonts w:ascii="Times New Roman" w:hAnsi="Times New Roman" w:cs="Times New Roman"/>
          <w:bCs/>
          <w:sz w:val="24"/>
          <w:szCs w:val="24"/>
          <w:shd w:val="clear" w:color="auto" w:fill="FFFFFF"/>
          <w:lang w:val="es-ES"/>
        </w:rPr>
        <w:t>proporción</w:t>
      </w:r>
      <w:r w:rsidRPr="00BA3050">
        <w:rPr>
          <w:rFonts w:ascii="Times New Roman" w:hAnsi="Times New Roman" w:cs="Times New Roman"/>
          <w:bCs/>
          <w:sz w:val="24"/>
          <w:szCs w:val="24"/>
          <w:shd w:val="clear" w:color="auto" w:fill="FFFFFF"/>
          <w:lang w:val="es-ES"/>
        </w:rPr>
        <w:t xml:space="preserve"> de un grupo de edad determinado que presenta dicha condición, (1- </w:t>
      </w:r>
      <w:r w:rsidRPr="00BA3050">
        <w:rPr>
          <w:rFonts w:ascii="Times New Roman" w:hAnsi="Times New Roman" w:cs="Times New Roman"/>
          <w:bCs/>
          <w:sz w:val="24"/>
          <w:szCs w:val="24"/>
          <w:shd w:val="clear" w:color="auto" w:fill="FFFFFF"/>
        </w:rPr>
        <w:t>π</w:t>
      </w:r>
      <w:r w:rsidRPr="00BA3050">
        <w:rPr>
          <w:rFonts w:ascii="Times New Roman" w:hAnsi="Times New Roman" w:cs="Times New Roman"/>
          <w:bCs/>
          <w:sz w:val="24"/>
          <w:szCs w:val="24"/>
          <w:shd w:val="clear" w:color="auto" w:fill="FFFFFF"/>
          <w:lang w:val="es-ES"/>
        </w:rPr>
        <w:t xml:space="preserve">) debiera representar la proporción de individuos que no se encuentran afectados por la misma.  </w:t>
      </w:r>
      <w:r w:rsidR="00127C9C" w:rsidRPr="00BA3050">
        <w:rPr>
          <w:rFonts w:ascii="Times New Roman" w:hAnsi="Times New Roman" w:cs="Times New Roman"/>
          <w:bCs/>
          <w:sz w:val="24"/>
          <w:szCs w:val="24"/>
          <w:shd w:val="clear" w:color="auto" w:fill="FFFFFF"/>
          <w:lang w:val="es-ES"/>
        </w:rPr>
        <w:t>Multiplicando</w:t>
      </w:r>
      <w:r w:rsidRPr="00BA3050">
        <w:rPr>
          <w:rFonts w:ascii="Times New Roman" w:hAnsi="Times New Roman" w:cs="Times New Roman"/>
          <w:bCs/>
          <w:sz w:val="24"/>
          <w:szCs w:val="24"/>
          <w:shd w:val="clear" w:color="auto" w:fill="FFFFFF"/>
          <w:lang w:val="es-ES"/>
        </w:rPr>
        <w:t xml:space="preserve"> esta </w:t>
      </w:r>
      <w:r w:rsidRPr="00BA3050">
        <w:rPr>
          <w:rFonts w:ascii="Times New Roman" w:hAnsi="Times New Roman" w:cs="Times New Roman"/>
          <w:bCs/>
          <w:sz w:val="24"/>
          <w:szCs w:val="24"/>
          <w:shd w:val="clear" w:color="auto" w:fill="FFFFFF"/>
          <w:lang w:val="es-ES"/>
        </w:rPr>
        <w:lastRenderedPageBreak/>
        <w:t xml:space="preserve">cantidad por la función </w:t>
      </w:r>
      <w:proofErr w:type="gramStart"/>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 xml:space="preserve">x </w:t>
      </w:r>
      <w:r w:rsidRPr="00BA3050">
        <w:rPr>
          <w:rFonts w:ascii="Times New Roman" w:hAnsi="Times New Roman" w:cs="Times New Roman"/>
          <w:bCs/>
          <w:sz w:val="24"/>
          <w:szCs w:val="24"/>
          <w:shd w:val="clear" w:color="auto" w:fill="FFFFFF"/>
          <w:lang w:val="es-ES"/>
        </w:rPr>
        <w:t xml:space="preserve"> en</w:t>
      </w:r>
      <w:proofErr w:type="gramEnd"/>
      <w:r w:rsidRPr="00BA3050">
        <w:rPr>
          <w:rFonts w:ascii="Times New Roman" w:hAnsi="Times New Roman" w:cs="Times New Roman"/>
          <w:bCs/>
          <w:sz w:val="24"/>
          <w:szCs w:val="24"/>
          <w:shd w:val="clear" w:color="auto" w:fill="FFFFFF"/>
          <w:lang w:val="es-ES"/>
        </w:rPr>
        <w:t xml:space="preserve"> una table de vida (que representa los años-persona vividos en un intervalo dado), se dispone de una aproximación a los años persona vividos sin dicha condición en el intervalo  o </w:t>
      </w:r>
      <w:proofErr w:type="spellStart"/>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hAnsi="Times New Roman" w:cs="Times New Roman"/>
          <w:bCs/>
          <w:sz w:val="24"/>
          <w:szCs w:val="24"/>
          <w:shd w:val="clear" w:color="auto" w:fill="FFFFFF"/>
          <w:lang w:val="es-ES"/>
        </w:rPr>
        <w:t>, (1):</w:t>
      </w:r>
    </w:p>
    <w:p w:rsidR="0039227C" w:rsidRPr="00BA3050" w:rsidRDefault="0039227C" w:rsidP="00B068ED">
      <w:pPr>
        <w:spacing w:line="360" w:lineRule="auto"/>
        <w:jc w:val="center"/>
        <w:rPr>
          <w:rFonts w:ascii="Times New Roman" w:hAnsi="Times New Roman" w:cs="Times New Roman"/>
          <w:bCs/>
          <w:sz w:val="24"/>
          <w:szCs w:val="24"/>
          <w:shd w:val="clear" w:color="auto" w:fill="FFFFFF"/>
          <w:vertAlign w:val="subscript"/>
          <w:lang w:val="es-ES"/>
        </w:rPr>
      </w:pPr>
      <w:r w:rsidRPr="00BA3050">
        <w:rPr>
          <w:rFonts w:ascii="Times New Roman" w:hAnsi="Times New Roman" w:cs="Times New Roman"/>
          <w:bCs/>
          <w:sz w:val="24"/>
          <w:szCs w:val="24"/>
          <w:shd w:val="clear" w:color="auto" w:fill="FFFFFF"/>
          <w:lang w:val="es-ES"/>
        </w:rPr>
        <w:t>(1)</w:t>
      </w:r>
      <w:r w:rsidRPr="00BA3050">
        <w:rPr>
          <w:rFonts w:ascii="Times New Roman" w:hAnsi="Times New Roman" w:cs="Times New Roman"/>
          <w:bCs/>
          <w:sz w:val="24"/>
          <w:szCs w:val="24"/>
          <w:shd w:val="clear" w:color="auto" w:fill="FFFFFF"/>
          <w:vertAlign w:val="subscript"/>
          <w:lang w:val="es-ES"/>
        </w:rPr>
        <w:t xml:space="preserve"> </w:t>
      </w:r>
      <w:proofErr w:type="spellStart"/>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hAnsi="Times New Roman" w:cs="Times New Roman"/>
          <w:bCs/>
          <w:sz w:val="24"/>
          <w:szCs w:val="24"/>
          <w:shd w:val="clear" w:color="auto" w:fill="FFFFFF"/>
          <w:lang w:val="es-ES"/>
        </w:rPr>
        <w:t xml:space="preserve"> = (1- </w:t>
      </w:r>
      <w:r w:rsidRPr="00BA3050">
        <w:rPr>
          <w:rFonts w:ascii="Times New Roman" w:hAnsi="Times New Roman" w:cs="Times New Roman"/>
          <w:bCs/>
          <w:sz w:val="24"/>
          <w:szCs w:val="24"/>
          <w:shd w:val="clear" w:color="auto" w:fill="FFFFFF"/>
        </w:rPr>
        <w:t>π</w:t>
      </w:r>
      <w:r w:rsidRPr="00BA3050">
        <w:rPr>
          <w:rFonts w:ascii="Times New Roman" w:hAnsi="Times New Roman" w:cs="Times New Roman"/>
          <w:bCs/>
          <w:sz w:val="24"/>
          <w:szCs w:val="24"/>
          <w:shd w:val="clear" w:color="auto" w:fill="FFFFFF"/>
          <w:lang w:val="es-ES"/>
        </w:rPr>
        <w:t xml:space="preserve">) * </w:t>
      </w:r>
      <w:proofErr w:type="spellStart"/>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x</w:t>
      </w:r>
      <w:proofErr w:type="spellEnd"/>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 xml:space="preserve">Para estimar el total de años vivido sin la condición </w:t>
      </w:r>
      <w:r w:rsidRPr="00BA3050">
        <w:rPr>
          <w:rFonts w:ascii="Times New Roman" w:hAnsi="Times New Roman" w:cs="Times New Roman"/>
          <w:bCs/>
          <w:sz w:val="24"/>
          <w:szCs w:val="24"/>
          <w:shd w:val="clear" w:color="auto" w:fill="FFFFFF"/>
        </w:rPr>
        <w:t>π</w:t>
      </w:r>
      <w:r w:rsidRPr="00BA3050">
        <w:rPr>
          <w:rFonts w:ascii="Times New Roman" w:hAnsi="Times New Roman" w:cs="Times New Roman"/>
          <w:bCs/>
          <w:sz w:val="24"/>
          <w:szCs w:val="24"/>
          <w:shd w:val="clear" w:color="auto" w:fill="FFFFFF"/>
          <w:lang w:val="es-ES"/>
        </w:rPr>
        <w:t xml:space="preserve"> (</w:t>
      </w:r>
      <w:proofErr w:type="spellStart"/>
      <w:r w:rsidRPr="00BA3050">
        <w:rPr>
          <w:rFonts w:ascii="Times New Roman" w:hAnsi="Times New Roman" w:cs="Times New Roman"/>
          <w:bCs/>
          <w:sz w:val="24"/>
          <w:szCs w:val="24"/>
          <w:shd w:val="clear" w:color="auto" w:fill="FFFFFF"/>
          <w:lang w:val="es-ES"/>
        </w:rPr>
        <w:t>T’</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eastAsia="Times New Roman" w:hAnsi="Times New Roman" w:cs="Times New Roman"/>
          <w:sz w:val="24"/>
          <w:szCs w:val="24"/>
          <w:lang w:val="es-ES" w:eastAsia="es-ES"/>
        </w:rPr>
        <w:t xml:space="preserve">), simplemente hacemos la suma acumulada reversa de las respectivas </w:t>
      </w:r>
      <w:proofErr w:type="spellStart"/>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eastAsia="Times New Roman" w:hAnsi="Times New Roman" w:cs="Times New Roman"/>
          <w:sz w:val="24"/>
          <w:szCs w:val="24"/>
          <w:lang w:val="es-ES" w:eastAsia="es-ES"/>
        </w:rPr>
        <w:t xml:space="preserve">, de manera </w:t>
      </w:r>
      <w:proofErr w:type="spellStart"/>
      <w:r w:rsidRPr="00BA3050">
        <w:rPr>
          <w:rFonts w:ascii="Times New Roman" w:eastAsia="Times New Roman" w:hAnsi="Times New Roman" w:cs="Times New Roman"/>
          <w:sz w:val="24"/>
          <w:szCs w:val="24"/>
          <w:lang w:val="es-ES" w:eastAsia="es-ES"/>
        </w:rPr>
        <w:t>análóga</w:t>
      </w:r>
      <w:proofErr w:type="spellEnd"/>
      <w:r w:rsidRPr="00BA3050">
        <w:rPr>
          <w:rFonts w:ascii="Times New Roman" w:eastAsia="Times New Roman" w:hAnsi="Times New Roman" w:cs="Times New Roman"/>
          <w:sz w:val="24"/>
          <w:szCs w:val="24"/>
          <w:lang w:val="es-ES" w:eastAsia="es-ES"/>
        </w:rPr>
        <w:t xml:space="preserve"> a una tabla de vida (2): </w:t>
      </w:r>
    </w:p>
    <w:p w:rsidR="0039227C" w:rsidRPr="00BA3050" w:rsidRDefault="0039227C" w:rsidP="00B068ED">
      <w:pPr>
        <w:spacing w:line="360" w:lineRule="auto"/>
        <w:jc w:val="center"/>
        <w:rPr>
          <w:rFonts w:ascii="Times New Roman" w:hAnsi="Times New Roman" w:cs="Times New Roman"/>
          <w:bCs/>
          <w:sz w:val="24"/>
          <w:szCs w:val="24"/>
          <w:shd w:val="clear" w:color="auto" w:fill="FFFFFF"/>
          <w:vertAlign w:val="subscript"/>
          <w:lang w:val="es-ES"/>
        </w:rPr>
      </w:pPr>
      <w:r w:rsidRPr="00BA3050">
        <w:rPr>
          <w:rFonts w:ascii="Times New Roman" w:hAnsi="Times New Roman" w:cs="Times New Roman"/>
          <w:bCs/>
          <w:sz w:val="24"/>
          <w:szCs w:val="24"/>
          <w:shd w:val="clear" w:color="auto" w:fill="FFFFFF"/>
          <w:lang w:val="es-ES"/>
        </w:rPr>
        <w:t>(2)</w:t>
      </w:r>
      <w:r w:rsidRPr="00BA3050">
        <w:rPr>
          <w:rFonts w:ascii="Times New Roman" w:hAnsi="Times New Roman" w:cs="Times New Roman"/>
          <w:bCs/>
          <w:sz w:val="24"/>
          <w:szCs w:val="24"/>
          <w:shd w:val="clear" w:color="auto" w:fill="FFFFFF"/>
          <w:vertAlign w:val="subscript"/>
          <w:lang w:val="es-ES"/>
        </w:rPr>
        <w:t xml:space="preserve"> </w:t>
      </w:r>
      <w:proofErr w:type="spellStart"/>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T’</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hAnsi="Times New Roman" w:cs="Times New Roman"/>
          <w:bCs/>
          <w:sz w:val="24"/>
          <w:szCs w:val="24"/>
          <w:shd w:val="clear" w:color="auto" w:fill="FFFFFF"/>
          <w:lang w:val="es-ES"/>
        </w:rPr>
        <w:t xml:space="preserve"> = ∑</w:t>
      </w:r>
      <w:proofErr w:type="gramStart"/>
      <w:r w:rsidRPr="00BA3050">
        <w:rPr>
          <w:rFonts w:ascii="Times New Roman" w:hAnsi="Times New Roman" w:cs="Times New Roman"/>
          <w:bCs/>
          <w:sz w:val="24"/>
          <w:szCs w:val="24"/>
          <w:shd w:val="clear" w:color="auto" w:fill="FFFFFF"/>
          <w:vertAlign w:val="subscript"/>
          <w:lang w:val="es-ES"/>
        </w:rPr>
        <w:t>x</w:t>
      </w:r>
      <w:r w:rsidRPr="00BA3050">
        <w:rPr>
          <w:rFonts w:ascii="Times New Roman" w:hAnsi="Times New Roman" w:cs="Times New Roman"/>
          <w:bCs/>
          <w:sz w:val="24"/>
          <w:szCs w:val="24"/>
          <w:shd w:val="clear" w:color="auto" w:fill="FFFFFF"/>
          <w:lang w:val="es-ES"/>
        </w:rPr>
        <w:t xml:space="preserve">  </w:t>
      </w:r>
      <w:proofErr w:type="spellStart"/>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x</w:t>
      </w:r>
      <w:proofErr w:type="spellEnd"/>
      <w:proofErr w:type="gramEnd"/>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Para obtener EVLTAD</w:t>
      </w:r>
      <w:r w:rsidR="00DD2808">
        <w:rPr>
          <w:rFonts w:ascii="Times New Roman" w:eastAsia="Times New Roman" w:hAnsi="Times New Roman" w:cs="Times New Roman"/>
          <w:sz w:val="24"/>
          <w:szCs w:val="24"/>
          <w:lang w:val="es-ES" w:eastAsia="es-ES"/>
        </w:rPr>
        <w:t xml:space="preserve"> a la edad x</w:t>
      </w:r>
      <w:r w:rsidRPr="00BA3050">
        <w:rPr>
          <w:rFonts w:ascii="Times New Roman" w:eastAsia="Times New Roman" w:hAnsi="Times New Roman" w:cs="Times New Roman"/>
          <w:sz w:val="24"/>
          <w:szCs w:val="24"/>
          <w:lang w:val="es-ES" w:eastAsia="es-ES"/>
        </w:rPr>
        <w:t xml:space="preserve"> (o </w:t>
      </w:r>
      <w:proofErr w:type="spellStart"/>
      <w:r w:rsidRPr="00BA3050">
        <w:rPr>
          <w:rFonts w:ascii="Times New Roman" w:eastAsia="Times New Roman" w:hAnsi="Times New Roman" w:cs="Times New Roman"/>
          <w:sz w:val="24"/>
          <w:szCs w:val="24"/>
          <w:lang w:val="es-ES" w:eastAsia="es-ES"/>
        </w:rPr>
        <w:t>e’</w:t>
      </w:r>
      <w:r w:rsidRPr="00BA3050">
        <w:rPr>
          <w:rFonts w:ascii="Times New Roman" w:eastAsia="Times New Roman" w:hAnsi="Times New Roman" w:cs="Times New Roman"/>
          <w:sz w:val="24"/>
          <w:szCs w:val="24"/>
          <w:vertAlign w:val="subscript"/>
          <w:lang w:val="es-ES" w:eastAsia="es-ES"/>
        </w:rPr>
        <w:t>x</w:t>
      </w:r>
      <w:proofErr w:type="spellEnd"/>
      <w:r w:rsidRPr="00BA3050">
        <w:rPr>
          <w:rFonts w:ascii="Times New Roman" w:eastAsia="Times New Roman" w:hAnsi="Times New Roman" w:cs="Times New Roman"/>
          <w:sz w:val="24"/>
          <w:szCs w:val="24"/>
          <w:lang w:val="es-ES" w:eastAsia="es-ES"/>
        </w:rPr>
        <w:t xml:space="preserve">), dividimos </w:t>
      </w:r>
      <w:proofErr w:type="spellStart"/>
      <w:r w:rsidRPr="00BA3050">
        <w:rPr>
          <w:rFonts w:ascii="Times New Roman" w:hAnsi="Times New Roman" w:cs="Times New Roman"/>
          <w:bCs/>
          <w:sz w:val="24"/>
          <w:szCs w:val="24"/>
          <w:shd w:val="clear" w:color="auto" w:fill="FFFFFF"/>
          <w:lang w:val="es-ES"/>
        </w:rPr>
        <w:t>T’</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eastAsia="Times New Roman" w:hAnsi="Times New Roman" w:cs="Times New Roman"/>
          <w:sz w:val="24"/>
          <w:szCs w:val="24"/>
          <w:lang w:val="es-ES" w:eastAsia="es-ES"/>
        </w:rPr>
        <w:t xml:space="preserve"> por el número de sobrevivientes a la edad determinada o l</w:t>
      </w:r>
      <w:r w:rsidRPr="00BA3050">
        <w:rPr>
          <w:rFonts w:ascii="Times New Roman" w:eastAsia="Times New Roman" w:hAnsi="Times New Roman" w:cs="Times New Roman"/>
          <w:sz w:val="24"/>
          <w:szCs w:val="24"/>
          <w:vertAlign w:val="subscript"/>
          <w:lang w:val="es-ES" w:eastAsia="es-ES"/>
        </w:rPr>
        <w:t>x</w:t>
      </w:r>
      <w:r w:rsidRPr="00BA3050">
        <w:rPr>
          <w:rFonts w:ascii="Times New Roman" w:eastAsia="Times New Roman" w:hAnsi="Times New Roman" w:cs="Times New Roman"/>
          <w:sz w:val="24"/>
          <w:szCs w:val="24"/>
          <w:lang w:val="es-ES" w:eastAsia="es-ES"/>
        </w:rPr>
        <w:t>, igual que en una tabla de vida (3):</w:t>
      </w:r>
    </w:p>
    <w:p w:rsidR="0039227C" w:rsidRPr="00BA3050" w:rsidRDefault="00127C9C" w:rsidP="00B068ED">
      <w:pPr>
        <w:spacing w:line="360" w:lineRule="auto"/>
        <w:jc w:val="center"/>
        <w:rPr>
          <w:rFonts w:ascii="Times New Roman" w:eastAsia="Times New Roman" w:hAnsi="Times New Roman" w:cs="Times New Roman"/>
          <w:sz w:val="24"/>
          <w:szCs w:val="24"/>
          <w:lang w:val="es-ES" w:eastAsia="es-ES"/>
        </w:rPr>
      </w:pPr>
      <m:oMath>
        <m:sSup>
          <m:sSupPr>
            <m:ctrlPr>
              <w:rPr>
                <w:rFonts w:ascii="Cambria Math" w:eastAsia="Times New Roman" w:hAnsi="Cambria Math" w:cs="Times New Roman"/>
                <w:i/>
                <w:sz w:val="24"/>
                <w:szCs w:val="24"/>
                <w:lang w:val="en-US" w:eastAsia="es-ES"/>
              </w:rPr>
            </m:ctrlPr>
          </m:sSupPr>
          <m:e>
            <m:r>
              <m:rPr>
                <m:sty m:val="p"/>
              </m:rPr>
              <w:rPr>
                <w:rFonts w:ascii="Cambria Math" w:hAnsi="Cambria Math" w:cs="Times New Roman"/>
                <w:sz w:val="24"/>
                <w:szCs w:val="24"/>
                <w:shd w:val="clear" w:color="auto" w:fill="FFFFFF"/>
                <w:lang w:val="es-ES"/>
              </w:rPr>
              <m:t>(3)</m:t>
            </m:r>
            <m:r>
              <m:rPr>
                <m:sty m:val="p"/>
              </m:rPr>
              <w:rPr>
                <w:rFonts w:ascii="Cambria Math" w:hAnsi="Cambria Math" w:cs="Times New Roman"/>
                <w:sz w:val="24"/>
                <w:szCs w:val="24"/>
                <w:shd w:val="clear" w:color="auto" w:fill="FFFFFF"/>
                <w:vertAlign w:val="subscript"/>
                <w:lang w:val="es-ES"/>
              </w:rPr>
              <m:t xml:space="preserve"> </m:t>
            </m:r>
            <m:r>
              <w:rPr>
                <w:rFonts w:ascii="Cambria Math" w:eastAsia="Times New Roman" w:hAnsi="Cambria Math" w:cs="Times New Roman"/>
                <w:sz w:val="24"/>
                <w:szCs w:val="24"/>
                <w:lang w:val="en-US" w:eastAsia="es-ES"/>
              </w:rPr>
              <m:t>EVLTAD</m:t>
            </m:r>
          </m:e>
          <m:sup>
            <m:r>
              <w:rPr>
                <w:rFonts w:ascii="Cambria Math" w:eastAsia="Times New Roman" w:hAnsi="Cambria Math" w:cs="Times New Roman"/>
                <w:sz w:val="24"/>
                <w:szCs w:val="24"/>
                <w:lang w:val="en-US" w:eastAsia="es-ES"/>
              </w:rPr>
              <m:t>x</m:t>
            </m:r>
            <m:r>
              <w:rPr>
                <w:rFonts w:ascii="Cambria Math" w:eastAsia="Times New Roman" w:hAnsi="Cambria Math" w:cs="Times New Roman"/>
                <w:sz w:val="24"/>
                <w:szCs w:val="24"/>
                <w:lang w:val="es-ES" w:eastAsia="es-ES"/>
              </w:rPr>
              <m:t xml:space="preserve"> </m:t>
            </m:r>
          </m:sup>
        </m:sSup>
      </m:oMath>
      <w:r w:rsidR="0039227C" w:rsidRPr="00BA3050">
        <w:rPr>
          <w:rFonts w:ascii="Times New Roman" w:eastAsia="Times New Roman" w:hAnsi="Times New Roman" w:cs="Times New Roman"/>
          <w:sz w:val="24"/>
          <w:szCs w:val="24"/>
          <w:lang w:val="es-ES" w:eastAsia="es-ES"/>
        </w:rPr>
        <w:t xml:space="preserve">= </w:t>
      </w:r>
      <m:oMath>
        <m:f>
          <m:fPr>
            <m:ctrlPr>
              <w:rPr>
                <w:rFonts w:ascii="Cambria Math" w:eastAsia="Times New Roman" w:hAnsi="Cambria Math" w:cs="Times New Roman"/>
                <w:i/>
                <w:sz w:val="24"/>
                <w:szCs w:val="24"/>
                <w:lang w:val="en-US" w:eastAsia="es-ES"/>
              </w:rPr>
            </m:ctrlPr>
          </m:fPr>
          <m:num>
            <m:sSub>
              <m:sSubPr>
                <m:ctrlPr>
                  <w:rPr>
                    <w:rFonts w:ascii="Cambria Math" w:eastAsia="Times New Roman" w:hAnsi="Cambria Math" w:cs="Times New Roman"/>
                    <w:i/>
                    <w:sz w:val="24"/>
                    <w:szCs w:val="24"/>
                    <w:lang w:val="en-US" w:eastAsia="es-ES"/>
                  </w:rPr>
                </m:ctrlPr>
              </m:sSubPr>
              <m:e>
                <m:r>
                  <w:rPr>
                    <w:rFonts w:ascii="Cambria Math" w:eastAsia="Times New Roman" w:hAnsi="Cambria Math" w:cs="Times New Roman"/>
                    <w:sz w:val="24"/>
                    <w:szCs w:val="24"/>
                    <w:lang w:val="en-US" w:eastAsia="es-ES"/>
                  </w:rPr>
                  <m:t>nT</m:t>
                </m:r>
                <m:r>
                  <w:rPr>
                    <w:rFonts w:ascii="Cambria Math" w:eastAsia="Times New Roman" w:hAnsi="Cambria Math" w:cs="Times New Roman"/>
                    <w:sz w:val="24"/>
                    <w:szCs w:val="24"/>
                    <w:lang w:val="es-ES" w:eastAsia="es-ES"/>
                  </w:rPr>
                  <m:t>'</m:t>
                </m:r>
              </m:e>
              <m:sub>
                <m:r>
                  <w:rPr>
                    <w:rFonts w:ascii="Cambria Math" w:eastAsia="Times New Roman" w:hAnsi="Cambria Math" w:cs="Times New Roman"/>
                    <w:sz w:val="24"/>
                    <w:szCs w:val="24"/>
                    <w:lang w:val="en-US" w:eastAsia="es-ES"/>
                  </w:rPr>
                  <m:t>x</m:t>
                </m:r>
              </m:sub>
            </m:sSub>
          </m:num>
          <m:den>
            <m:sSub>
              <m:sSubPr>
                <m:ctrlPr>
                  <w:rPr>
                    <w:rFonts w:ascii="Cambria Math" w:eastAsia="Times New Roman" w:hAnsi="Cambria Math" w:cs="Times New Roman"/>
                    <w:i/>
                    <w:sz w:val="24"/>
                    <w:szCs w:val="24"/>
                    <w:lang w:val="en-US" w:eastAsia="es-ES"/>
                  </w:rPr>
                </m:ctrlPr>
              </m:sSubPr>
              <m:e>
                <m:r>
                  <w:rPr>
                    <w:rFonts w:ascii="Cambria Math" w:eastAsia="Times New Roman" w:hAnsi="Cambria Math" w:cs="Times New Roman"/>
                    <w:sz w:val="24"/>
                    <w:szCs w:val="24"/>
                    <w:lang w:val="en-US" w:eastAsia="es-ES"/>
                  </w:rPr>
                  <m:t>nl</m:t>
                </m:r>
              </m:e>
              <m:sub>
                <m:r>
                  <w:rPr>
                    <w:rFonts w:ascii="Cambria Math" w:eastAsia="Times New Roman" w:hAnsi="Cambria Math" w:cs="Times New Roman"/>
                    <w:sz w:val="24"/>
                    <w:szCs w:val="24"/>
                    <w:lang w:val="en-US" w:eastAsia="es-ES"/>
                  </w:rPr>
                  <m:t>x</m:t>
                </m:r>
              </m:sub>
            </m:sSub>
          </m:den>
        </m:f>
      </m:oMath>
    </w:p>
    <w:p w:rsidR="0039227C" w:rsidRPr="00BA3050" w:rsidRDefault="0039227C" w:rsidP="00B068ED">
      <w:pPr>
        <w:spacing w:line="360" w:lineRule="auto"/>
        <w:jc w:val="both"/>
        <w:rPr>
          <w:rFonts w:ascii="Times New Roman" w:eastAsia="Times New Roman" w:hAnsi="Times New Roman" w:cs="Times New Roman"/>
          <w:i/>
          <w:sz w:val="24"/>
          <w:szCs w:val="24"/>
          <w:lang w:val="es-ES" w:eastAsia="es-ES"/>
        </w:rPr>
      </w:pPr>
      <w:r w:rsidRPr="00BA3050">
        <w:rPr>
          <w:rFonts w:ascii="Times New Roman" w:eastAsia="Times New Roman" w:hAnsi="Times New Roman" w:cs="Times New Roman"/>
          <w:i/>
          <w:sz w:val="24"/>
          <w:szCs w:val="24"/>
          <w:lang w:val="es-ES" w:eastAsia="es-ES"/>
        </w:rPr>
        <w:t>Estimación de errores estándar con el Método Sullivan:</w:t>
      </w:r>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Para obtener errores estándar con este método, es necesario también considerar el tamaño de la muestra N para cada grupo de edad: a mayor tamaño, menor será el intervalo de valores posibles. Siguiendo nuevamente a Jagger et al. (2006), es necesario obtener la varianza (S</w:t>
      </w:r>
      <w:r w:rsidRPr="00BA3050">
        <w:rPr>
          <w:rFonts w:ascii="Times New Roman" w:eastAsia="Times New Roman" w:hAnsi="Times New Roman" w:cs="Times New Roman"/>
          <w:sz w:val="24"/>
          <w:szCs w:val="24"/>
          <w:vertAlign w:val="superscript"/>
          <w:lang w:val="es-ES" w:eastAsia="es-ES"/>
        </w:rPr>
        <w:t>2</w:t>
      </w:r>
      <w:r w:rsidRPr="00BA3050">
        <w:rPr>
          <w:rFonts w:ascii="Times New Roman" w:eastAsia="Times New Roman" w:hAnsi="Times New Roman" w:cs="Times New Roman"/>
          <w:sz w:val="24"/>
          <w:szCs w:val="24"/>
          <w:lang w:val="es-ES" w:eastAsia="es-ES"/>
        </w:rPr>
        <w:t xml:space="preserve">) de las respectivas </w:t>
      </w:r>
      <w:r w:rsidRPr="00BA3050">
        <w:rPr>
          <w:rFonts w:ascii="Times New Roman" w:hAnsi="Times New Roman" w:cs="Times New Roman"/>
          <w:bCs/>
          <w:sz w:val="24"/>
          <w:szCs w:val="24"/>
          <w:shd w:val="clear" w:color="auto" w:fill="FFFFFF"/>
        </w:rPr>
        <w:t>π con una fórmula general (</w:t>
      </w:r>
      <w:r w:rsidRPr="00BA3050">
        <w:rPr>
          <w:rFonts w:ascii="Times New Roman" w:eastAsia="Times New Roman" w:hAnsi="Times New Roman" w:cs="Times New Roman"/>
          <w:sz w:val="24"/>
          <w:szCs w:val="24"/>
          <w:lang w:val="es-ES" w:eastAsia="es-ES"/>
        </w:rPr>
        <w:t>4):</w:t>
      </w:r>
    </w:p>
    <w:p w:rsidR="0039227C" w:rsidRPr="00BA3050" w:rsidRDefault="0039227C" w:rsidP="00B068ED">
      <w:pPr>
        <w:spacing w:line="360" w:lineRule="auto"/>
        <w:jc w:val="center"/>
        <w:rPr>
          <w:rFonts w:ascii="Times New Roman" w:eastAsia="Times New Roman" w:hAnsi="Times New Roman" w:cs="Times New Roman"/>
          <w:sz w:val="24"/>
          <w:szCs w:val="24"/>
          <w:lang w:val="en-US" w:eastAsia="es-ES"/>
        </w:rPr>
      </w:pPr>
      <w:r w:rsidRPr="00BA3050">
        <w:rPr>
          <w:rFonts w:ascii="Times New Roman" w:hAnsi="Times New Roman" w:cs="Times New Roman"/>
          <w:bCs/>
          <w:sz w:val="24"/>
          <w:szCs w:val="24"/>
          <w:shd w:val="clear" w:color="auto" w:fill="FFFFFF"/>
          <w:lang w:val="en-US"/>
        </w:rPr>
        <w:t>(4)</w:t>
      </w:r>
      <w:r w:rsidRPr="00BA3050">
        <w:rPr>
          <w:rFonts w:ascii="Times New Roman" w:hAnsi="Times New Roman" w:cs="Times New Roman"/>
          <w:bCs/>
          <w:sz w:val="24"/>
          <w:szCs w:val="24"/>
          <w:shd w:val="clear" w:color="auto" w:fill="FFFFFF"/>
          <w:vertAlign w:val="subscript"/>
          <w:lang w:val="en-US"/>
        </w:rPr>
        <w:t xml:space="preserve"> </w:t>
      </w:r>
      <m:oMath>
        <m:r>
          <w:rPr>
            <w:rFonts w:ascii="Cambria Math" w:hAnsi="Cambria Math" w:cs="Times New Roman"/>
            <w:sz w:val="24"/>
            <w:szCs w:val="24"/>
            <w:shd w:val="clear" w:color="auto" w:fill="FFFFFF"/>
            <w:vertAlign w:val="subscript"/>
            <w:lang w:val="en-US"/>
          </w:rPr>
          <m:t>n</m:t>
        </m:r>
        <m:sSup>
          <m:sSupPr>
            <m:ctrlPr>
              <w:rPr>
                <w:rFonts w:ascii="Cambria Math" w:hAnsi="Cambria Math" w:cs="Times New Roman"/>
                <w:bCs/>
                <w:sz w:val="24"/>
                <w:szCs w:val="24"/>
                <w:shd w:val="clear" w:color="auto" w:fill="FFFFFF"/>
                <w:vertAlign w:val="subscript"/>
                <w:lang w:val="en-US"/>
              </w:rPr>
            </m:ctrlPr>
          </m:sSupPr>
          <m:e>
            <m:r>
              <w:rPr>
                <w:rFonts w:ascii="Cambria Math" w:hAnsi="Cambria Math" w:cs="Times New Roman"/>
                <w:sz w:val="24"/>
                <w:szCs w:val="24"/>
                <w:shd w:val="clear" w:color="auto" w:fill="FFFFFF"/>
                <w:vertAlign w:val="subscript"/>
                <w:lang w:val="en-US"/>
              </w:rPr>
              <m:t>S</m:t>
            </m:r>
          </m:e>
          <m:sup>
            <m:r>
              <w:rPr>
                <w:rFonts w:ascii="Cambria Math" w:hAnsi="Cambria Math" w:cs="Times New Roman"/>
                <w:sz w:val="24"/>
                <w:szCs w:val="24"/>
                <w:shd w:val="clear" w:color="auto" w:fill="FFFFFF"/>
                <w:vertAlign w:val="subscript"/>
                <w:lang w:val="en-US"/>
              </w:rPr>
              <m:t>2</m:t>
            </m:r>
          </m:sup>
        </m:sSup>
        <m:r>
          <w:rPr>
            <w:rFonts w:ascii="Cambria Math" w:hAnsi="Cambria Math" w:cs="Times New Roman"/>
            <w:sz w:val="24"/>
            <w:szCs w:val="24"/>
            <w:shd w:val="clear" w:color="auto" w:fill="FFFFFF"/>
            <w:vertAlign w:val="subscript"/>
            <w:lang w:val="en-US"/>
          </w:rPr>
          <m:t>x=</m:t>
        </m:r>
        <m:f>
          <m:fPr>
            <m:ctrlPr>
              <w:rPr>
                <w:rFonts w:ascii="Cambria Math" w:hAnsi="Cambria Math" w:cs="Times New Roman"/>
                <w:bCs/>
                <w:sz w:val="24"/>
                <w:szCs w:val="24"/>
                <w:shd w:val="clear" w:color="auto" w:fill="FFFFFF"/>
                <w:vertAlign w:val="subscript"/>
                <w:lang w:val="en-US"/>
              </w:rPr>
            </m:ctrlPr>
          </m:fPr>
          <m:num>
            <m:r>
              <m:rPr>
                <m:sty m:val="p"/>
              </m:rPr>
              <w:rPr>
                <w:rFonts w:ascii="Cambria Math" w:hAnsi="Cambria Math" w:cs="Times New Roman"/>
                <w:sz w:val="24"/>
                <w:szCs w:val="24"/>
                <w:shd w:val="clear" w:color="auto" w:fill="FFFFFF"/>
              </w:rPr>
              <m:t>π</m:t>
            </m:r>
            <m:r>
              <m:rPr>
                <m:sty m:val="p"/>
              </m:rPr>
              <w:rPr>
                <w:rFonts w:ascii="Cambria Math" w:hAnsi="Cambria Math" w:cs="Times New Roman"/>
                <w:sz w:val="24"/>
                <w:szCs w:val="24"/>
                <w:shd w:val="clear" w:color="auto" w:fill="FFFFFF"/>
                <w:vertAlign w:val="subscript"/>
                <w:lang w:val="en-US"/>
              </w:rPr>
              <m:t>x*(1-</m:t>
            </m:r>
            <m:r>
              <m:rPr>
                <m:sty m:val="p"/>
              </m:rPr>
              <w:rPr>
                <w:rFonts w:ascii="Cambria Math" w:hAnsi="Cambria Math" w:cs="Times New Roman"/>
                <w:sz w:val="24"/>
                <w:szCs w:val="24"/>
                <w:shd w:val="clear" w:color="auto" w:fill="FFFFFF"/>
              </w:rPr>
              <m:t>π</m:t>
            </m:r>
            <m:r>
              <m:rPr>
                <m:sty m:val="p"/>
              </m:rPr>
              <w:rPr>
                <w:rFonts w:ascii="Cambria Math" w:hAnsi="Cambria Math" w:cs="Times New Roman"/>
                <w:sz w:val="24"/>
                <w:szCs w:val="24"/>
                <w:shd w:val="clear" w:color="auto" w:fill="FFFFFF"/>
                <w:lang w:val="en-US"/>
              </w:rPr>
              <m:t>x)</m:t>
            </m:r>
          </m:num>
          <m:den>
            <m:r>
              <m:rPr>
                <m:sty m:val="p"/>
              </m:rPr>
              <w:rPr>
                <w:rFonts w:ascii="Cambria Math" w:hAnsi="Cambria Math" w:cs="Times New Roman"/>
                <w:sz w:val="24"/>
                <w:szCs w:val="24"/>
                <w:shd w:val="clear" w:color="auto" w:fill="FFFFFF"/>
                <w:vertAlign w:val="subscript"/>
                <w:lang w:val="en-US"/>
              </w:rPr>
              <m:t>N</m:t>
            </m:r>
          </m:den>
        </m:f>
      </m:oMath>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 xml:space="preserve">Para luego obtener el valor de </w:t>
      </w:r>
      <w:proofErr w:type="gramStart"/>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 xml:space="preserve">x  </w:t>
      </w:r>
      <w:r w:rsidRPr="00BA3050">
        <w:rPr>
          <w:rFonts w:ascii="Times New Roman" w:hAnsi="Times New Roman" w:cs="Times New Roman"/>
          <w:bCs/>
          <w:sz w:val="24"/>
          <w:szCs w:val="24"/>
          <w:shd w:val="clear" w:color="auto" w:fill="FFFFFF"/>
          <w:lang w:val="es-ES"/>
        </w:rPr>
        <w:t>al</w:t>
      </w:r>
      <w:proofErr w:type="gramEnd"/>
      <w:r w:rsidRPr="00BA3050">
        <w:rPr>
          <w:rFonts w:ascii="Times New Roman" w:hAnsi="Times New Roman" w:cs="Times New Roman"/>
          <w:bCs/>
          <w:sz w:val="24"/>
          <w:szCs w:val="24"/>
          <w:shd w:val="clear" w:color="auto" w:fill="FFFFFF"/>
          <w:lang w:val="es-ES"/>
        </w:rPr>
        <w:t xml:space="preserve"> cuadrado por S</w:t>
      </w:r>
      <w:r w:rsidRPr="00BA3050">
        <w:rPr>
          <w:rFonts w:ascii="Times New Roman" w:hAnsi="Times New Roman" w:cs="Times New Roman"/>
          <w:bCs/>
          <w:sz w:val="24"/>
          <w:szCs w:val="24"/>
          <w:shd w:val="clear" w:color="auto" w:fill="FFFFFF"/>
          <w:vertAlign w:val="superscript"/>
          <w:lang w:val="es-ES"/>
        </w:rPr>
        <w:t>2</w:t>
      </w:r>
      <w:r w:rsidRPr="00BA3050">
        <w:rPr>
          <w:rFonts w:ascii="Times New Roman" w:hAnsi="Times New Roman" w:cs="Times New Roman"/>
          <w:bCs/>
          <w:sz w:val="24"/>
          <w:szCs w:val="24"/>
          <w:shd w:val="clear" w:color="auto" w:fill="FFFFFF"/>
          <w:lang w:val="es-ES"/>
        </w:rPr>
        <w:t xml:space="preserve"> (5):</w:t>
      </w:r>
    </w:p>
    <w:p w:rsidR="0039227C" w:rsidRPr="00BA3050" w:rsidRDefault="0039227C" w:rsidP="00B068ED">
      <w:pPr>
        <w:spacing w:line="360" w:lineRule="auto"/>
        <w:jc w:val="center"/>
        <w:rPr>
          <w:rFonts w:ascii="Times New Roman" w:hAnsi="Times New Roman" w:cs="Times New Roman"/>
          <w:bCs/>
          <w:sz w:val="24"/>
          <w:szCs w:val="24"/>
          <w:shd w:val="clear" w:color="auto" w:fill="FFFFFF"/>
          <w:vertAlign w:val="superscript"/>
          <w:lang w:val="es-ES"/>
        </w:rPr>
      </w:pPr>
      <w:r w:rsidRPr="00BA3050">
        <w:rPr>
          <w:rFonts w:ascii="Times New Roman" w:hAnsi="Times New Roman" w:cs="Times New Roman"/>
          <w:bCs/>
          <w:sz w:val="24"/>
          <w:szCs w:val="24"/>
          <w:shd w:val="clear" w:color="auto" w:fill="FFFFFF"/>
          <w:lang w:val="es-ES"/>
        </w:rPr>
        <w:t>(5)</w:t>
      </w:r>
      <w:r w:rsidRPr="00BA3050">
        <w:rPr>
          <w:rFonts w:ascii="Times New Roman" w:hAnsi="Times New Roman" w:cs="Times New Roman"/>
          <w:bCs/>
          <w:sz w:val="24"/>
          <w:szCs w:val="24"/>
          <w:shd w:val="clear" w:color="auto" w:fill="FFFFFF"/>
          <w:vertAlign w:val="subscript"/>
          <w:lang w:val="es-ES"/>
        </w:rPr>
        <w:t xml:space="preserve"> </w:t>
      </w:r>
      <w:proofErr w:type="spellStart"/>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SL</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hAnsi="Times New Roman" w:cs="Times New Roman"/>
          <w:bCs/>
          <w:sz w:val="24"/>
          <w:szCs w:val="24"/>
          <w:shd w:val="clear" w:color="auto" w:fill="FFFFFF"/>
          <w:lang w:val="es-ES"/>
        </w:rPr>
        <w:t xml:space="preserve"> = </w:t>
      </w:r>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x</w:t>
      </w:r>
      <w:r w:rsidRPr="00BA3050">
        <w:rPr>
          <w:rFonts w:ascii="Times New Roman" w:hAnsi="Times New Roman" w:cs="Times New Roman"/>
          <w:bCs/>
          <w:sz w:val="24"/>
          <w:szCs w:val="24"/>
          <w:shd w:val="clear" w:color="auto" w:fill="FFFFFF"/>
          <w:vertAlign w:val="superscript"/>
          <w:lang w:val="es-ES"/>
        </w:rPr>
        <w:t>2*</w:t>
      </w:r>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S</w:t>
      </w:r>
      <w:r w:rsidRPr="00BA3050">
        <w:rPr>
          <w:rFonts w:ascii="Times New Roman" w:hAnsi="Times New Roman" w:cs="Times New Roman"/>
          <w:bCs/>
          <w:sz w:val="24"/>
          <w:szCs w:val="24"/>
          <w:shd w:val="clear" w:color="auto" w:fill="FFFFFF"/>
          <w:vertAlign w:val="subscript"/>
          <w:lang w:val="es-ES"/>
        </w:rPr>
        <w:t>x</w:t>
      </w:r>
      <w:r w:rsidRPr="00BA3050">
        <w:rPr>
          <w:rFonts w:ascii="Times New Roman" w:hAnsi="Times New Roman" w:cs="Times New Roman"/>
          <w:bCs/>
          <w:sz w:val="24"/>
          <w:szCs w:val="24"/>
          <w:shd w:val="clear" w:color="auto" w:fill="FFFFFF"/>
          <w:vertAlign w:val="superscript"/>
          <w:lang w:val="es-ES"/>
        </w:rPr>
        <w:t>2</w:t>
      </w:r>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 xml:space="preserve">Y al igual que en una table de vida, es necesario obtener ST, la suma cumulativa inversa de las respectivas SL (6):  </w:t>
      </w:r>
    </w:p>
    <w:p w:rsidR="0039227C" w:rsidRPr="00BA3050" w:rsidRDefault="0039227C" w:rsidP="00B068ED">
      <w:pPr>
        <w:spacing w:line="360" w:lineRule="auto"/>
        <w:jc w:val="center"/>
        <w:rPr>
          <w:rFonts w:ascii="Times New Roman" w:hAnsi="Times New Roman" w:cs="Times New Roman"/>
          <w:bCs/>
          <w:sz w:val="24"/>
          <w:szCs w:val="24"/>
          <w:shd w:val="clear" w:color="auto" w:fill="FFFFFF"/>
          <w:vertAlign w:val="subscript"/>
          <w:lang w:val="es-ES"/>
        </w:rPr>
      </w:pPr>
      <w:r w:rsidRPr="00BA3050">
        <w:rPr>
          <w:rFonts w:ascii="Times New Roman" w:hAnsi="Times New Roman" w:cs="Times New Roman"/>
          <w:bCs/>
          <w:sz w:val="24"/>
          <w:szCs w:val="24"/>
          <w:shd w:val="clear" w:color="auto" w:fill="FFFFFF"/>
          <w:lang w:val="es-ES"/>
        </w:rPr>
        <w:t>(6)</w:t>
      </w:r>
      <w:r w:rsidRPr="00BA3050">
        <w:rPr>
          <w:rFonts w:ascii="Times New Roman" w:hAnsi="Times New Roman" w:cs="Times New Roman"/>
          <w:bCs/>
          <w:sz w:val="24"/>
          <w:szCs w:val="24"/>
          <w:shd w:val="clear" w:color="auto" w:fill="FFFFFF"/>
          <w:vertAlign w:val="subscript"/>
          <w:lang w:val="es-ES"/>
        </w:rPr>
        <w:t xml:space="preserve"> </w:t>
      </w:r>
      <w:proofErr w:type="spellStart"/>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ST</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hAnsi="Times New Roman" w:cs="Times New Roman"/>
          <w:bCs/>
          <w:sz w:val="24"/>
          <w:szCs w:val="24"/>
          <w:shd w:val="clear" w:color="auto" w:fill="FFFFFF"/>
          <w:lang w:val="es-ES"/>
        </w:rPr>
        <w:t xml:space="preserve"> = ∑</w:t>
      </w:r>
      <w:r w:rsidRPr="00BA3050">
        <w:rPr>
          <w:rFonts w:ascii="Times New Roman" w:hAnsi="Times New Roman" w:cs="Times New Roman"/>
          <w:bCs/>
          <w:sz w:val="24"/>
          <w:szCs w:val="24"/>
          <w:shd w:val="clear" w:color="auto" w:fill="FFFFFF"/>
          <w:vertAlign w:val="subscript"/>
          <w:lang w:val="es-ES"/>
        </w:rPr>
        <w:t xml:space="preserve"> </w:t>
      </w:r>
      <w:proofErr w:type="spellStart"/>
      <w:r w:rsidRPr="00BA3050">
        <w:rPr>
          <w:rFonts w:ascii="Times New Roman" w:hAnsi="Times New Roman" w:cs="Times New Roman"/>
          <w:bCs/>
          <w:sz w:val="24"/>
          <w:szCs w:val="24"/>
          <w:shd w:val="clear" w:color="auto" w:fill="FFFFFF"/>
          <w:vertAlign w:val="subscript"/>
          <w:lang w:val="es-ES"/>
        </w:rPr>
        <w:t>n</w:t>
      </w:r>
      <w:r w:rsidRPr="00BA3050">
        <w:rPr>
          <w:rFonts w:ascii="Times New Roman" w:hAnsi="Times New Roman" w:cs="Times New Roman"/>
          <w:bCs/>
          <w:sz w:val="24"/>
          <w:szCs w:val="24"/>
          <w:shd w:val="clear" w:color="auto" w:fill="FFFFFF"/>
          <w:lang w:val="es-ES"/>
        </w:rPr>
        <w:t>SL</w:t>
      </w:r>
      <w:r w:rsidRPr="00BA3050">
        <w:rPr>
          <w:rFonts w:ascii="Times New Roman" w:hAnsi="Times New Roman" w:cs="Times New Roman"/>
          <w:bCs/>
          <w:sz w:val="24"/>
          <w:szCs w:val="24"/>
          <w:shd w:val="clear" w:color="auto" w:fill="FFFFFF"/>
          <w:vertAlign w:val="subscript"/>
          <w:lang w:val="es-ES"/>
        </w:rPr>
        <w:t>x</w:t>
      </w:r>
      <w:proofErr w:type="spellEnd"/>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Para obtener la varianza de la EVLTAD (SEVLTAD20</w:t>
      </w:r>
      <w:r w:rsidR="00DD2808">
        <w:rPr>
          <w:rFonts w:ascii="Times New Roman" w:eastAsia="Times New Roman" w:hAnsi="Times New Roman" w:cs="Times New Roman"/>
          <w:sz w:val="24"/>
          <w:szCs w:val="24"/>
          <w:lang w:val="es-ES" w:eastAsia="es-ES"/>
        </w:rPr>
        <w:t xml:space="preserve"> en este caso</w:t>
      </w:r>
      <w:r w:rsidRPr="00BA3050">
        <w:rPr>
          <w:rFonts w:ascii="Times New Roman" w:eastAsia="Times New Roman" w:hAnsi="Times New Roman" w:cs="Times New Roman"/>
          <w:sz w:val="24"/>
          <w:szCs w:val="24"/>
          <w:lang w:val="es-ES" w:eastAsia="es-ES"/>
        </w:rPr>
        <w:t xml:space="preserve">), dividimos </w:t>
      </w:r>
      <w:proofErr w:type="spellStart"/>
      <w:r w:rsidRPr="00BA3050">
        <w:rPr>
          <w:rFonts w:ascii="Times New Roman" w:eastAsia="Times New Roman" w:hAnsi="Times New Roman" w:cs="Times New Roman"/>
          <w:sz w:val="24"/>
          <w:szCs w:val="24"/>
          <w:lang w:val="es-ES" w:eastAsia="es-ES"/>
        </w:rPr>
        <w:t>S</w:t>
      </w:r>
      <w:r w:rsidRPr="00BA3050">
        <w:rPr>
          <w:rFonts w:ascii="Times New Roman" w:hAnsi="Times New Roman" w:cs="Times New Roman"/>
          <w:bCs/>
          <w:sz w:val="24"/>
          <w:szCs w:val="24"/>
          <w:shd w:val="clear" w:color="auto" w:fill="FFFFFF"/>
          <w:lang w:val="es-ES"/>
        </w:rPr>
        <w:t>T</w:t>
      </w:r>
      <w:r w:rsidRPr="00BA3050">
        <w:rPr>
          <w:rFonts w:ascii="Times New Roman" w:hAnsi="Times New Roman" w:cs="Times New Roman"/>
          <w:bCs/>
          <w:sz w:val="24"/>
          <w:szCs w:val="24"/>
          <w:shd w:val="clear" w:color="auto" w:fill="FFFFFF"/>
          <w:vertAlign w:val="subscript"/>
          <w:lang w:val="es-ES"/>
        </w:rPr>
        <w:t>x</w:t>
      </w:r>
      <w:proofErr w:type="spellEnd"/>
      <w:r w:rsidRPr="00BA3050">
        <w:rPr>
          <w:rFonts w:ascii="Times New Roman" w:hAnsi="Times New Roman" w:cs="Times New Roman"/>
          <w:bCs/>
          <w:sz w:val="24"/>
          <w:szCs w:val="24"/>
          <w:shd w:val="clear" w:color="auto" w:fill="FFFFFF"/>
          <w:vertAlign w:val="subscript"/>
          <w:lang w:val="es-ES"/>
        </w:rPr>
        <w:t xml:space="preserve"> </w:t>
      </w:r>
      <w:r w:rsidRPr="00BA3050">
        <w:rPr>
          <w:rFonts w:ascii="Times New Roman" w:hAnsi="Times New Roman" w:cs="Times New Roman"/>
          <w:bCs/>
          <w:sz w:val="24"/>
          <w:szCs w:val="24"/>
          <w:shd w:val="clear" w:color="auto" w:fill="FFFFFF"/>
          <w:lang w:val="es-ES"/>
        </w:rPr>
        <w:t xml:space="preserve">por el cuadrado de </w:t>
      </w:r>
      <w:proofErr w:type="gramStart"/>
      <w:r w:rsidRPr="00BA3050">
        <w:rPr>
          <w:rFonts w:ascii="Times New Roman" w:hAnsi="Times New Roman" w:cs="Times New Roman"/>
          <w:bCs/>
          <w:sz w:val="24"/>
          <w:szCs w:val="24"/>
          <w:shd w:val="clear" w:color="auto" w:fill="FFFFFF"/>
          <w:lang w:val="es-ES"/>
        </w:rPr>
        <w:t>l</w:t>
      </w:r>
      <w:r w:rsidRPr="00BA3050">
        <w:rPr>
          <w:rFonts w:ascii="Times New Roman" w:hAnsi="Times New Roman" w:cs="Times New Roman"/>
          <w:bCs/>
          <w:sz w:val="24"/>
          <w:szCs w:val="24"/>
          <w:shd w:val="clear" w:color="auto" w:fill="FFFFFF"/>
          <w:vertAlign w:val="subscript"/>
          <w:lang w:val="es-ES"/>
        </w:rPr>
        <w:t>x</w:t>
      </w:r>
      <w:r w:rsidRPr="00BA3050">
        <w:rPr>
          <w:rFonts w:ascii="Times New Roman" w:hAnsi="Times New Roman" w:cs="Times New Roman"/>
          <w:bCs/>
          <w:sz w:val="24"/>
          <w:szCs w:val="24"/>
          <w:shd w:val="clear" w:color="auto" w:fill="FFFFFF"/>
          <w:lang w:val="es-ES"/>
        </w:rPr>
        <w:t xml:space="preserve"> ,</w:t>
      </w:r>
      <w:proofErr w:type="gramEnd"/>
      <w:r w:rsidRPr="00BA3050">
        <w:rPr>
          <w:rFonts w:ascii="Times New Roman" w:hAnsi="Times New Roman" w:cs="Times New Roman"/>
          <w:bCs/>
          <w:sz w:val="24"/>
          <w:szCs w:val="24"/>
          <w:shd w:val="clear" w:color="auto" w:fill="FFFFFF"/>
          <w:lang w:val="es-ES"/>
        </w:rPr>
        <w:t xml:space="preserve"> como indica la ecuación 7:</w:t>
      </w:r>
    </w:p>
    <w:p w:rsidR="0039227C" w:rsidRPr="00BA3050" w:rsidRDefault="00127C9C" w:rsidP="00B068ED">
      <w:pPr>
        <w:spacing w:line="360" w:lineRule="auto"/>
        <w:jc w:val="center"/>
        <w:rPr>
          <w:rFonts w:ascii="Times New Roman" w:eastAsia="Times New Roman" w:hAnsi="Times New Roman" w:cs="Times New Roman"/>
          <w:sz w:val="24"/>
          <w:szCs w:val="24"/>
          <w:lang w:val="es-ES" w:eastAsia="es-ES"/>
        </w:rPr>
      </w:pPr>
      <m:oMath>
        <m:sSup>
          <m:sSupPr>
            <m:ctrlPr>
              <w:rPr>
                <w:rFonts w:ascii="Cambria Math" w:eastAsia="Times New Roman" w:hAnsi="Cambria Math" w:cs="Times New Roman"/>
                <w:i/>
                <w:sz w:val="24"/>
                <w:szCs w:val="24"/>
                <w:lang w:val="en-US" w:eastAsia="es-ES"/>
              </w:rPr>
            </m:ctrlPr>
          </m:sSupPr>
          <m:e>
            <m:r>
              <m:rPr>
                <m:sty m:val="p"/>
              </m:rPr>
              <w:rPr>
                <w:rFonts w:ascii="Cambria Math" w:hAnsi="Cambria Math" w:cs="Times New Roman"/>
                <w:sz w:val="24"/>
                <w:szCs w:val="24"/>
                <w:shd w:val="clear" w:color="auto" w:fill="FFFFFF"/>
                <w:lang w:val="es-ES"/>
              </w:rPr>
              <m:t>(7)</m:t>
            </m:r>
            <m:r>
              <m:rPr>
                <m:sty m:val="p"/>
              </m:rPr>
              <w:rPr>
                <w:rFonts w:ascii="Cambria Math" w:hAnsi="Cambria Math" w:cs="Times New Roman"/>
                <w:sz w:val="24"/>
                <w:szCs w:val="24"/>
                <w:shd w:val="clear" w:color="auto" w:fill="FFFFFF"/>
                <w:vertAlign w:val="subscript"/>
                <w:lang w:val="es-ES"/>
              </w:rPr>
              <m:t xml:space="preserve"> </m:t>
            </m:r>
            <m:r>
              <m:rPr>
                <m:sty m:val="p"/>
              </m:rPr>
              <w:rPr>
                <w:rFonts w:ascii="Cambria Math" w:eastAsia="Times New Roman" w:hAnsi="Cambria Math" w:cs="Times New Roman"/>
                <w:sz w:val="24"/>
                <w:szCs w:val="24"/>
                <w:lang w:val="es-ES" w:eastAsia="es-ES"/>
              </w:rPr>
              <m:t>SEVLTAD</m:t>
            </m:r>
            <m:r>
              <w:rPr>
                <w:rFonts w:ascii="Cambria Math" w:eastAsia="Times New Roman" w:hAnsi="Cambria Math" w:cs="Times New Roman"/>
                <w:sz w:val="24"/>
                <w:szCs w:val="24"/>
                <w:lang w:val="es-ES" w:eastAsia="es-ES"/>
              </w:rPr>
              <m:t>20</m:t>
            </m:r>
          </m:e>
          <m:sup>
            <m:r>
              <w:rPr>
                <w:rFonts w:ascii="Cambria Math" w:eastAsia="Times New Roman" w:hAnsi="Cambria Math" w:cs="Times New Roman"/>
                <w:sz w:val="24"/>
                <w:szCs w:val="24"/>
                <w:lang w:val="en-US" w:eastAsia="es-ES"/>
              </w:rPr>
              <m:t>x</m:t>
            </m:r>
            <m:r>
              <w:rPr>
                <w:rFonts w:ascii="Cambria Math" w:eastAsia="Times New Roman" w:hAnsi="Cambria Math" w:cs="Times New Roman"/>
                <w:sz w:val="24"/>
                <w:szCs w:val="24"/>
                <w:lang w:val="es-ES" w:eastAsia="es-ES"/>
              </w:rPr>
              <m:t xml:space="preserve"> </m:t>
            </m:r>
          </m:sup>
        </m:sSup>
      </m:oMath>
      <w:r w:rsidR="0039227C" w:rsidRPr="00BA3050">
        <w:rPr>
          <w:rFonts w:ascii="Times New Roman" w:eastAsia="Times New Roman" w:hAnsi="Times New Roman" w:cs="Times New Roman"/>
          <w:sz w:val="24"/>
          <w:szCs w:val="24"/>
          <w:lang w:val="es-ES" w:eastAsia="es-ES"/>
        </w:rPr>
        <w:t xml:space="preserve">= </w:t>
      </w:r>
      <m:oMath>
        <m:f>
          <m:fPr>
            <m:ctrlPr>
              <w:rPr>
                <w:rFonts w:ascii="Cambria Math" w:eastAsia="Times New Roman" w:hAnsi="Cambria Math" w:cs="Times New Roman"/>
                <w:i/>
                <w:sz w:val="24"/>
                <w:szCs w:val="24"/>
                <w:lang w:val="en-US" w:eastAsia="es-ES"/>
              </w:rPr>
            </m:ctrlPr>
          </m:fPr>
          <m:num>
            <m:sSub>
              <m:sSubPr>
                <m:ctrlPr>
                  <w:rPr>
                    <w:rFonts w:ascii="Cambria Math" w:eastAsia="Times New Roman" w:hAnsi="Cambria Math" w:cs="Times New Roman"/>
                    <w:i/>
                    <w:sz w:val="24"/>
                    <w:szCs w:val="24"/>
                    <w:lang w:val="en-US" w:eastAsia="es-ES"/>
                  </w:rPr>
                </m:ctrlPr>
              </m:sSubPr>
              <m:e>
                <m:r>
                  <w:rPr>
                    <w:rFonts w:ascii="Cambria Math" w:eastAsia="Times New Roman" w:hAnsi="Cambria Math" w:cs="Times New Roman"/>
                    <w:sz w:val="24"/>
                    <w:szCs w:val="24"/>
                    <w:lang w:val="en-US" w:eastAsia="es-ES"/>
                  </w:rPr>
                  <m:t>nST</m:t>
                </m:r>
              </m:e>
              <m:sub>
                <m:r>
                  <w:rPr>
                    <w:rFonts w:ascii="Cambria Math" w:eastAsia="Times New Roman" w:hAnsi="Cambria Math" w:cs="Times New Roman"/>
                    <w:sz w:val="24"/>
                    <w:szCs w:val="24"/>
                    <w:lang w:val="en-US" w:eastAsia="es-ES"/>
                  </w:rPr>
                  <m:t>x</m:t>
                </m:r>
              </m:sub>
            </m:sSub>
          </m:num>
          <m:den>
            <m:sSub>
              <m:sSubPr>
                <m:ctrlPr>
                  <w:rPr>
                    <w:rFonts w:ascii="Cambria Math" w:eastAsia="Times New Roman" w:hAnsi="Cambria Math" w:cs="Times New Roman"/>
                    <w:i/>
                    <w:sz w:val="24"/>
                    <w:szCs w:val="24"/>
                    <w:lang w:val="en-US" w:eastAsia="es-ES"/>
                  </w:rPr>
                </m:ctrlPr>
              </m:sSubPr>
              <m:e>
                <m:r>
                  <w:rPr>
                    <w:rFonts w:ascii="Cambria Math" w:eastAsia="Times New Roman" w:hAnsi="Cambria Math" w:cs="Times New Roman"/>
                    <w:sz w:val="24"/>
                    <w:szCs w:val="24"/>
                    <w:lang w:val="en-US" w:eastAsia="es-ES"/>
                  </w:rPr>
                  <m:t>nl</m:t>
                </m:r>
              </m:e>
              <m:sub>
                <m:r>
                  <w:rPr>
                    <w:rFonts w:ascii="Cambria Math" w:eastAsia="Times New Roman" w:hAnsi="Cambria Math" w:cs="Times New Roman"/>
                    <w:sz w:val="24"/>
                    <w:szCs w:val="24"/>
                    <w:lang w:val="en-US" w:eastAsia="es-ES"/>
                  </w:rPr>
                  <m:t>x</m:t>
                </m:r>
              </m:sub>
            </m:sSub>
            <m:r>
              <w:rPr>
                <w:rFonts w:ascii="Cambria Math" w:eastAsia="Times New Roman" w:hAnsi="Cambria Math" w:cs="Times New Roman"/>
                <w:sz w:val="24"/>
                <w:szCs w:val="24"/>
                <w:lang w:val="es-ES" w:eastAsia="es-ES"/>
              </w:rPr>
              <m:t>²</m:t>
            </m:r>
          </m:den>
        </m:f>
      </m:oMath>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lastRenderedPageBreak/>
        <w:t xml:space="preserve">El error estándar entonces es simplemente la raíz cuadrada de SEADFLE20. Para obtener un intervalo de confianza del 95%, seguimos el procedimiento en la ecuación (8): </w:t>
      </w:r>
    </w:p>
    <w:p w:rsidR="0039227C" w:rsidRPr="00BA3050" w:rsidRDefault="0039227C" w:rsidP="00B068ED">
      <w:pPr>
        <w:spacing w:line="360" w:lineRule="auto"/>
        <w:jc w:val="center"/>
        <w:rPr>
          <w:rFonts w:ascii="Times New Roman" w:eastAsia="Times New Roman" w:hAnsi="Times New Roman" w:cs="Times New Roman"/>
          <w:sz w:val="24"/>
          <w:szCs w:val="24"/>
          <w:lang w:val="es-ES" w:eastAsia="es-ES"/>
        </w:rPr>
      </w:pPr>
      <w:r w:rsidRPr="00BA3050">
        <w:rPr>
          <w:rFonts w:ascii="Times New Roman" w:hAnsi="Times New Roman" w:cs="Times New Roman"/>
          <w:bCs/>
          <w:sz w:val="24"/>
          <w:szCs w:val="24"/>
          <w:shd w:val="clear" w:color="auto" w:fill="FFFFFF"/>
          <w:lang w:val="es-ES"/>
        </w:rPr>
        <w:t>(8)</w:t>
      </w:r>
      <w:r w:rsidRPr="00BA3050">
        <w:rPr>
          <w:rFonts w:ascii="Times New Roman" w:hAnsi="Times New Roman" w:cs="Times New Roman"/>
          <w:bCs/>
          <w:sz w:val="24"/>
          <w:szCs w:val="24"/>
          <w:shd w:val="clear" w:color="auto" w:fill="FFFFFF"/>
          <w:vertAlign w:val="subscript"/>
          <w:lang w:val="es-ES"/>
        </w:rPr>
        <w:t xml:space="preserve">  </w:t>
      </w:r>
      <w:r w:rsidRPr="00BA3050">
        <w:rPr>
          <w:rFonts w:ascii="Times New Roman" w:eastAsia="Times New Roman" w:hAnsi="Times New Roman" w:cs="Times New Roman"/>
          <w:sz w:val="24"/>
          <w:szCs w:val="24"/>
          <w:lang w:val="es-ES" w:eastAsia="es-ES"/>
        </w:rPr>
        <w:t xml:space="preserve">EVLTAD20 ± 1.96* </w:t>
      </w:r>
      <w:r w:rsidRPr="00BA3050">
        <w:rPr>
          <w:rFonts w:ascii="Times New Roman" w:hAnsi="Times New Roman" w:cs="Times New Roman"/>
          <w:b/>
          <w:bCs/>
          <w:sz w:val="24"/>
          <w:szCs w:val="24"/>
          <w:shd w:val="clear" w:color="auto" w:fill="FFFFFF"/>
          <w:lang w:val="es-ES"/>
        </w:rPr>
        <w:t>√</w:t>
      </w:r>
      <w:r w:rsidRPr="00BA3050">
        <w:rPr>
          <w:rFonts w:ascii="Times New Roman" w:eastAsia="Times New Roman" w:hAnsi="Times New Roman" w:cs="Times New Roman"/>
          <w:sz w:val="24"/>
          <w:szCs w:val="24"/>
          <w:lang w:val="es-ES" w:eastAsia="es-ES"/>
        </w:rPr>
        <w:t>SEVLTAD20</w:t>
      </w:r>
    </w:p>
    <w:p w:rsidR="0039227C" w:rsidRPr="00BA3050" w:rsidRDefault="0039227C" w:rsidP="00B068ED">
      <w:pPr>
        <w:spacing w:line="360" w:lineRule="auto"/>
        <w:jc w:val="both"/>
        <w:rPr>
          <w:rFonts w:ascii="Times New Roman" w:eastAsia="Times New Roman" w:hAnsi="Times New Roman" w:cs="Times New Roman"/>
          <w:i/>
          <w:sz w:val="24"/>
          <w:szCs w:val="24"/>
          <w:lang w:val="es-ES" w:eastAsia="es-ES"/>
        </w:rPr>
      </w:pPr>
      <w:r w:rsidRPr="00BA3050">
        <w:rPr>
          <w:rFonts w:ascii="Times New Roman" w:eastAsia="Times New Roman" w:hAnsi="Times New Roman" w:cs="Times New Roman"/>
          <w:i/>
          <w:sz w:val="24"/>
          <w:szCs w:val="24"/>
          <w:lang w:val="es-ES" w:eastAsia="es-ES"/>
        </w:rPr>
        <w:t xml:space="preserve">Método general de descomposición: el reemplazo </w:t>
      </w:r>
      <w:proofErr w:type="spellStart"/>
      <w:r w:rsidRPr="00BA3050">
        <w:rPr>
          <w:rFonts w:ascii="Times New Roman" w:eastAsia="Times New Roman" w:hAnsi="Times New Roman" w:cs="Times New Roman"/>
          <w:i/>
          <w:sz w:val="24"/>
          <w:szCs w:val="24"/>
          <w:lang w:val="es-ES" w:eastAsia="es-ES"/>
        </w:rPr>
        <w:t>stepwise</w:t>
      </w:r>
      <w:proofErr w:type="spellEnd"/>
      <w:r w:rsidRPr="00BA3050">
        <w:rPr>
          <w:rFonts w:ascii="Times New Roman" w:eastAsia="Times New Roman" w:hAnsi="Times New Roman" w:cs="Times New Roman"/>
          <w:i/>
          <w:sz w:val="24"/>
          <w:szCs w:val="24"/>
          <w:lang w:val="es-ES" w:eastAsia="es-ES"/>
        </w:rPr>
        <w:t xml:space="preserve"> </w:t>
      </w:r>
    </w:p>
    <w:p w:rsidR="0039227C" w:rsidRPr="00BA3050" w:rsidRDefault="0039227C" w:rsidP="00B068ED">
      <w:pPr>
        <w:spacing w:line="360" w:lineRule="auto"/>
        <w:jc w:val="both"/>
        <w:rPr>
          <w:rFonts w:ascii="Times New Roman" w:eastAsia="Times New Roman" w:hAnsi="Times New Roman" w:cs="Times New Roman"/>
          <w:sz w:val="24"/>
          <w:szCs w:val="24"/>
          <w:lang w:val="es-ES" w:eastAsia="es-ES"/>
        </w:rPr>
      </w:pPr>
      <w:r w:rsidRPr="00BA3050">
        <w:rPr>
          <w:rFonts w:ascii="Times New Roman" w:hAnsi="Times New Roman" w:cs="Times New Roman"/>
          <w:sz w:val="24"/>
          <w:szCs w:val="24"/>
          <w:lang w:val="es-ES"/>
        </w:rPr>
        <w:t xml:space="preserve">El procedimiento algorítmico de reemplazo </w:t>
      </w:r>
      <w:proofErr w:type="spellStart"/>
      <w:r w:rsidRPr="00BA3050">
        <w:rPr>
          <w:rFonts w:ascii="Times New Roman" w:hAnsi="Times New Roman" w:cs="Times New Roman"/>
          <w:i/>
          <w:sz w:val="24"/>
          <w:szCs w:val="24"/>
          <w:lang w:val="es-ES"/>
        </w:rPr>
        <w:t>stepwise</w:t>
      </w:r>
      <w:proofErr w:type="spellEnd"/>
      <w:r w:rsidRPr="00BA3050">
        <w:rPr>
          <w:rFonts w:ascii="Times New Roman" w:hAnsi="Times New Roman" w:cs="Times New Roman"/>
          <w:i/>
          <w:sz w:val="24"/>
          <w:szCs w:val="24"/>
          <w:lang w:val="es-ES"/>
        </w:rPr>
        <w:t xml:space="preserve"> </w:t>
      </w:r>
      <w:r w:rsidRPr="00BA3050">
        <w:rPr>
          <w:rFonts w:ascii="Times New Roman" w:hAnsi="Times New Roman" w:cs="Times New Roman"/>
          <w:sz w:val="24"/>
          <w:szCs w:val="24"/>
          <w:lang w:val="en-US"/>
        </w:rPr>
        <w:fldChar w:fldCharType="begin" w:fldLock="1"/>
      </w:r>
      <w:r w:rsidRPr="00BA3050">
        <w:rPr>
          <w:rFonts w:ascii="Times New Roman" w:hAnsi="Times New Roman" w:cs="Times New Roman"/>
          <w:sz w:val="24"/>
          <w:szCs w:val="24"/>
          <w:lang w:val="es-ES"/>
        </w:rPr>
        <w:instrText>ADDIN CSL_CITATION {"citationItems":[{"id":"ITEM-1","itemData":{"DOI":"10.4054/demres.2002.7.14","ISSN":"14359871","abstract":"A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 © Max-Planck-Gesellschaft.","author":[{"dropping-particle":"","family":"Andreev","given":"Evgueni M.","non-dropping-particle":"","parse-names":false,"suffix":""},{"dropping-particle":"","family":"Shkolnikov","given":"Vladimir M.","non-dropping-particle":"","parse-names":false,"suffix":""},{"dropping-particle":"","family":"Begun","given":"Alexander Z.","non-dropping-particle":"","parse-names":false,"suffix":""}],"container-title":"Demographic Research","id":"ITEM-1","issue":"article 14","issued":{"date-parts":[["2002","10","1"]]},"page":"499-521","publisher":"Max Planck Institute for Demographic Research","title":"Algorithm for decomposition of differences between aggregate demographic measures and its application to life expectancies, healthy life expectancies, parity-progression ratios and total fertility rates","type":"article-journal","volume":"7"},"uris":["http://www.mendeley.com/documents/?uuid=41f65ea9-1901-37ba-b1f4-ef8eb3bf78c3"]}],"mendeley":{"formattedCitation":"(Andreev et al., 2002)","plainTextFormattedCitation":"(Andreev et al., 2002)","previouslyFormattedCitation":"(Andreev et al., 2002)"},"properties":{"noteIndex":0},"schema":"https://github.com/citation-style-language/schema/raw/master/csl-citation.json"}</w:instrText>
      </w:r>
      <w:r w:rsidRPr="00BA3050">
        <w:rPr>
          <w:rFonts w:ascii="Times New Roman" w:hAnsi="Times New Roman" w:cs="Times New Roman"/>
          <w:sz w:val="24"/>
          <w:szCs w:val="24"/>
          <w:lang w:val="en-US"/>
        </w:rPr>
        <w:fldChar w:fldCharType="separate"/>
      </w:r>
      <w:r w:rsidRPr="00BA3050">
        <w:rPr>
          <w:rFonts w:ascii="Times New Roman" w:hAnsi="Times New Roman" w:cs="Times New Roman"/>
          <w:noProof/>
          <w:sz w:val="24"/>
          <w:szCs w:val="24"/>
          <w:lang w:val="es-ES"/>
        </w:rPr>
        <w:t>(Andreev et al., 2002)</w:t>
      </w:r>
      <w:r w:rsidRPr="00BA3050">
        <w:rPr>
          <w:rFonts w:ascii="Times New Roman" w:hAnsi="Times New Roman" w:cs="Times New Roman"/>
          <w:sz w:val="24"/>
          <w:szCs w:val="24"/>
          <w:lang w:val="en-US"/>
        </w:rPr>
        <w:fldChar w:fldCharType="end"/>
      </w:r>
      <w:r w:rsidRPr="00BA3050">
        <w:rPr>
          <w:rFonts w:ascii="Times New Roman" w:hAnsi="Times New Roman" w:cs="Times New Roman"/>
          <w:sz w:val="24"/>
          <w:szCs w:val="24"/>
          <w:lang w:val="es-ES"/>
        </w:rPr>
        <w:t xml:space="preserve"> nos permite hacer una descomposición específica por grupos de edad para cualquier medida agregada demográfica (EVS, EV,</w:t>
      </w:r>
      <w:r w:rsidR="002410F4">
        <w:rPr>
          <w:rFonts w:ascii="Times New Roman" w:hAnsi="Times New Roman" w:cs="Times New Roman"/>
          <w:sz w:val="24"/>
          <w:szCs w:val="24"/>
          <w:lang w:val="es-ES"/>
        </w:rPr>
        <w:t xml:space="preserve"> cálculos de</w:t>
      </w:r>
      <w:r w:rsidRPr="00BA3050">
        <w:rPr>
          <w:rFonts w:ascii="Times New Roman" w:hAnsi="Times New Roman" w:cs="Times New Roman"/>
          <w:sz w:val="24"/>
          <w:szCs w:val="24"/>
          <w:lang w:val="es-ES"/>
        </w:rPr>
        <w:t xml:space="preserve"> </w:t>
      </w:r>
      <w:proofErr w:type="spellStart"/>
      <w:r w:rsidRPr="00BA3050">
        <w:rPr>
          <w:rFonts w:ascii="Times New Roman" w:hAnsi="Times New Roman" w:cs="Times New Roman"/>
          <w:sz w:val="24"/>
          <w:szCs w:val="24"/>
          <w:lang w:val="es-ES"/>
        </w:rPr>
        <w:t>paridez</w:t>
      </w:r>
      <w:proofErr w:type="spellEnd"/>
      <w:r w:rsidRPr="00BA3050">
        <w:rPr>
          <w:rFonts w:ascii="Times New Roman" w:hAnsi="Times New Roman" w:cs="Times New Roman"/>
          <w:sz w:val="24"/>
          <w:szCs w:val="24"/>
          <w:lang w:val="es-ES"/>
        </w:rPr>
        <w:t xml:space="preserve">, tasa global de fecundidad, entre otras). En este caso, descomponemos la diferencia de EVLTAD20 en componentes de mortalidad (MOR) y morbilidad/salud (SAL). </w:t>
      </w:r>
      <w:r w:rsidRPr="00BA3050">
        <w:rPr>
          <w:rFonts w:ascii="Times New Roman" w:eastAsia="Times New Roman" w:hAnsi="Times New Roman" w:cs="Times New Roman"/>
          <w:sz w:val="24"/>
          <w:szCs w:val="24"/>
          <w:lang w:val="es-ES" w:eastAsia="es-ES"/>
        </w:rPr>
        <w:t>El cambio de número de años-persona vividos sin trastornos de ansiedad/depresión entre las poblaciones 1 y 2 (o EVLTAD20</w:t>
      </w:r>
      <w:r w:rsidRPr="00BA3050">
        <w:rPr>
          <w:rFonts w:ascii="Times New Roman" w:eastAsia="Times New Roman" w:hAnsi="Times New Roman" w:cs="Times New Roman"/>
          <w:sz w:val="24"/>
          <w:szCs w:val="24"/>
          <w:vertAlign w:val="subscript"/>
          <w:lang w:val="es-ES" w:eastAsia="es-ES"/>
        </w:rPr>
        <w:t>2</w:t>
      </w:r>
      <w:r w:rsidRPr="00BA3050">
        <w:rPr>
          <w:rFonts w:ascii="Times New Roman" w:eastAsia="Times New Roman" w:hAnsi="Times New Roman" w:cs="Times New Roman"/>
          <w:sz w:val="24"/>
          <w:szCs w:val="24"/>
          <w:lang w:val="es-ES" w:eastAsia="es-ES"/>
        </w:rPr>
        <w:t>-EVLTAD20</w:t>
      </w:r>
      <w:r w:rsidRPr="00BA3050">
        <w:rPr>
          <w:rFonts w:ascii="Times New Roman" w:eastAsia="Times New Roman" w:hAnsi="Times New Roman" w:cs="Times New Roman"/>
          <w:sz w:val="24"/>
          <w:szCs w:val="24"/>
          <w:vertAlign w:val="subscript"/>
          <w:lang w:val="es-ES" w:eastAsia="es-ES"/>
        </w:rPr>
        <w:t>1</w:t>
      </w:r>
      <w:r w:rsidRPr="00BA3050">
        <w:rPr>
          <w:rFonts w:ascii="Times New Roman" w:eastAsia="Times New Roman" w:hAnsi="Times New Roman" w:cs="Times New Roman"/>
          <w:sz w:val="24"/>
          <w:szCs w:val="24"/>
          <w:lang w:val="es-ES" w:eastAsia="es-ES"/>
        </w:rPr>
        <w:t xml:space="preserve">), es la suma de los </w:t>
      </w:r>
      <w:r w:rsidR="00BA3050" w:rsidRPr="00BA3050">
        <w:rPr>
          <w:rFonts w:ascii="Times New Roman" w:eastAsia="Times New Roman" w:hAnsi="Times New Roman" w:cs="Times New Roman"/>
          <w:sz w:val="24"/>
          <w:szCs w:val="24"/>
          <w:lang w:val="es-ES" w:eastAsia="es-ES"/>
        </w:rPr>
        <w:t>componentes</w:t>
      </w:r>
      <w:r w:rsidRPr="00BA3050">
        <w:rPr>
          <w:rFonts w:ascii="Times New Roman" w:eastAsia="Times New Roman" w:hAnsi="Times New Roman" w:cs="Times New Roman"/>
          <w:sz w:val="24"/>
          <w:szCs w:val="24"/>
          <w:lang w:val="es-ES" w:eastAsia="es-ES"/>
        </w:rPr>
        <w:t xml:space="preserve"> MOR y SAL a partir de una serie de operaciones sobre componentes de una tabla de mortalidad. La forma final de este procedimiento es un promedio ponderados de una secuencia de reemplazos de indicadores para cada población. Todos los valores en las fórmulas 9 y 10 representan los mismos conceptos que en la notación anterior, excepto por </w:t>
      </w:r>
      <w:proofErr w:type="spellStart"/>
      <w:r w:rsidRPr="00BA3050">
        <w:rPr>
          <w:rFonts w:ascii="Times New Roman" w:eastAsia="Times New Roman" w:hAnsi="Times New Roman" w:cs="Times New Roman"/>
          <w:sz w:val="24"/>
          <w:szCs w:val="24"/>
          <w:lang w:val="es-ES" w:eastAsia="es-ES"/>
        </w:rPr>
        <w:t>q</w:t>
      </w:r>
      <w:r w:rsidRPr="00BA3050">
        <w:rPr>
          <w:rFonts w:ascii="Times New Roman" w:eastAsia="Times New Roman" w:hAnsi="Times New Roman" w:cs="Times New Roman"/>
          <w:sz w:val="24"/>
          <w:szCs w:val="24"/>
          <w:vertAlign w:val="subscript"/>
          <w:lang w:val="es-ES" w:eastAsia="es-ES"/>
        </w:rPr>
        <w:t>x</w:t>
      </w:r>
      <w:proofErr w:type="spellEnd"/>
      <w:r w:rsidRPr="00BA3050">
        <w:rPr>
          <w:rFonts w:ascii="Times New Roman" w:eastAsia="Times New Roman" w:hAnsi="Times New Roman" w:cs="Times New Roman"/>
          <w:sz w:val="24"/>
          <w:szCs w:val="24"/>
          <w:lang w:val="es-ES" w:eastAsia="es-ES"/>
        </w:rPr>
        <w:t xml:space="preserve"> que es la probabilidad de muerte en una table de vida (en este caso resumida) y también comentando que </w:t>
      </w:r>
      <m:oMath>
        <m:sSubSup>
          <m:sSubSupPr>
            <m:ctrlPr>
              <w:rPr>
                <w:rFonts w:ascii="Cambria Math" w:eastAsia="Times New Roman" w:hAnsi="Cambria Math" w:cs="Times New Roman"/>
                <w:i/>
                <w:sz w:val="24"/>
                <w:szCs w:val="24"/>
                <w:lang w:val="en-US" w:eastAsia="es-ES"/>
              </w:rPr>
            </m:ctrlPr>
          </m:sSubSupPr>
          <m:e>
            <m:r>
              <w:rPr>
                <w:rFonts w:ascii="Cambria Math" w:eastAsia="Times New Roman" w:hAnsi="Cambria Math" w:cs="Times New Roman"/>
                <w:sz w:val="24"/>
                <w:szCs w:val="24"/>
                <w:lang w:val="es-ES" w:eastAsia="es-ES"/>
              </w:rPr>
              <m:t>(EVLTAD20</m:t>
            </m:r>
          </m:e>
          <m:sub>
            <m:r>
              <w:rPr>
                <w:rFonts w:ascii="Cambria Math" w:eastAsia="Times New Roman" w:hAnsi="Cambria Math" w:cs="Times New Roman"/>
                <w:sz w:val="24"/>
                <w:szCs w:val="24"/>
                <w:lang w:val="en-US" w:eastAsia="es-ES"/>
              </w:rPr>
              <m:t>x</m:t>
            </m:r>
            <m:r>
              <w:rPr>
                <w:rFonts w:ascii="Cambria Math" w:eastAsia="Times New Roman" w:hAnsi="Cambria Math" w:cs="Times New Roman"/>
                <w:sz w:val="24"/>
                <w:szCs w:val="24"/>
                <w:lang w:val="es-ES" w:eastAsia="es-ES"/>
              </w:rPr>
              <m:t>+5</m:t>
            </m:r>
          </m:sub>
          <m:sup>
            <m:r>
              <w:rPr>
                <w:rFonts w:ascii="Cambria Math" w:eastAsia="Times New Roman" w:hAnsi="Cambria Math" w:cs="Times New Roman"/>
                <w:sz w:val="24"/>
                <w:szCs w:val="24"/>
                <w:lang w:val="en-US" w:eastAsia="es-ES"/>
              </w:rPr>
              <m:t>i</m:t>
            </m:r>
          </m:sup>
        </m:sSubSup>
      </m:oMath>
      <w:r w:rsidRPr="00BA3050">
        <w:rPr>
          <w:rFonts w:ascii="Times New Roman" w:eastAsia="Times New Roman" w:hAnsi="Times New Roman" w:cs="Times New Roman"/>
          <w:sz w:val="24"/>
          <w:szCs w:val="24"/>
          <w:lang w:val="es-ES" w:eastAsia="es-ES"/>
        </w:rPr>
        <w:t>) no es el indicador final, sino el correspondiente al grupo de edad siguiente:</w:t>
      </w:r>
    </w:p>
    <w:p w:rsidR="0039227C" w:rsidRPr="00BA3050" w:rsidRDefault="0039227C" w:rsidP="00B068ED">
      <w:pPr>
        <w:spacing w:line="360" w:lineRule="auto"/>
        <w:jc w:val="center"/>
        <w:rPr>
          <w:rFonts w:ascii="Cambria Math" w:eastAsia="Times New Roman" w:hAnsi="Cambria Math" w:cs="Times New Roman"/>
          <w:sz w:val="18"/>
          <w:szCs w:val="18"/>
          <w:lang w:val="en-US" w:eastAsia="es-ES"/>
        </w:rPr>
      </w:pPr>
      <m:oMathPara>
        <m:oMathParaPr>
          <m:jc m:val="left"/>
        </m:oMathParaPr>
        <m:oMath>
          <m:r>
            <m:rPr>
              <m:sty m:val="p"/>
            </m:rPr>
            <w:rPr>
              <w:rFonts w:ascii="Cambria Math" w:hAnsi="Cambria Math" w:cs="Times New Roman"/>
              <w:sz w:val="18"/>
              <w:szCs w:val="18"/>
              <w:shd w:val="clear" w:color="auto" w:fill="FFFFFF"/>
              <w:lang w:val="en-US"/>
            </w:rPr>
            <m:t>(9)</m:t>
          </m:r>
          <m:r>
            <m:rPr>
              <m:sty m:val="p"/>
            </m:rPr>
            <w:rPr>
              <w:rFonts w:ascii="Cambria Math" w:hAnsi="Cambria Math" w:cs="Times New Roman"/>
              <w:sz w:val="18"/>
              <w:szCs w:val="18"/>
              <w:shd w:val="clear" w:color="auto" w:fill="FFFFFF"/>
              <w:vertAlign w:val="subscript"/>
              <w:lang w:val="en-US"/>
            </w:rPr>
            <m:t xml:space="preserve"> </m:t>
          </m:r>
          <m:r>
            <w:rPr>
              <w:rFonts w:ascii="Cambria Math" w:eastAsia="Times New Roman" w:hAnsi="Cambria Math" w:cs="Times New Roman"/>
              <w:sz w:val="18"/>
              <w:szCs w:val="18"/>
              <w:lang w:val="en-US" w:eastAsia="es-ES"/>
            </w:rPr>
            <m:t>MOR=</m:t>
          </m:r>
          <m:f>
            <m:fPr>
              <m:ctrlPr>
                <w:rPr>
                  <w:rFonts w:ascii="Cambria Math" w:eastAsia="Times New Roman" w:hAnsi="Cambria Math" w:cs="Times New Roman"/>
                  <w:i/>
                  <w:sz w:val="18"/>
                  <w:szCs w:val="18"/>
                  <w:lang w:val="en-US" w:eastAsia="es-ES"/>
                </w:rPr>
              </m:ctrlPr>
            </m:fPr>
            <m:num>
              <m:r>
                <w:rPr>
                  <w:rFonts w:ascii="Cambria Math" w:eastAsia="Times New Roman" w:hAnsi="Cambria Math" w:cs="Times New Roman"/>
                  <w:sz w:val="18"/>
                  <w:szCs w:val="18"/>
                  <w:lang w:val="en-US" w:eastAsia="es-ES"/>
                </w:rPr>
                <m:t>1</m:t>
              </m:r>
            </m:num>
            <m:den>
              <m:r>
                <w:rPr>
                  <w:rFonts w:ascii="Cambria Math" w:eastAsia="Times New Roman" w:hAnsi="Cambria Math" w:cs="Times New Roman"/>
                  <w:sz w:val="18"/>
                  <w:szCs w:val="18"/>
                  <w:lang w:val="en-US" w:eastAsia="es-ES"/>
                </w:rPr>
                <m:t>4</m:t>
              </m:r>
            </m:den>
          </m:f>
          <m:r>
            <w:rPr>
              <w:rFonts w:ascii="Cambria Math" w:eastAsia="Times New Roman" w:hAnsi="Cambria Math" w:cs="Times New Roman"/>
              <w:sz w:val="18"/>
              <w:szCs w:val="18"/>
              <w:lang w:val="en-US" w:eastAsia="es-ES"/>
            </w:rPr>
            <m:t xml:space="preserve"> </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m:t>
          </m:r>
          <m:d>
            <m:dPr>
              <m:ctrlPr>
                <w:rPr>
                  <w:rFonts w:ascii="Cambria Math" w:eastAsia="Times New Roman" w:hAnsi="Cambria Math" w:cs="Times New Roman"/>
                  <w:i/>
                  <w:sz w:val="18"/>
                  <w:szCs w:val="18"/>
                  <w:lang w:val="en-US" w:eastAsia="es-ES"/>
                </w:rPr>
              </m:ctrlPr>
            </m:dPr>
            <m:e>
              <m:r>
                <w:rPr>
                  <w:rFonts w:ascii="Cambria Math" w:eastAsia="Times New Roman" w:hAnsi="Cambria Math" w:cs="Times New Roman"/>
                  <w:sz w:val="18"/>
                  <w:szCs w:val="18"/>
                  <w:lang w:val="en-US" w:eastAsia="es-ES"/>
                </w:rPr>
                <m:t xml:space="preserve"> </m:t>
              </m:r>
              <m:f>
                <m:fPr>
                  <m:ctrlPr>
                    <w:rPr>
                      <w:rFonts w:ascii="Cambria Math" w:eastAsia="Times New Roman" w:hAnsi="Cambria Math" w:cs="Times New Roman"/>
                      <w:i/>
                      <w:sz w:val="18"/>
                      <w:szCs w:val="18"/>
                      <w:lang w:val="en-US" w:eastAsia="es-ES"/>
                    </w:rPr>
                  </m:ctrlPr>
                </m:fPr>
                <m:num>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 xml:space="preserve"> </m:t>
                  </m:r>
                </m:num>
                <m:den>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den>
              </m:f>
              <m:r>
                <w:rPr>
                  <w:rFonts w:ascii="Cambria Math" w:eastAsia="Times New Roman" w:hAnsi="Cambria Math" w:cs="Times New Roman"/>
                  <w:sz w:val="18"/>
                  <w:szCs w:val="18"/>
                  <w:lang w:val="en-US" w:eastAsia="es-ES"/>
                </w:rPr>
                <m:t>-</m:t>
              </m:r>
              <m:f>
                <m:fPr>
                  <m:ctrlPr>
                    <w:rPr>
                      <w:rFonts w:ascii="Cambria Math" w:eastAsia="Times New Roman" w:hAnsi="Cambria Math" w:cs="Times New Roman"/>
                      <w:i/>
                      <w:sz w:val="18"/>
                      <w:szCs w:val="18"/>
                      <w:lang w:val="en-US" w:eastAsia="es-ES"/>
                    </w:rPr>
                  </m:ctrlPr>
                </m:fPr>
                <m:num>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 xml:space="preserve"> </m:t>
                  </m:r>
                </m:num>
                <m:den>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den>
              </m:f>
            </m:e>
          </m:d>
          <m:r>
            <w:rPr>
              <w:rFonts w:ascii="Cambria Math" w:eastAsia="Times New Roman" w:hAnsi="Cambria Math" w:cs="Times New Roman"/>
              <w:sz w:val="18"/>
              <w:szCs w:val="18"/>
              <w:lang w:val="en-US" w:eastAsia="es-ES"/>
            </w:rPr>
            <m:t>*</m:t>
          </m:r>
          <m:d>
            <m:dPr>
              <m:ctrlPr>
                <w:rPr>
                  <w:rFonts w:ascii="Cambria Math" w:eastAsia="Times New Roman" w:hAnsi="Cambria Math" w:cs="Times New Roman"/>
                  <w:i/>
                  <w:sz w:val="18"/>
                  <w:szCs w:val="18"/>
                  <w:lang w:val="en-US" w:eastAsia="es-ES"/>
                </w:rPr>
              </m:ctrlPr>
            </m:dPr>
            <m:e>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rPr>
                    <m:t>π</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 xml:space="preserve">+ </m:t>
              </m:r>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rPr>
                    <m:t>π</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 xml:space="preserve"> </m:t>
              </m:r>
            </m:e>
          </m:d>
          <m:r>
            <w:rPr>
              <w:rFonts w:ascii="Cambria Math" w:eastAsia="Times New Roman" w:hAnsi="Cambria Math" w:cs="Times New Roman"/>
              <w:sz w:val="18"/>
              <w:szCs w:val="18"/>
              <w:lang w:val="en-US" w:eastAsia="es-ES"/>
            </w:rPr>
            <m:t>+</m:t>
          </m:r>
          <m:f>
            <m:fPr>
              <m:ctrlPr>
                <w:rPr>
                  <w:rFonts w:ascii="Cambria Math" w:eastAsia="Times New Roman" w:hAnsi="Cambria Math" w:cs="Times New Roman"/>
                  <w:i/>
                  <w:sz w:val="18"/>
                  <w:szCs w:val="18"/>
                  <w:lang w:val="en-US" w:eastAsia="es-ES"/>
                </w:rPr>
              </m:ctrlPr>
            </m:fPr>
            <m:num>
              <m:r>
                <w:rPr>
                  <w:rFonts w:ascii="Cambria Math" w:eastAsia="Times New Roman" w:hAnsi="Cambria Math" w:cs="Times New Roman"/>
                  <w:sz w:val="18"/>
                  <w:szCs w:val="18"/>
                  <w:lang w:val="en-US" w:eastAsia="es-ES"/>
                </w:rPr>
                <m:t>1</m:t>
              </m:r>
            </m:num>
            <m:den>
              <m:r>
                <w:rPr>
                  <w:rFonts w:ascii="Cambria Math" w:eastAsia="Times New Roman" w:hAnsi="Cambria Math" w:cs="Times New Roman"/>
                  <w:sz w:val="18"/>
                  <w:szCs w:val="18"/>
                  <w:lang w:val="en-US" w:eastAsia="es-ES"/>
                </w:rPr>
                <m:t>2</m:t>
              </m:r>
            </m:den>
          </m:f>
          <m:r>
            <w:rPr>
              <w:rFonts w:ascii="Cambria Math" w:eastAsia="Times New Roman" w:hAnsi="Cambria Math" w:cs="Times New Roman"/>
              <w:sz w:val="18"/>
              <w:szCs w:val="18"/>
              <w:lang w:val="en-US" w:eastAsia="es-ES"/>
            </w:rPr>
            <m:t xml:space="preserve"> </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(EVLTAD20</m:t>
              </m:r>
            </m:e>
            <m:sub>
              <m:r>
                <w:rPr>
                  <w:rFonts w:ascii="Cambria Math" w:eastAsia="Times New Roman" w:hAnsi="Cambria Math" w:cs="Times New Roman"/>
                  <w:sz w:val="18"/>
                  <w:szCs w:val="18"/>
                  <w:lang w:val="en-US" w:eastAsia="es-ES"/>
                </w:rPr>
                <m:t>x+5</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 xml:space="preserve">x </m:t>
              </m:r>
            </m:sub>
            <m:sup>
              <m:r>
                <w:rPr>
                  <w:rFonts w:ascii="Cambria Math" w:eastAsia="Times New Roman" w:hAnsi="Cambria Math" w:cs="Times New Roman"/>
                  <w:sz w:val="18"/>
                  <w:szCs w:val="18"/>
                  <w:lang w:val="en-US" w:eastAsia="es-ES"/>
                </w:rPr>
                <m:t>2</m:t>
              </m:r>
            </m:sup>
          </m:sSubSup>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 EVLTAD20</m:t>
              </m:r>
            </m:e>
            <m:sub>
              <m:r>
                <w:rPr>
                  <w:rFonts w:ascii="Cambria Math" w:eastAsia="Times New Roman" w:hAnsi="Cambria Math" w:cs="Times New Roman"/>
                  <w:sz w:val="18"/>
                  <w:szCs w:val="18"/>
                  <w:lang w:val="en-US" w:eastAsia="es-ES"/>
                </w:rPr>
                <m:t>x+5</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 xml:space="preserve">x </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 xml:space="preserve">)* </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(q</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q</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m:t>
          </m:r>
        </m:oMath>
      </m:oMathPara>
    </w:p>
    <w:p w:rsidR="0039227C" w:rsidRPr="00BA3050" w:rsidRDefault="0039227C" w:rsidP="00B068ED">
      <w:pPr>
        <w:spacing w:line="360" w:lineRule="auto"/>
        <w:jc w:val="center"/>
        <w:rPr>
          <w:rFonts w:ascii="Cambria Math" w:eastAsiaTheme="minorEastAsia" w:hAnsi="Cambria Math" w:cs="Times New Roman"/>
          <w:sz w:val="18"/>
          <w:szCs w:val="18"/>
          <w:lang w:val="en-US" w:eastAsia="es-ES"/>
        </w:rPr>
      </w:pPr>
      <w:r w:rsidRPr="00BA3050">
        <w:rPr>
          <w:rFonts w:ascii="Cambria Math" w:hAnsi="Cambria Math" w:cs="Times New Roman"/>
          <w:bCs/>
          <w:sz w:val="18"/>
          <w:szCs w:val="18"/>
          <w:shd w:val="clear" w:color="auto" w:fill="FFFFFF"/>
          <w:lang w:val="en-US"/>
        </w:rPr>
        <w:t>(10)</w:t>
      </w:r>
      <w:r w:rsidRPr="00BA3050">
        <w:rPr>
          <w:rFonts w:ascii="Cambria Math" w:hAnsi="Cambria Math" w:cs="Times New Roman"/>
          <w:bCs/>
          <w:sz w:val="18"/>
          <w:szCs w:val="18"/>
          <w:shd w:val="clear" w:color="auto" w:fill="FFFFFF"/>
          <w:vertAlign w:val="subscript"/>
          <w:lang w:val="en-US"/>
        </w:rPr>
        <w:t xml:space="preserve"> </w:t>
      </w:r>
      <m:oMath>
        <m:r>
          <w:rPr>
            <w:rFonts w:ascii="Cambria Math" w:eastAsia="Times New Roman" w:hAnsi="Cambria Math" w:cs="Times New Roman"/>
            <w:sz w:val="18"/>
            <w:szCs w:val="18"/>
            <w:lang w:val="en-US" w:eastAsia="es-ES"/>
          </w:rPr>
          <m:t xml:space="preserve">SAL= </m:t>
        </m:r>
        <m:f>
          <m:fPr>
            <m:ctrlPr>
              <w:rPr>
                <w:rFonts w:ascii="Cambria Math" w:eastAsia="Times New Roman" w:hAnsi="Cambria Math" w:cs="Times New Roman"/>
                <w:i/>
                <w:sz w:val="18"/>
                <w:szCs w:val="18"/>
                <w:lang w:val="en-US" w:eastAsia="es-ES"/>
              </w:rPr>
            </m:ctrlPr>
          </m:fPr>
          <m:num>
            <m:r>
              <w:rPr>
                <w:rFonts w:ascii="Cambria Math" w:eastAsia="Times New Roman" w:hAnsi="Cambria Math" w:cs="Times New Roman"/>
                <w:sz w:val="18"/>
                <w:szCs w:val="18"/>
                <w:lang w:val="en-US" w:eastAsia="es-ES"/>
              </w:rPr>
              <m:t>1</m:t>
            </m:r>
          </m:num>
          <m:den>
            <m:r>
              <w:rPr>
                <w:rFonts w:ascii="Cambria Math" w:eastAsia="Times New Roman" w:hAnsi="Cambria Math" w:cs="Times New Roman"/>
                <w:sz w:val="18"/>
                <w:szCs w:val="18"/>
                <w:lang w:val="en-US" w:eastAsia="es-ES"/>
              </w:rPr>
              <m:t>4</m:t>
            </m:r>
          </m:den>
        </m:f>
        <m:r>
          <w:rPr>
            <w:rFonts w:ascii="Cambria Math" w:eastAsia="Times New Roman" w:hAnsi="Cambria Math" w:cs="Times New Roman"/>
            <w:sz w:val="18"/>
            <w:szCs w:val="18"/>
            <w:lang w:val="en-US" w:eastAsia="es-ES"/>
          </w:rPr>
          <m:t xml:space="preserve"> </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m:t>
        </m:r>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 xml:space="preserve">)* </m:t>
        </m:r>
        <m:d>
          <m:dPr>
            <m:ctrlPr>
              <w:rPr>
                <w:rFonts w:ascii="Cambria Math" w:eastAsia="Times New Roman" w:hAnsi="Cambria Math" w:cs="Times New Roman"/>
                <w:i/>
                <w:sz w:val="18"/>
                <w:szCs w:val="18"/>
                <w:lang w:val="en-US" w:eastAsia="es-ES"/>
              </w:rPr>
            </m:ctrlPr>
          </m:dPr>
          <m:e>
            <m:r>
              <w:rPr>
                <w:rFonts w:ascii="Cambria Math" w:eastAsia="Times New Roman" w:hAnsi="Cambria Math" w:cs="Times New Roman"/>
                <w:sz w:val="18"/>
                <w:szCs w:val="18"/>
                <w:lang w:val="en-US" w:eastAsia="es-ES"/>
              </w:rPr>
              <m:t xml:space="preserve"> </m:t>
            </m:r>
            <m:f>
              <m:fPr>
                <m:ctrlPr>
                  <w:rPr>
                    <w:rFonts w:ascii="Cambria Math" w:eastAsia="Times New Roman" w:hAnsi="Cambria Math" w:cs="Times New Roman"/>
                    <w:i/>
                    <w:sz w:val="18"/>
                    <w:szCs w:val="18"/>
                    <w:lang w:val="en-US" w:eastAsia="es-ES"/>
                  </w:rPr>
                </m:ctrlPr>
              </m:fPr>
              <m:num>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lang w:val="en-U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 xml:space="preserve"> </m:t>
                </m:r>
              </m:num>
              <m:den>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den>
            </m:f>
            <m:r>
              <w:rPr>
                <w:rFonts w:ascii="Cambria Math" w:eastAsia="Times New Roman" w:hAnsi="Cambria Math" w:cs="Times New Roman"/>
                <w:sz w:val="18"/>
                <w:szCs w:val="18"/>
                <w:lang w:val="en-US" w:eastAsia="es-ES"/>
              </w:rPr>
              <m:t>+</m:t>
            </m:r>
            <m:f>
              <m:fPr>
                <m:ctrlPr>
                  <w:rPr>
                    <w:rFonts w:ascii="Cambria Math" w:eastAsia="Times New Roman" w:hAnsi="Cambria Math" w:cs="Times New Roman"/>
                    <w:i/>
                    <w:sz w:val="18"/>
                    <w:szCs w:val="18"/>
                    <w:lang w:val="en-US" w:eastAsia="es-ES"/>
                  </w:rPr>
                </m:ctrlPr>
              </m:fPr>
              <m:num>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lang w:val="en-U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 xml:space="preserve"> </m:t>
                </m:r>
              </m:num>
              <m:den>
                <m:sSubSup>
                  <m:sSubSupPr>
                    <m:ctrlPr>
                      <w:rPr>
                        <w:rFonts w:ascii="Cambria Math" w:eastAsia="Times New Roman" w:hAnsi="Cambria Math" w:cs="Times New Roman"/>
                        <w:i/>
                        <w:sz w:val="18"/>
                        <w:szCs w:val="18"/>
                        <w:lang w:val="en-US" w:eastAsia="es-ES"/>
                      </w:rPr>
                    </m:ctrlPr>
                  </m:sSubSupPr>
                  <m:e>
                    <m:r>
                      <w:rPr>
                        <w:rFonts w:ascii="Cambria Math" w:eastAsia="Times New Roman" w:hAnsi="Cambria Math" w:cs="Times New Roman"/>
                        <w:sz w:val="18"/>
                        <w:szCs w:val="18"/>
                        <w:lang w:val="en-US" w:eastAsia="es-ES"/>
                      </w:rPr>
                      <m:t>l</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den>
            </m:f>
          </m:e>
        </m:d>
        <m:r>
          <w:rPr>
            <w:rFonts w:ascii="Cambria Math" w:eastAsia="Times New Roman" w:hAnsi="Cambria Math" w:cs="Times New Roman"/>
            <w:sz w:val="18"/>
            <w:szCs w:val="18"/>
            <w:lang w:val="en-US" w:eastAsia="es-ES"/>
          </w:rPr>
          <m:t>*(</m:t>
        </m:r>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rPr>
              <m:t>π</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2</m:t>
            </m:r>
          </m:sup>
        </m:sSubSup>
        <m:r>
          <w:rPr>
            <w:rFonts w:ascii="Cambria Math" w:eastAsia="Times New Roman" w:hAnsi="Cambria Math" w:cs="Times New Roman"/>
            <w:sz w:val="18"/>
            <w:szCs w:val="18"/>
            <w:lang w:val="en-US" w:eastAsia="es-ES"/>
          </w:rPr>
          <m:t xml:space="preserve">- </m:t>
        </m:r>
        <m:sSubSup>
          <m:sSubSupPr>
            <m:ctrlPr>
              <w:rPr>
                <w:rFonts w:ascii="Cambria Math" w:eastAsia="Times New Roman" w:hAnsi="Cambria Math" w:cs="Times New Roman"/>
                <w:i/>
                <w:sz w:val="18"/>
                <w:szCs w:val="18"/>
                <w:lang w:val="en-US" w:eastAsia="es-ES"/>
              </w:rPr>
            </m:ctrlPr>
          </m:sSubSupPr>
          <m:e>
            <m:r>
              <m:rPr>
                <m:sty m:val="p"/>
              </m:rPr>
              <w:rPr>
                <w:rFonts w:ascii="Cambria Math" w:hAnsi="Cambria Math" w:cs="Times New Roman"/>
                <w:sz w:val="18"/>
                <w:szCs w:val="18"/>
                <w:shd w:val="clear" w:color="auto" w:fill="FFFFFF"/>
              </w:rPr>
              <m:t>π</m:t>
            </m:r>
          </m:e>
          <m:sub>
            <m:r>
              <w:rPr>
                <w:rFonts w:ascii="Cambria Math" w:eastAsia="Times New Roman" w:hAnsi="Cambria Math" w:cs="Times New Roman"/>
                <w:sz w:val="18"/>
                <w:szCs w:val="18"/>
                <w:lang w:val="en-US" w:eastAsia="es-ES"/>
              </w:rPr>
              <m:t>x</m:t>
            </m:r>
          </m:sub>
          <m:sup>
            <m:r>
              <w:rPr>
                <w:rFonts w:ascii="Cambria Math" w:eastAsia="Times New Roman" w:hAnsi="Cambria Math" w:cs="Times New Roman"/>
                <w:sz w:val="18"/>
                <w:szCs w:val="18"/>
                <w:lang w:val="en-US" w:eastAsia="es-ES"/>
              </w:rPr>
              <m:t>1</m:t>
            </m:r>
          </m:sup>
        </m:sSubSup>
        <m:r>
          <w:rPr>
            <w:rFonts w:ascii="Cambria Math" w:eastAsia="Times New Roman" w:hAnsi="Cambria Math" w:cs="Times New Roman"/>
            <w:sz w:val="18"/>
            <w:szCs w:val="18"/>
            <w:lang w:val="en-US" w:eastAsia="es-ES"/>
          </w:rPr>
          <m:t xml:space="preserve"> )</m:t>
        </m:r>
      </m:oMath>
    </w:p>
    <w:p w:rsidR="0039227C" w:rsidRPr="00BA3050" w:rsidRDefault="0039227C" w:rsidP="00B068ED">
      <w:pPr>
        <w:spacing w:line="360" w:lineRule="auto"/>
        <w:rPr>
          <w:rFonts w:ascii="Times New Roman" w:eastAsia="Times New Roman" w:hAnsi="Times New Roman" w:cs="Times New Roman"/>
          <w:sz w:val="24"/>
          <w:szCs w:val="24"/>
          <w:lang w:val="es-ES" w:eastAsia="es-ES"/>
        </w:rPr>
      </w:pPr>
      <w:r w:rsidRPr="00D3168A">
        <w:rPr>
          <w:rFonts w:ascii="Times New Roman" w:eastAsia="Times New Roman" w:hAnsi="Times New Roman" w:cs="Times New Roman"/>
          <w:sz w:val="24"/>
          <w:szCs w:val="24"/>
          <w:lang w:val="en-US" w:eastAsia="es-ES"/>
        </w:rPr>
        <w:tab/>
      </w:r>
      <w:r w:rsidRPr="00BA3050">
        <w:rPr>
          <w:rFonts w:ascii="Times New Roman" w:eastAsia="Times New Roman" w:hAnsi="Times New Roman" w:cs="Times New Roman"/>
          <w:sz w:val="24"/>
          <w:szCs w:val="24"/>
          <w:lang w:val="es-ES" w:eastAsia="es-ES"/>
        </w:rPr>
        <w:t>Y por tanto en la ecuación 11:</w:t>
      </w:r>
    </w:p>
    <w:p w:rsidR="0039227C" w:rsidRPr="00D3168A" w:rsidRDefault="0039227C" w:rsidP="00B068ED">
      <w:pPr>
        <w:spacing w:line="360" w:lineRule="auto"/>
        <w:jc w:val="center"/>
        <w:rPr>
          <w:rFonts w:ascii="Times New Roman" w:eastAsia="Times New Roman" w:hAnsi="Times New Roman" w:cs="Times New Roman"/>
          <w:sz w:val="24"/>
          <w:szCs w:val="24"/>
          <w:lang w:val="es-ES" w:eastAsia="es-ES"/>
        </w:rPr>
      </w:pPr>
      <w:r w:rsidRPr="00D3168A">
        <w:rPr>
          <w:rFonts w:ascii="Times New Roman" w:hAnsi="Times New Roman" w:cs="Times New Roman"/>
          <w:bCs/>
          <w:sz w:val="24"/>
          <w:szCs w:val="24"/>
          <w:shd w:val="clear" w:color="auto" w:fill="FFFFFF"/>
          <w:lang w:val="es-ES"/>
        </w:rPr>
        <w:t>(11)</w:t>
      </w:r>
      <w:r w:rsidRPr="00D3168A">
        <w:rPr>
          <w:rFonts w:ascii="Times New Roman" w:hAnsi="Times New Roman" w:cs="Times New Roman"/>
          <w:bCs/>
          <w:sz w:val="24"/>
          <w:szCs w:val="24"/>
          <w:shd w:val="clear" w:color="auto" w:fill="FFFFFF"/>
          <w:vertAlign w:val="subscript"/>
          <w:lang w:val="es-ES"/>
        </w:rPr>
        <w:t xml:space="preserve"> </w:t>
      </w:r>
      <m:oMath>
        <m:sSubSup>
          <m:sSubSupPr>
            <m:ctrlPr>
              <w:rPr>
                <w:rFonts w:ascii="Cambria Math" w:eastAsia="Times New Roman" w:hAnsi="Cambria Math" w:cs="Times New Roman"/>
                <w:i/>
                <w:sz w:val="24"/>
                <w:szCs w:val="24"/>
                <w:lang w:val="en-US" w:eastAsia="es-ES"/>
              </w:rPr>
            </m:ctrlPr>
          </m:sSubSupPr>
          <m:e>
            <m:r>
              <w:rPr>
                <w:rFonts w:ascii="Cambria Math" w:eastAsia="Times New Roman" w:hAnsi="Cambria Math" w:cs="Times New Roman"/>
                <w:sz w:val="24"/>
                <w:szCs w:val="24"/>
                <w:lang w:val="es-ES" w:eastAsia="es-ES"/>
              </w:rPr>
              <m:t xml:space="preserve"> </m:t>
            </m:r>
            <m:r>
              <w:rPr>
                <w:rFonts w:ascii="Cambria Math" w:eastAsia="Times New Roman" w:hAnsi="Cambria Math" w:cs="Times New Roman"/>
                <w:sz w:val="24"/>
                <w:szCs w:val="24"/>
                <w:lang w:val="en-US" w:eastAsia="es-ES"/>
              </w:rPr>
              <m:t>EVLTAD</m:t>
            </m:r>
            <m:r>
              <w:rPr>
                <w:rFonts w:ascii="Cambria Math" w:eastAsia="Times New Roman" w:hAnsi="Cambria Math" w:cs="Times New Roman"/>
                <w:sz w:val="24"/>
                <w:szCs w:val="24"/>
                <w:lang w:val="es-ES" w:eastAsia="es-ES"/>
              </w:rPr>
              <m:t>20</m:t>
            </m:r>
          </m:e>
          <m:sub>
            <m:r>
              <w:rPr>
                <w:rFonts w:ascii="Cambria Math" w:eastAsia="Times New Roman" w:hAnsi="Cambria Math" w:cs="Times New Roman"/>
                <w:sz w:val="24"/>
                <w:szCs w:val="24"/>
                <w:lang w:val="en-US" w:eastAsia="es-ES"/>
              </w:rPr>
              <m:t>x</m:t>
            </m:r>
          </m:sub>
          <m:sup>
            <m:r>
              <w:rPr>
                <w:rFonts w:ascii="Cambria Math" w:eastAsia="Times New Roman" w:hAnsi="Cambria Math" w:cs="Times New Roman"/>
                <w:sz w:val="24"/>
                <w:szCs w:val="24"/>
                <w:lang w:val="es-ES" w:eastAsia="es-ES"/>
              </w:rPr>
              <m:t>2</m:t>
            </m:r>
          </m:sup>
        </m:sSubSup>
        <m:r>
          <w:rPr>
            <w:rFonts w:ascii="Cambria Math" w:eastAsia="Times New Roman" w:hAnsi="Cambria Math" w:cs="Times New Roman"/>
            <w:sz w:val="24"/>
            <w:szCs w:val="24"/>
            <w:lang w:val="es-ES" w:eastAsia="es-ES"/>
          </w:rPr>
          <m:t>-</m:t>
        </m:r>
        <m:sSubSup>
          <m:sSubSupPr>
            <m:ctrlPr>
              <w:rPr>
                <w:rFonts w:ascii="Cambria Math" w:eastAsia="Times New Roman" w:hAnsi="Cambria Math" w:cs="Times New Roman"/>
                <w:i/>
                <w:sz w:val="24"/>
                <w:szCs w:val="24"/>
                <w:lang w:val="en-US" w:eastAsia="es-ES"/>
              </w:rPr>
            </m:ctrlPr>
          </m:sSubSupPr>
          <m:e>
            <m:r>
              <w:rPr>
                <w:rFonts w:ascii="Cambria Math" w:eastAsia="Times New Roman" w:hAnsi="Cambria Math" w:cs="Times New Roman"/>
                <w:sz w:val="24"/>
                <w:szCs w:val="24"/>
                <w:lang w:val="en-US" w:eastAsia="es-ES"/>
              </w:rPr>
              <m:t>EVLTAD</m:t>
            </m:r>
            <m:r>
              <w:rPr>
                <w:rFonts w:ascii="Cambria Math" w:eastAsia="Times New Roman" w:hAnsi="Cambria Math" w:cs="Times New Roman"/>
                <w:sz w:val="24"/>
                <w:szCs w:val="24"/>
                <w:lang w:val="es-ES" w:eastAsia="es-ES"/>
              </w:rPr>
              <m:t>20</m:t>
            </m:r>
          </m:e>
          <m:sub>
            <m:r>
              <w:rPr>
                <w:rFonts w:ascii="Cambria Math" w:eastAsia="Times New Roman" w:hAnsi="Cambria Math" w:cs="Times New Roman"/>
                <w:sz w:val="24"/>
                <w:szCs w:val="24"/>
                <w:lang w:val="en-US" w:eastAsia="es-ES"/>
              </w:rPr>
              <m:t>x</m:t>
            </m:r>
          </m:sub>
          <m:sup>
            <m:r>
              <w:rPr>
                <w:rFonts w:ascii="Cambria Math" w:eastAsia="Times New Roman" w:hAnsi="Cambria Math" w:cs="Times New Roman"/>
                <w:sz w:val="24"/>
                <w:szCs w:val="24"/>
                <w:lang w:val="es-ES" w:eastAsia="es-ES"/>
              </w:rPr>
              <m:t>1</m:t>
            </m:r>
          </m:sup>
        </m:sSubSup>
        <m:r>
          <w:rPr>
            <w:rFonts w:ascii="Cambria Math" w:eastAsia="Times New Roman" w:hAnsi="Cambria Math" w:cs="Times New Roman"/>
            <w:sz w:val="24"/>
            <w:szCs w:val="24"/>
            <w:lang w:val="es-ES" w:eastAsia="es-ES"/>
          </w:rPr>
          <m:t xml:space="preserve"> =</m:t>
        </m:r>
        <m:r>
          <m:rPr>
            <m:sty m:val="p"/>
          </m:rPr>
          <w:rPr>
            <w:rFonts w:ascii="Cambria Math" w:eastAsia="Times New Roman" w:hAnsi="Cambria Math" w:cs="Times New Roman"/>
            <w:sz w:val="24"/>
            <w:szCs w:val="24"/>
            <w:lang w:val="es-ES" w:eastAsia="es-ES"/>
          </w:rPr>
          <m:t>MOR+SAL</m:t>
        </m:r>
      </m:oMath>
    </w:p>
    <w:p w:rsidR="0039227C" w:rsidRPr="00BA3050" w:rsidRDefault="0039227C" w:rsidP="00B068ED">
      <w:pPr>
        <w:spacing w:line="360" w:lineRule="auto"/>
        <w:ind w:firstLine="720"/>
        <w:jc w:val="both"/>
        <w:rPr>
          <w:rFonts w:ascii="Times New Roman" w:eastAsia="Times New Roman" w:hAnsi="Times New Roman" w:cs="Times New Roman"/>
          <w:sz w:val="24"/>
          <w:szCs w:val="24"/>
          <w:lang w:val="es-ES" w:eastAsia="es-ES"/>
        </w:rPr>
      </w:pPr>
      <w:r w:rsidRPr="00BA3050">
        <w:rPr>
          <w:rFonts w:ascii="Times New Roman" w:eastAsia="Times New Roman" w:hAnsi="Times New Roman" w:cs="Times New Roman"/>
          <w:sz w:val="24"/>
          <w:szCs w:val="24"/>
          <w:lang w:val="es-ES" w:eastAsia="es-ES"/>
        </w:rPr>
        <w:t>Finalmente, considerando que tanto los component</w:t>
      </w:r>
      <w:r w:rsidR="00127C9C">
        <w:rPr>
          <w:rFonts w:ascii="Times New Roman" w:eastAsia="Times New Roman" w:hAnsi="Times New Roman" w:cs="Times New Roman"/>
          <w:sz w:val="24"/>
          <w:szCs w:val="24"/>
          <w:lang w:val="es-ES" w:eastAsia="es-ES"/>
        </w:rPr>
        <w:t>e</w:t>
      </w:r>
      <w:r w:rsidRPr="00BA3050">
        <w:rPr>
          <w:rFonts w:ascii="Times New Roman" w:eastAsia="Times New Roman" w:hAnsi="Times New Roman" w:cs="Times New Roman"/>
          <w:sz w:val="24"/>
          <w:szCs w:val="24"/>
          <w:lang w:val="es-ES" w:eastAsia="es-ES"/>
        </w:rPr>
        <w:t>s de mortalidad como de morbilidad/salud son la suma de las contribuciones específicas por cada grupo de edad (siendo w el grupo de edad final en una tabla de mortalidad), pueden ser expresados de la siguiente manera (12, 13), para una descomposición específica por edades:</w:t>
      </w:r>
    </w:p>
    <w:p w:rsidR="0039227C" w:rsidRPr="00BA3050" w:rsidRDefault="0039227C" w:rsidP="00B068ED">
      <w:pPr>
        <w:spacing w:line="360" w:lineRule="auto"/>
        <w:jc w:val="center"/>
        <w:rPr>
          <w:rFonts w:ascii="Times New Roman" w:eastAsia="Times New Roman" w:hAnsi="Times New Roman" w:cs="Times New Roman"/>
          <w:sz w:val="24"/>
          <w:szCs w:val="24"/>
          <w:lang w:val="en-US" w:eastAsia="es-ES"/>
        </w:rPr>
      </w:pPr>
      <w:r w:rsidRPr="00BA3050">
        <w:rPr>
          <w:rFonts w:ascii="Times New Roman" w:hAnsi="Times New Roman" w:cs="Times New Roman"/>
          <w:bCs/>
          <w:sz w:val="24"/>
          <w:szCs w:val="24"/>
          <w:shd w:val="clear" w:color="auto" w:fill="FFFFFF"/>
          <w:lang w:val="en-US"/>
        </w:rPr>
        <w:t>(12)</w:t>
      </w:r>
      <w:r w:rsidRPr="00BA3050">
        <w:rPr>
          <w:rFonts w:ascii="Times New Roman" w:hAnsi="Times New Roman" w:cs="Times New Roman"/>
          <w:bCs/>
          <w:sz w:val="24"/>
          <w:szCs w:val="24"/>
          <w:shd w:val="clear" w:color="auto" w:fill="FFFFFF"/>
          <w:vertAlign w:val="subscript"/>
          <w:lang w:val="en-US"/>
        </w:rPr>
        <w:t xml:space="preserve"> </w:t>
      </w:r>
      <w:r w:rsidRPr="00BA3050">
        <w:rPr>
          <w:rFonts w:ascii="Times New Roman" w:eastAsia="Times New Roman" w:hAnsi="Times New Roman" w:cs="Times New Roman"/>
          <w:sz w:val="24"/>
          <w:szCs w:val="24"/>
          <w:lang w:val="en-US" w:eastAsia="es-ES"/>
        </w:rPr>
        <w:t>MOR = ∑</w:t>
      </w:r>
      <w:proofErr w:type="spellStart"/>
      <w:proofErr w:type="gramStart"/>
      <w:r w:rsidRPr="00BA3050">
        <w:rPr>
          <w:rFonts w:ascii="Times New Roman" w:eastAsia="Times New Roman" w:hAnsi="Times New Roman" w:cs="Times New Roman"/>
          <w:sz w:val="24"/>
          <w:szCs w:val="24"/>
          <w:vertAlign w:val="superscript"/>
          <w:lang w:val="en-US" w:eastAsia="es-ES"/>
        </w:rPr>
        <w:t>x,w</w:t>
      </w:r>
      <w:proofErr w:type="spellEnd"/>
      <w:proofErr w:type="gramEnd"/>
      <w:r w:rsidRPr="00BA3050">
        <w:rPr>
          <w:rFonts w:ascii="Times New Roman" w:eastAsia="Times New Roman" w:hAnsi="Times New Roman" w:cs="Times New Roman"/>
          <w:sz w:val="24"/>
          <w:szCs w:val="24"/>
          <w:vertAlign w:val="superscript"/>
          <w:lang w:val="en-US" w:eastAsia="es-ES"/>
        </w:rPr>
        <w:t xml:space="preserve"> </w:t>
      </w:r>
      <w:r w:rsidRPr="00BA3050">
        <w:rPr>
          <w:rFonts w:ascii="Times New Roman" w:eastAsia="Times New Roman" w:hAnsi="Times New Roman" w:cs="Times New Roman"/>
          <w:sz w:val="24"/>
          <w:szCs w:val="24"/>
          <w:vertAlign w:val="subscript"/>
          <w:lang w:val="en-US" w:eastAsia="es-ES"/>
        </w:rPr>
        <w:t>5</w:t>
      </w:r>
      <w:r w:rsidRPr="00BA3050">
        <w:rPr>
          <w:rFonts w:ascii="Times New Roman" w:eastAsia="Times New Roman" w:hAnsi="Times New Roman" w:cs="Times New Roman"/>
          <w:sz w:val="24"/>
          <w:szCs w:val="24"/>
          <w:lang w:val="en-US" w:eastAsia="es-ES"/>
        </w:rPr>
        <w:t>MOR</w:t>
      </w:r>
      <w:r w:rsidRPr="00BA3050">
        <w:rPr>
          <w:rFonts w:ascii="Times New Roman" w:eastAsia="Times New Roman" w:hAnsi="Times New Roman" w:cs="Times New Roman"/>
          <w:sz w:val="24"/>
          <w:szCs w:val="24"/>
          <w:vertAlign w:val="subscript"/>
          <w:lang w:val="en-US" w:eastAsia="es-ES"/>
        </w:rPr>
        <w:t>x</w:t>
      </w:r>
    </w:p>
    <w:p w:rsidR="0039227C" w:rsidRPr="00BA3050" w:rsidRDefault="0039227C" w:rsidP="00B068ED">
      <w:pPr>
        <w:spacing w:line="360" w:lineRule="auto"/>
        <w:jc w:val="center"/>
        <w:rPr>
          <w:rFonts w:ascii="Times New Roman" w:eastAsia="Times New Roman" w:hAnsi="Times New Roman" w:cs="Times New Roman"/>
          <w:sz w:val="24"/>
          <w:szCs w:val="24"/>
          <w:lang w:val="en-US" w:eastAsia="es-ES"/>
        </w:rPr>
      </w:pPr>
      <w:r w:rsidRPr="00BA3050">
        <w:rPr>
          <w:rFonts w:ascii="Times New Roman" w:hAnsi="Times New Roman" w:cs="Times New Roman"/>
          <w:bCs/>
          <w:sz w:val="24"/>
          <w:szCs w:val="24"/>
          <w:shd w:val="clear" w:color="auto" w:fill="FFFFFF"/>
          <w:lang w:val="en-US"/>
        </w:rPr>
        <w:t>(13)</w:t>
      </w:r>
      <w:r w:rsidRPr="00BA3050">
        <w:rPr>
          <w:rFonts w:ascii="Times New Roman" w:hAnsi="Times New Roman" w:cs="Times New Roman"/>
          <w:bCs/>
          <w:sz w:val="24"/>
          <w:szCs w:val="24"/>
          <w:shd w:val="clear" w:color="auto" w:fill="FFFFFF"/>
          <w:vertAlign w:val="subscript"/>
          <w:lang w:val="en-US"/>
        </w:rPr>
        <w:t xml:space="preserve"> </w:t>
      </w:r>
      <w:r w:rsidR="002410F4">
        <w:rPr>
          <w:rFonts w:ascii="Times New Roman" w:eastAsia="Times New Roman" w:hAnsi="Times New Roman" w:cs="Times New Roman"/>
          <w:sz w:val="24"/>
          <w:szCs w:val="24"/>
          <w:lang w:val="en-US" w:eastAsia="es-ES"/>
        </w:rPr>
        <w:t>SAL</w:t>
      </w:r>
      <w:r w:rsidRPr="00BA3050">
        <w:rPr>
          <w:rFonts w:ascii="Times New Roman" w:eastAsia="Times New Roman" w:hAnsi="Times New Roman" w:cs="Times New Roman"/>
          <w:sz w:val="24"/>
          <w:szCs w:val="24"/>
          <w:lang w:val="en-US" w:eastAsia="es-ES"/>
        </w:rPr>
        <w:t xml:space="preserve"> = ∑</w:t>
      </w:r>
      <w:proofErr w:type="spellStart"/>
      <w:proofErr w:type="gramStart"/>
      <w:r w:rsidRPr="00BA3050">
        <w:rPr>
          <w:rFonts w:ascii="Times New Roman" w:eastAsia="Times New Roman" w:hAnsi="Times New Roman" w:cs="Times New Roman"/>
          <w:sz w:val="24"/>
          <w:szCs w:val="24"/>
          <w:vertAlign w:val="superscript"/>
          <w:lang w:val="en-US" w:eastAsia="es-ES"/>
        </w:rPr>
        <w:t>x,w</w:t>
      </w:r>
      <w:proofErr w:type="spellEnd"/>
      <w:proofErr w:type="gramEnd"/>
      <w:r w:rsidRPr="00BA3050">
        <w:rPr>
          <w:rFonts w:ascii="Times New Roman" w:eastAsia="Times New Roman" w:hAnsi="Times New Roman" w:cs="Times New Roman"/>
          <w:sz w:val="24"/>
          <w:szCs w:val="24"/>
          <w:lang w:val="en-US" w:eastAsia="es-ES"/>
        </w:rPr>
        <w:t xml:space="preserve"> </w:t>
      </w:r>
      <w:r w:rsidRPr="00BA3050">
        <w:rPr>
          <w:rFonts w:ascii="Times New Roman" w:eastAsia="Times New Roman" w:hAnsi="Times New Roman" w:cs="Times New Roman"/>
          <w:sz w:val="24"/>
          <w:szCs w:val="24"/>
          <w:vertAlign w:val="subscript"/>
          <w:lang w:val="en-US" w:eastAsia="es-ES"/>
        </w:rPr>
        <w:t>5</w:t>
      </w:r>
      <w:r w:rsidR="002410F4">
        <w:rPr>
          <w:rFonts w:ascii="Times New Roman" w:eastAsia="Times New Roman" w:hAnsi="Times New Roman" w:cs="Times New Roman"/>
          <w:sz w:val="24"/>
          <w:szCs w:val="24"/>
          <w:lang w:val="en-US" w:eastAsia="es-ES"/>
        </w:rPr>
        <w:t>SAL</w:t>
      </w:r>
      <w:r w:rsidRPr="00BA3050">
        <w:rPr>
          <w:rFonts w:ascii="Times New Roman" w:eastAsia="Times New Roman" w:hAnsi="Times New Roman" w:cs="Times New Roman"/>
          <w:sz w:val="24"/>
          <w:szCs w:val="24"/>
          <w:vertAlign w:val="subscript"/>
          <w:lang w:val="en-US" w:eastAsia="es-ES"/>
        </w:rPr>
        <w:t>x</w:t>
      </w:r>
    </w:p>
    <w:p w:rsidR="00127C9C" w:rsidRDefault="00127C9C" w:rsidP="000B0737">
      <w:pPr>
        <w:spacing w:line="360" w:lineRule="auto"/>
        <w:jc w:val="both"/>
        <w:rPr>
          <w:rFonts w:ascii="Times New Roman" w:eastAsia="Times New Roman" w:hAnsi="Times New Roman" w:cs="Times New Roman"/>
          <w:i/>
          <w:iCs/>
          <w:sz w:val="24"/>
          <w:szCs w:val="24"/>
          <w:lang w:eastAsia="es-ES"/>
        </w:rPr>
      </w:pPr>
    </w:p>
    <w:p w:rsidR="000B0737" w:rsidRPr="00DE11BB" w:rsidRDefault="000B0737" w:rsidP="000B0737">
      <w:pPr>
        <w:spacing w:line="360" w:lineRule="auto"/>
        <w:jc w:val="both"/>
        <w:rPr>
          <w:rFonts w:ascii="Times New Roman" w:eastAsia="Times New Roman" w:hAnsi="Times New Roman" w:cs="Times New Roman"/>
          <w:sz w:val="24"/>
          <w:szCs w:val="24"/>
          <w:lang w:eastAsia="es-ES"/>
        </w:rPr>
      </w:pPr>
      <w:r w:rsidRPr="009D066A">
        <w:rPr>
          <w:rFonts w:ascii="Times New Roman" w:eastAsia="Times New Roman" w:hAnsi="Times New Roman" w:cs="Times New Roman"/>
          <w:i/>
          <w:iCs/>
          <w:sz w:val="24"/>
          <w:szCs w:val="24"/>
          <w:lang w:eastAsia="es-ES"/>
        </w:rPr>
        <w:lastRenderedPageBreak/>
        <w:t>Result</w:t>
      </w:r>
      <w:r>
        <w:rPr>
          <w:rFonts w:ascii="Times New Roman" w:eastAsia="Times New Roman" w:hAnsi="Times New Roman" w:cs="Times New Roman"/>
          <w:i/>
          <w:iCs/>
          <w:sz w:val="24"/>
          <w:szCs w:val="24"/>
          <w:lang w:eastAsia="es-ES"/>
        </w:rPr>
        <w:t>ado</w:t>
      </w:r>
      <w:r w:rsidRPr="009D066A">
        <w:rPr>
          <w:rFonts w:ascii="Times New Roman" w:eastAsia="Times New Roman" w:hAnsi="Times New Roman" w:cs="Times New Roman"/>
          <w:i/>
          <w:iCs/>
          <w:sz w:val="24"/>
          <w:szCs w:val="24"/>
          <w:lang w:eastAsia="es-ES"/>
        </w:rPr>
        <w:t>s:</w:t>
      </w:r>
    </w:p>
    <w:p w:rsidR="000B0737" w:rsidRPr="00DE11BB" w:rsidRDefault="000B0737" w:rsidP="000B0737">
      <w:pPr>
        <w:spacing w:line="360" w:lineRule="auto"/>
        <w:jc w:val="both"/>
        <w:rPr>
          <w:rStyle w:val="ts-alignment-element"/>
          <w:rFonts w:ascii="Times New Roman" w:hAnsi="Times New Roman" w:cs="Times New Roman"/>
          <w:sz w:val="24"/>
          <w:szCs w:val="24"/>
        </w:rPr>
      </w:pPr>
      <w:r>
        <w:rPr>
          <w:rFonts w:ascii="Times New Roman" w:hAnsi="Times New Roman" w:cs="Times New Roman"/>
          <w:sz w:val="24"/>
          <w:szCs w:val="24"/>
        </w:rPr>
        <w:tab/>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 </w:t>
      </w:r>
      <w:r w:rsidRPr="00DE11BB">
        <w:rPr>
          <w:rFonts w:ascii="Times New Roman" w:hAnsi="Times New Roman" w:cs="Times New Roman"/>
          <w:sz w:val="24"/>
          <w:szCs w:val="24"/>
        </w:rPr>
        <w:t>T</w:t>
      </w:r>
      <w:r w:rsidRPr="00DE11BB">
        <w:rPr>
          <w:rStyle w:val="ts-alignment-element"/>
          <w:rFonts w:ascii="Times New Roman" w:hAnsi="Times New Roman" w:cs="Times New Roman"/>
          <w:sz w:val="24"/>
          <w:szCs w:val="24"/>
        </w:rPr>
        <w:t xml:space="preserve">abla </w:t>
      </w:r>
      <w:r w:rsidRPr="00DE11BB">
        <w:rPr>
          <w:rFonts w:ascii="Times New Roman" w:hAnsi="Times New Roman" w:cs="Times New Roman"/>
          <w:sz w:val="24"/>
          <w:szCs w:val="24"/>
        </w:rPr>
        <w:t>1</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resenta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l </w:t>
      </w:r>
      <w:r w:rsidRPr="00DE11BB">
        <w:rPr>
          <w:rFonts w:ascii="Times New Roman" w:hAnsi="Times New Roman" w:cs="Times New Roman"/>
          <w:sz w:val="24"/>
          <w:szCs w:val="24"/>
        </w:rPr>
        <w:t>v</w:t>
      </w:r>
      <w:r w:rsidRPr="00DE11BB">
        <w:rPr>
          <w:rStyle w:val="ts-alignment-element"/>
          <w:rFonts w:ascii="Times New Roman" w:hAnsi="Times New Roman" w:cs="Times New Roman"/>
          <w:sz w:val="24"/>
          <w:szCs w:val="24"/>
        </w:rPr>
        <w:t xml:space="preserve">alor </w:t>
      </w:r>
      <w:r w:rsidRPr="00DE11BB">
        <w:rPr>
          <w:rFonts w:ascii="Times New Roman" w:hAnsi="Times New Roman" w:cs="Times New Roman"/>
          <w:sz w:val="24"/>
          <w:szCs w:val="24"/>
        </w:rPr>
        <w:t>m</w:t>
      </w:r>
      <w:r w:rsidRPr="00DE11BB">
        <w:rPr>
          <w:rStyle w:val="ts-alignment-element"/>
          <w:rFonts w:ascii="Times New Roman" w:hAnsi="Times New Roman" w:cs="Times New Roman"/>
          <w:sz w:val="24"/>
          <w:szCs w:val="24"/>
        </w:rPr>
        <w:t xml:space="preserve">edio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as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aracterísticas </w:t>
      </w:r>
      <w:r w:rsidRPr="00DE11BB">
        <w:rPr>
          <w:rFonts w:ascii="Times New Roman" w:hAnsi="Times New Roman" w:cs="Times New Roman"/>
          <w:sz w:val="24"/>
          <w:szCs w:val="24"/>
        </w:rPr>
        <w:t>g</w:t>
      </w:r>
      <w:r w:rsidRPr="00DE11BB">
        <w:rPr>
          <w:rStyle w:val="ts-alignment-element"/>
          <w:rFonts w:ascii="Times New Roman" w:hAnsi="Times New Roman" w:cs="Times New Roman"/>
          <w:sz w:val="24"/>
          <w:szCs w:val="24"/>
        </w:rPr>
        <w:t xml:space="preserve">enerales </w:t>
      </w:r>
      <w:r w:rsidRPr="00DE11BB">
        <w:rPr>
          <w:rFonts w:ascii="Times New Roman" w:hAnsi="Times New Roman" w:cs="Times New Roman"/>
          <w:sz w:val="24"/>
          <w:szCs w:val="24"/>
        </w:rPr>
        <w:t>b</w:t>
      </w:r>
      <w:r w:rsidRPr="00DE11BB">
        <w:rPr>
          <w:rStyle w:val="ts-alignment-element"/>
          <w:rFonts w:ascii="Times New Roman" w:hAnsi="Times New Roman" w:cs="Times New Roman"/>
          <w:sz w:val="24"/>
          <w:szCs w:val="24"/>
        </w:rPr>
        <w:t xml:space="preserve">ásicas </w:t>
      </w:r>
      <w:r w:rsidRPr="00DE11BB">
        <w:rPr>
          <w:rFonts w:ascii="Times New Roman" w:hAnsi="Times New Roman" w:cs="Times New Roman"/>
          <w:sz w:val="24"/>
          <w:szCs w:val="24"/>
        </w:rPr>
        <w:t>(</w:t>
      </w:r>
      <w:r w:rsidRPr="00DE11BB">
        <w:rPr>
          <w:rStyle w:val="ts-alignment-element"/>
          <w:rFonts w:ascii="Times New Roman" w:hAnsi="Times New Roman" w:cs="Times New Roman"/>
          <w:sz w:val="24"/>
          <w:szCs w:val="24"/>
        </w:rPr>
        <w:t xml:space="preserve">edad, </w:t>
      </w:r>
      <w:r w:rsidRPr="00DE11BB">
        <w:rPr>
          <w:rFonts w:ascii="Times New Roman" w:hAnsi="Times New Roman" w:cs="Times New Roman"/>
          <w:sz w:val="24"/>
          <w:szCs w:val="24"/>
        </w:rPr>
        <w:t>s</w:t>
      </w:r>
      <w:r w:rsidRPr="00DE11BB">
        <w:rPr>
          <w:rStyle w:val="ts-alignment-element"/>
          <w:rFonts w:ascii="Times New Roman" w:hAnsi="Times New Roman" w:cs="Times New Roman"/>
          <w:sz w:val="24"/>
          <w:szCs w:val="24"/>
        </w:rPr>
        <w:t xml:space="preserve">exo </w:t>
      </w:r>
      <w:r w:rsidRPr="00DE11BB">
        <w:rPr>
          <w:rFonts w:ascii="Times New Roman" w:hAnsi="Times New Roman" w:cs="Times New Roman"/>
          <w:sz w:val="24"/>
          <w:szCs w:val="24"/>
        </w:rPr>
        <w:t>y</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resencia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e</w:t>
      </w:r>
      <w:r>
        <w:rPr>
          <w:rStyle w:val="ts-alignment-element"/>
          <w:rFonts w:ascii="Times New Roman" w:hAnsi="Times New Roman" w:cs="Times New Roman"/>
          <w:sz w:val="24"/>
          <w:szCs w:val="24"/>
        </w:rPr>
        <w:t xml:space="preserve"> trastornos de</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nsiedad/depresión</w:t>
      </w:r>
      <w:r w:rsidR="00AF3990">
        <w:rPr>
          <w:rStyle w:val="ts-alignment-element"/>
          <w:rFonts w:ascii="Times New Roman" w:hAnsi="Times New Roman" w:cs="Times New Roman"/>
          <w:sz w:val="24"/>
          <w:szCs w:val="24"/>
        </w:rPr>
        <w:t xml:space="preserve"> o TAD</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oblación </w:t>
      </w:r>
      <w:r>
        <w:rPr>
          <w:rFonts w:ascii="Times New Roman" w:hAnsi="Times New Roman" w:cs="Times New Roman"/>
          <w:sz w:val="24"/>
          <w:szCs w:val="24"/>
        </w:rPr>
        <w:t xml:space="preserve">relevada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 </w:t>
      </w:r>
      <w:r w:rsidRPr="00DE11BB">
        <w:rPr>
          <w:rFonts w:ascii="Times New Roman" w:hAnsi="Times New Roman" w:cs="Times New Roman"/>
          <w:sz w:val="24"/>
          <w:szCs w:val="24"/>
        </w:rPr>
        <w:t>l</w:t>
      </w:r>
      <w:r>
        <w:rPr>
          <w:rStyle w:val="ts-alignment-element"/>
          <w:rFonts w:ascii="Times New Roman" w:hAnsi="Times New Roman" w:cs="Times New Roman"/>
          <w:sz w:val="24"/>
          <w:szCs w:val="24"/>
        </w:rPr>
        <w:t>as</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iferentes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NFR </w:t>
      </w:r>
      <w:r w:rsidRPr="00DE11BB">
        <w:rPr>
          <w:rFonts w:ascii="Times New Roman" w:hAnsi="Times New Roman" w:cs="Times New Roman"/>
          <w:sz w:val="24"/>
          <w:szCs w:val="24"/>
        </w:rPr>
        <w:t>(</w:t>
      </w:r>
      <w:r w:rsidRPr="00DE11BB">
        <w:rPr>
          <w:rStyle w:val="ts-alignment-element"/>
          <w:rFonts w:ascii="Times New Roman" w:hAnsi="Times New Roman" w:cs="Times New Roman"/>
          <w:sz w:val="24"/>
          <w:szCs w:val="24"/>
        </w:rPr>
        <w:t xml:space="preserve">junto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on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os </w:t>
      </w:r>
      <w:r w:rsidRPr="00DE11BB">
        <w:rPr>
          <w:rFonts w:ascii="Times New Roman" w:hAnsi="Times New Roman" w:cs="Times New Roman"/>
          <w:sz w:val="24"/>
          <w:szCs w:val="24"/>
        </w:rPr>
        <w:t>v</w:t>
      </w:r>
      <w:r w:rsidRPr="00DE11BB">
        <w:rPr>
          <w:rStyle w:val="ts-alignment-element"/>
          <w:rFonts w:ascii="Times New Roman" w:hAnsi="Times New Roman" w:cs="Times New Roman"/>
          <w:sz w:val="24"/>
          <w:szCs w:val="24"/>
        </w:rPr>
        <w:t xml:space="preserve">alores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orrespondientes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os </w:t>
      </w:r>
      <w:r w:rsidRPr="00DE11BB">
        <w:rPr>
          <w:rFonts w:ascii="Times New Roman" w:hAnsi="Times New Roman" w:cs="Times New Roman"/>
          <w:sz w:val="24"/>
          <w:szCs w:val="24"/>
        </w:rPr>
        <w:t>i</w:t>
      </w:r>
      <w:r w:rsidRPr="00DE11BB">
        <w:rPr>
          <w:rStyle w:val="ts-alignment-element"/>
          <w:rFonts w:ascii="Times New Roman" w:hAnsi="Times New Roman" w:cs="Times New Roman"/>
          <w:sz w:val="24"/>
          <w:szCs w:val="24"/>
        </w:rPr>
        <w:t xml:space="preserve">ntervalos </w:t>
      </w:r>
      <w:r w:rsidRPr="00DE11BB">
        <w:rPr>
          <w:rFonts w:ascii="Times New Roman" w:hAnsi="Times New Roman" w:cs="Times New Roman"/>
          <w:sz w:val="24"/>
          <w:szCs w:val="24"/>
        </w:rPr>
        <w:t>de c</w:t>
      </w:r>
      <w:r w:rsidRPr="00DE11BB">
        <w:rPr>
          <w:rStyle w:val="ts-alignment-element"/>
          <w:rFonts w:ascii="Times New Roman" w:hAnsi="Times New Roman" w:cs="Times New Roman"/>
          <w:sz w:val="24"/>
          <w:szCs w:val="24"/>
        </w:rPr>
        <w:t xml:space="preserve">onfianza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el </w:t>
      </w:r>
      <w:r w:rsidRPr="00DE11BB">
        <w:rPr>
          <w:rFonts w:ascii="Times New Roman" w:hAnsi="Times New Roman" w:cs="Times New Roman"/>
          <w:sz w:val="24"/>
          <w:szCs w:val="24"/>
        </w:rPr>
        <w:t>9</w:t>
      </w:r>
      <w:r w:rsidRPr="00DE11BB">
        <w:rPr>
          <w:rStyle w:val="ts-alignment-element"/>
          <w:rFonts w:ascii="Times New Roman" w:hAnsi="Times New Roman" w:cs="Times New Roman"/>
          <w:sz w:val="24"/>
          <w:szCs w:val="24"/>
        </w:rPr>
        <w:t xml:space="preserve">5%). </w:t>
      </w:r>
      <w:r w:rsidRPr="00DE11BB">
        <w:rPr>
          <w:rFonts w:ascii="Times New Roman" w:hAnsi="Times New Roman" w:cs="Times New Roman"/>
          <w:sz w:val="24"/>
          <w:szCs w:val="24"/>
        </w:rPr>
        <w:t>S</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o</w:t>
      </w:r>
      <w:r w:rsidRPr="00DE11BB">
        <w:rPr>
          <w:rStyle w:val="ts-alignment-element"/>
          <w:rFonts w:ascii="Times New Roman" w:hAnsi="Times New Roman" w:cs="Times New Roman"/>
          <w:sz w:val="24"/>
          <w:szCs w:val="24"/>
        </w:rPr>
        <w:t xml:space="preserve">bserva </w:t>
      </w:r>
      <w:r w:rsidRPr="00DE11BB">
        <w:rPr>
          <w:rFonts w:ascii="Times New Roman" w:hAnsi="Times New Roman" w:cs="Times New Roman"/>
          <w:sz w:val="24"/>
          <w:szCs w:val="24"/>
        </w:rPr>
        <w:t>q</w:t>
      </w:r>
      <w:r w:rsidRPr="00DE11BB">
        <w:rPr>
          <w:rStyle w:val="ts-alignment-element"/>
          <w:rFonts w:ascii="Times New Roman" w:hAnsi="Times New Roman" w:cs="Times New Roman"/>
          <w:sz w:val="24"/>
          <w:szCs w:val="24"/>
        </w:rPr>
        <w:t xml:space="preserve">ue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dad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romedio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os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ncuestados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umentó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igeramente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urante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l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eríodo </w:t>
      </w:r>
      <w:r w:rsidRPr="00DE11BB">
        <w:rPr>
          <w:rFonts w:ascii="Times New Roman" w:hAnsi="Times New Roman" w:cs="Times New Roman"/>
          <w:sz w:val="24"/>
          <w:szCs w:val="24"/>
        </w:rPr>
        <w:t>2</w:t>
      </w:r>
      <w:r w:rsidRPr="00DE11BB">
        <w:rPr>
          <w:rStyle w:val="ts-alignment-element"/>
          <w:rFonts w:ascii="Times New Roman" w:hAnsi="Times New Roman" w:cs="Times New Roman"/>
          <w:sz w:val="24"/>
          <w:szCs w:val="24"/>
        </w:rPr>
        <w:t xml:space="preserve">005-2018 </w:t>
      </w:r>
      <w:r w:rsidRPr="00DE11BB">
        <w:rPr>
          <w:rFonts w:ascii="Times New Roman" w:hAnsi="Times New Roman" w:cs="Times New Roman"/>
          <w:sz w:val="24"/>
          <w:szCs w:val="24"/>
        </w:rPr>
        <w:t>(</w:t>
      </w:r>
      <w:r w:rsidRPr="00DE11BB">
        <w:rPr>
          <w:rStyle w:val="ts-alignment-element"/>
          <w:rFonts w:ascii="Times New Roman" w:hAnsi="Times New Roman" w:cs="Times New Roman"/>
          <w:sz w:val="24"/>
          <w:szCs w:val="24"/>
        </w:rPr>
        <w:t xml:space="preserve">lo </w:t>
      </w:r>
      <w:r w:rsidRPr="00DE11BB">
        <w:rPr>
          <w:rFonts w:ascii="Times New Roman" w:hAnsi="Times New Roman" w:cs="Times New Roman"/>
          <w:sz w:val="24"/>
          <w:szCs w:val="24"/>
        </w:rPr>
        <w:t>q</w:t>
      </w:r>
      <w:r w:rsidRPr="00DE11BB">
        <w:rPr>
          <w:rStyle w:val="ts-alignment-element"/>
          <w:rFonts w:ascii="Times New Roman" w:hAnsi="Times New Roman" w:cs="Times New Roman"/>
          <w:sz w:val="24"/>
          <w:szCs w:val="24"/>
        </w:rPr>
        <w:t xml:space="preserve">ue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s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onsistente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on</w:t>
      </w:r>
      <w:r>
        <w:rPr>
          <w:rStyle w:val="ts-alignment-element"/>
          <w:rFonts w:ascii="Times New Roman" w:hAnsi="Times New Roman" w:cs="Times New Roman"/>
          <w:sz w:val="24"/>
          <w:szCs w:val="24"/>
        </w:rPr>
        <w:t xml:space="preserve"> cierto</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nvejecimiento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oblación,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omo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s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l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aso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rgentina).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omposición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or </w:t>
      </w:r>
      <w:r w:rsidRPr="00DE11BB">
        <w:rPr>
          <w:rFonts w:ascii="Times New Roman" w:hAnsi="Times New Roman" w:cs="Times New Roman"/>
          <w:sz w:val="24"/>
          <w:szCs w:val="24"/>
        </w:rPr>
        <w:t>s</w:t>
      </w:r>
      <w:r w:rsidRPr="00DE11BB">
        <w:rPr>
          <w:rStyle w:val="ts-alignment-element"/>
          <w:rFonts w:ascii="Times New Roman" w:hAnsi="Times New Roman" w:cs="Times New Roman"/>
          <w:sz w:val="24"/>
          <w:szCs w:val="24"/>
        </w:rPr>
        <w:t xml:space="preserve">exo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as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uatro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ncuestas </w:t>
      </w:r>
      <w:r w:rsidRPr="00DE11BB">
        <w:rPr>
          <w:rFonts w:ascii="Times New Roman" w:hAnsi="Times New Roman" w:cs="Times New Roman"/>
          <w:sz w:val="24"/>
          <w:szCs w:val="24"/>
        </w:rPr>
        <w:t>s</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m</w:t>
      </w:r>
      <w:r w:rsidRPr="00DE11BB">
        <w:rPr>
          <w:rStyle w:val="ts-alignment-element"/>
          <w:rFonts w:ascii="Times New Roman" w:hAnsi="Times New Roman" w:cs="Times New Roman"/>
          <w:sz w:val="24"/>
          <w:szCs w:val="24"/>
        </w:rPr>
        <w:t xml:space="preserve">antuvo </w:t>
      </w:r>
      <w:r w:rsidRPr="00DE11BB">
        <w:rPr>
          <w:rFonts w:ascii="Times New Roman" w:hAnsi="Times New Roman" w:cs="Times New Roman"/>
          <w:sz w:val="24"/>
          <w:szCs w:val="24"/>
        </w:rPr>
        <w:t>s</w:t>
      </w:r>
      <w:r w:rsidRPr="00DE11BB">
        <w:rPr>
          <w:rStyle w:val="ts-alignment-element"/>
          <w:rFonts w:ascii="Times New Roman" w:hAnsi="Times New Roman" w:cs="Times New Roman"/>
          <w:sz w:val="24"/>
          <w:szCs w:val="24"/>
        </w:rPr>
        <w:t xml:space="preserve">imilar,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on </w:t>
      </w:r>
      <w:r w:rsidRPr="00DE11BB">
        <w:rPr>
          <w:rFonts w:ascii="Times New Roman" w:hAnsi="Times New Roman" w:cs="Times New Roman"/>
          <w:sz w:val="24"/>
          <w:szCs w:val="24"/>
        </w:rPr>
        <w:t>u</w:t>
      </w:r>
      <w:r w:rsidRPr="00DE11BB">
        <w:rPr>
          <w:rStyle w:val="ts-alignment-element"/>
          <w:rFonts w:ascii="Times New Roman" w:hAnsi="Times New Roman" w:cs="Times New Roman"/>
          <w:sz w:val="24"/>
          <w:szCs w:val="24"/>
        </w:rPr>
        <w:t xml:space="preserve">na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roporción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m</w:t>
      </w:r>
      <w:r w:rsidRPr="00DE11BB">
        <w:rPr>
          <w:rStyle w:val="ts-alignment-element"/>
          <w:rFonts w:ascii="Times New Roman" w:hAnsi="Times New Roman" w:cs="Times New Roman"/>
          <w:sz w:val="24"/>
          <w:szCs w:val="24"/>
        </w:rPr>
        <w:t xml:space="preserve">ujeres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ntre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l </w:t>
      </w:r>
      <w:r w:rsidRPr="00DE11BB">
        <w:rPr>
          <w:rFonts w:ascii="Times New Roman" w:hAnsi="Times New Roman" w:cs="Times New Roman"/>
          <w:sz w:val="24"/>
          <w:szCs w:val="24"/>
        </w:rPr>
        <w:t>5</w:t>
      </w:r>
      <w:r w:rsidRPr="00DE11BB">
        <w:rPr>
          <w:rStyle w:val="ts-alignment-element"/>
          <w:rFonts w:ascii="Times New Roman" w:hAnsi="Times New Roman" w:cs="Times New Roman"/>
          <w:sz w:val="24"/>
          <w:szCs w:val="24"/>
        </w:rPr>
        <w:t xml:space="preserve">6 </w:t>
      </w:r>
      <w:r w:rsidRPr="00DE11BB">
        <w:rPr>
          <w:rFonts w:ascii="Times New Roman" w:hAnsi="Times New Roman" w:cs="Times New Roman"/>
          <w:sz w:val="24"/>
          <w:szCs w:val="24"/>
        </w:rPr>
        <w:t>y</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l </w:t>
      </w:r>
      <w:r w:rsidRPr="00DE11BB">
        <w:rPr>
          <w:rFonts w:ascii="Times New Roman" w:hAnsi="Times New Roman" w:cs="Times New Roman"/>
          <w:sz w:val="24"/>
          <w:szCs w:val="24"/>
        </w:rPr>
        <w:t>5</w:t>
      </w:r>
      <w:r w:rsidRPr="00DE11BB">
        <w:rPr>
          <w:rStyle w:val="ts-alignment-element"/>
          <w:rFonts w:ascii="Times New Roman" w:hAnsi="Times New Roman" w:cs="Times New Roman"/>
          <w:sz w:val="24"/>
          <w:szCs w:val="24"/>
        </w:rPr>
        <w:t xml:space="preserve">7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or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iento.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n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uanto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revalencia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t</w:t>
      </w:r>
      <w:r w:rsidRPr="00DE11BB">
        <w:rPr>
          <w:rStyle w:val="ts-alignment-element"/>
          <w:rFonts w:ascii="Times New Roman" w:hAnsi="Times New Roman" w:cs="Times New Roman"/>
          <w:sz w:val="24"/>
          <w:szCs w:val="24"/>
        </w:rPr>
        <w:t xml:space="preserve">rastornos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nsiedad/depresión, </w:t>
      </w:r>
      <w:r w:rsidRPr="00DE11BB">
        <w:rPr>
          <w:rFonts w:ascii="Times New Roman" w:hAnsi="Times New Roman" w:cs="Times New Roman"/>
          <w:sz w:val="24"/>
          <w:szCs w:val="24"/>
        </w:rPr>
        <w:t>s</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o</w:t>
      </w:r>
      <w:r w:rsidRPr="00DE11BB">
        <w:rPr>
          <w:rStyle w:val="ts-alignment-element"/>
          <w:rFonts w:ascii="Times New Roman" w:hAnsi="Times New Roman" w:cs="Times New Roman"/>
          <w:sz w:val="24"/>
          <w:szCs w:val="24"/>
        </w:rPr>
        <w:t xml:space="preserve">bserva </w:t>
      </w:r>
      <w:r w:rsidRPr="00DE11BB">
        <w:rPr>
          <w:rFonts w:ascii="Times New Roman" w:hAnsi="Times New Roman" w:cs="Times New Roman"/>
          <w:sz w:val="24"/>
          <w:szCs w:val="24"/>
        </w:rPr>
        <w:t>q</w:t>
      </w:r>
      <w:r w:rsidRPr="00DE11BB">
        <w:rPr>
          <w:rStyle w:val="ts-alignment-element"/>
          <w:rFonts w:ascii="Times New Roman" w:hAnsi="Times New Roman" w:cs="Times New Roman"/>
          <w:sz w:val="24"/>
          <w:szCs w:val="24"/>
        </w:rPr>
        <w:t xml:space="preserve">ue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urante </w:t>
      </w:r>
      <w:r w:rsidRPr="00DE11BB">
        <w:rPr>
          <w:rFonts w:ascii="Times New Roman" w:hAnsi="Times New Roman" w:cs="Times New Roman"/>
          <w:sz w:val="24"/>
          <w:szCs w:val="24"/>
        </w:rPr>
        <w:t>e</w:t>
      </w:r>
      <w:r w:rsidRPr="00DE11BB">
        <w:rPr>
          <w:rStyle w:val="ts-alignment-element"/>
          <w:rFonts w:ascii="Times New Roman" w:hAnsi="Times New Roman" w:cs="Times New Roman"/>
          <w:sz w:val="24"/>
          <w:szCs w:val="24"/>
        </w:rPr>
        <w:t xml:space="preserve">l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eríodo </w:t>
      </w:r>
      <w:r w:rsidRPr="00DE11BB">
        <w:rPr>
          <w:rFonts w:ascii="Times New Roman" w:hAnsi="Times New Roman" w:cs="Times New Roman"/>
          <w:sz w:val="24"/>
          <w:szCs w:val="24"/>
        </w:rPr>
        <w:t>2</w:t>
      </w:r>
      <w:r w:rsidRPr="00DE11BB">
        <w:rPr>
          <w:rStyle w:val="ts-alignment-element"/>
          <w:rFonts w:ascii="Times New Roman" w:hAnsi="Times New Roman" w:cs="Times New Roman"/>
          <w:sz w:val="24"/>
          <w:szCs w:val="24"/>
        </w:rPr>
        <w:t xml:space="preserve">005-2013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a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roporción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romedio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q</w:t>
      </w:r>
      <w:r w:rsidRPr="00DE11BB">
        <w:rPr>
          <w:rStyle w:val="ts-alignment-element"/>
          <w:rFonts w:ascii="Times New Roman" w:hAnsi="Times New Roman" w:cs="Times New Roman"/>
          <w:sz w:val="24"/>
          <w:szCs w:val="24"/>
        </w:rPr>
        <w:t xml:space="preserve">uienes </w:t>
      </w:r>
      <w:r w:rsidRPr="00DE11BB">
        <w:rPr>
          <w:rFonts w:ascii="Times New Roman" w:hAnsi="Times New Roman" w:cs="Times New Roman"/>
          <w:sz w:val="24"/>
          <w:szCs w:val="24"/>
        </w:rPr>
        <w:t>r</w:t>
      </w:r>
      <w:r w:rsidRPr="00DE11BB">
        <w:rPr>
          <w:rStyle w:val="ts-alignment-element"/>
          <w:rFonts w:ascii="Times New Roman" w:hAnsi="Times New Roman" w:cs="Times New Roman"/>
          <w:sz w:val="24"/>
          <w:szCs w:val="24"/>
        </w:rPr>
        <w:t xml:space="preserve">eportaron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nsiedad/depresión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isminuyó </w:t>
      </w:r>
      <w:r w:rsidRPr="00DE11BB">
        <w:rPr>
          <w:rFonts w:ascii="Times New Roman" w:hAnsi="Times New Roman" w:cs="Times New Roman"/>
          <w:sz w:val="24"/>
          <w:szCs w:val="24"/>
        </w:rPr>
        <w:t>d</w:t>
      </w:r>
      <w:r w:rsidRPr="00DE11BB">
        <w:rPr>
          <w:rStyle w:val="ts-alignment-element"/>
          <w:rFonts w:ascii="Times New Roman" w:hAnsi="Times New Roman" w:cs="Times New Roman"/>
          <w:sz w:val="24"/>
          <w:szCs w:val="24"/>
        </w:rPr>
        <w:t xml:space="preserve">e </w:t>
      </w:r>
      <w:r w:rsidRPr="00DE11BB">
        <w:rPr>
          <w:rFonts w:ascii="Times New Roman" w:hAnsi="Times New Roman" w:cs="Times New Roman"/>
          <w:sz w:val="24"/>
          <w:szCs w:val="24"/>
        </w:rPr>
        <w:t>2</w:t>
      </w:r>
      <w:r w:rsidRPr="00DE11BB">
        <w:rPr>
          <w:rStyle w:val="ts-alignment-element"/>
          <w:rFonts w:ascii="Times New Roman" w:hAnsi="Times New Roman" w:cs="Times New Roman"/>
          <w:sz w:val="24"/>
          <w:szCs w:val="24"/>
        </w:rPr>
        <w:t xml:space="preserve">3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or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iento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1</w:t>
      </w:r>
      <w:r w:rsidRPr="00DE11BB">
        <w:rPr>
          <w:rStyle w:val="ts-alignment-element"/>
          <w:rFonts w:ascii="Times New Roman" w:hAnsi="Times New Roman" w:cs="Times New Roman"/>
          <w:sz w:val="24"/>
          <w:szCs w:val="24"/>
        </w:rPr>
        <w:t xml:space="preserve">5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or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iento, </w:t>
      </w:r>
      <w:r w:rsidRPr="00DE11BB">
        <w:rPr>
          <w:rFonts w:ascii="Times New Roman" w:hAnsi="Times New Roman" w:cs="Times New Roman"/>
          <w:sz w:val="24"/>
          <w:szCs w:val="24"/>
        </w:rPr>
        <w:t>y</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uego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umentó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igeramente, </w:t>
      </w:r>
      <w:r w:rsidRPr="00DE11BB">
        <w:rPr>
          <w:rFonts w:ascii="Times New Roman" w:hAnsi="Times New Roman" w:cs="Times New Roman"/>
          <w:sz w:val="24"/>
          <w:szCs w:val="24"/>
        </w:rPr>
        <w:t>l</w:t>
      </w:r>
      <w:r w:rsidRPr="00DE11BB">
        <w:rPr>
          <w:rStyle w:val="ts-alignment-element"/>
          <w:rFonts w:ascii="Times New Roman" w:hAnsi="Times New Roman" w:cs="Times New Roman"/>
          <w:sz w:val="24"/>
          <w:szCs w:val="24"/>
        </w:rPr>
        <w:t xml:space="preserve">legando </w:t>
      </w:r>
      <w:r w:rsidRPr="00DE11BB">
        <w:rPr>
          <w:rFonts w:ascii="Times New Roman" w:hAnsi="Times New Roman" w:cs="Times New Roman"/>
          <w:sz w:val="24"/>
          <w:szCs w:val="24"/>
        </w:rPr>
        <w:t>a</w:t>
      </w:r>
      <w:r w:rsidRPr="00DE11BB">
        <w:rPr>
          <w:rStyle w:val="ts-alignment-element"/>
          <w:rFonts w:ascii="Times New Roman" w:hAnsi="Times New Roman" w:cs="Times New Roman"/>
          <w:sz w:val="24"/>
          <w:szCs w:val="24"/>
        </w:rPr>
        <w:t xml:space="preserve"> </w:t>
      </w:r>
      <w:r w:rsidRPr="00DE11BB">
        <w:rPr>
          <w:rFonts w:ascii="Times New Roman" w:hAnsi="Times New Roman" w:cs="Times New Roman"/>
          <w:sz w:val="24"/>
          <w:szCs w:val="24"/>
        </w:rPr>
        <w:t>1</w:t>
      </w:r>
      <w:r w:rsidRPr="00DE11BB">
        <w:rPr>
          <w:rStyle w:val="ts-alignment-element"/>
          <w:rFonts w:ascii="Times New Roman" w:hAnsi="Times New Roman" w:cs="Times New Roman"/>
          <w:sz w:val="24"/>
          <w:szCs w:val="24"/>
        </w:rPr>
        <w:t xml:space="preserve">8 </w:t>
      </w:r>
      <w:r w:rsidRPr="00DE11BB">
        <w:rPr>
          <w:rFonts w:ascii="Times New Roman" w:hAnsi="Times New Roman" w:cs="Times New Roman"/>
          <w:sz w:val="24"/>
          <w:szCs w:val="24"/>
        </w:rPr>
        <w:t>p</w:t>
      </w:r>
      <w:r w:rsidRPr="00DE11BB">
        <w:rPr>
          <w:rStyle w:val="ts-alignment-element"/>
          <w:rFonts w:ascii="Times New Roman" w:hAnsi="Times New Roman" w:cs="Times New Roman"/>
          <w:sz w:val="24"/>
          <w:szCs w:val="24"/>
        </w:rPr>
        <w:t xml:space="preserve">or </w:t>
      </w:r>
      <w:r w:rsidRPr="00DE11BB">
        <w:rPr>
          <w:rFonts w:ascii="Times New Roman" w:hAnsi="Times New Roman" w:cs="Times New Roman"/>
          <w:sz w:val="24"/>
          <w:szCs w:val="24"/>
        </w:rPr>
        <w:t>c</w:t>
      </w:r>
      <w:r w:rsidRPr="00DE11BB">
        <w:rPr>
          <w:rStyle w:val="ts-alignment-element"/>
          <w:rFonts w:ascii="Times New Roman" w:hAnsi="Times New Roman" w:cs="Times New Roman"/>
          <w:sz w:val="24"/>
          <w:szCs w:val="24"/>
        </w:rPr>
        <w:t xml:space="preserve">iento. </w:t>
      </w:r>
    </w:p>
    <w:p w:rsidR="000B0737" w:rsidRPr="00DE11BB" w:rsidRDefault="000B0737" w:rsidP="00127C9C">
      <w:pPr>
        <w:spacing w:line="240" w:lineRule="auto"/>
        <w:rPr>
          <w:rFonts w:ascii="Calibri" w:eastAsia="Times New Roman" w:hAnsi="Calibri" w:cs="Calibri"/>
          <w:lang w:eastAsia="es-ES"/>
        </w:rPr>
      </w:pPr>
      <w:r w:rsidRPr="00DE11BB">
        <w:rPr>
          <w:rFonts w:ascii="Times New Roman" w:eastAsia="Times New Roman" w:hAnsi="Times New Roman" w:cs="Times New Roman"/>
          <w:sz w:val="24"/>
          <w:szCs w:val="24"/>
          <w:lang w:eastAsia="es-ES"/>
        </w:rPr>
        <w:t xml:space="preserve">Tabla 1: </w:t>
      </w:r>
      <w:r w:rsidR="002410F4">
        <w:rPr>
          <w:rFonts w:ascii="Times New Roman" w:eastAsia="Times New Roman" w:hAnsi="Times New Roman" w:cs="Times New Roman"/>
          <w:sz w:val="24"/>
          <w:szCs w:val="24"/>
          <w:lang w:eastAsia="es-ES"/>
        </w:rPr>
        <w:t>Media y desvío</w:t>
      </w:r>
      <w:r>
        <w:rPr>
          <w:rFonts w:ascii="Times New Roman" w:eastAsia="Times New Roman" w:hAnsi="Times New Roman" w:cs="Times New Roman"/>
          <w:sz w:val="24"/>
          <w:szCs w:val="24"/>
          <w:lang w:eastAsia="es-ES"/>
        </w:rPr>
        <w:t xml:space="preserve"> de las c</w:t>
      </w:r>
      <w:r w:rsidRPr="00DE11BB">
        <w:rPr>
          <w:rFonts w:ascii="Times New Roman" w:eastAsia="Times New Roman" w:hAnsi="Times New Roman" w:cs="Times New Roman"/>
          <w:sz w:val="24"/>
          <w:szCs w:val="24"/>
          <w:lang w:eastAsia="es-ES"/>
        </w:rPr>
        <w:t>aracterísticas sociodemográficas básicas de la población releva</w:t>
      </w:r>
      <w:r>
        <w:rPr>
          <w:rFonts w:ascii="Times New Roman" w:eastAsia="Times New Roman" w:hAnsi="Times New Roman" w:cs="Times New Roman"/>
          <w:sz w:val="24"/>
          <w:szCs w:val="24"/>
          <w:lang w:eastAsia="es-ES"/>
        </w:rPr>
        <w:t>da en las ENFR</w:t>
      </w:r>
      <w:r w:rsidRPr="00DE11BB">
        <w:rPr>
          <w:rFonts w:ascii="Times New Roman" w:eastAsia="Times New Roman" w:hAnsi="Times New Roman" w:cs="Times New Roman"/>
          <w:sz w:val="24"/>
          <w:szCs w:val="24"/>
          <w:lang w:eastAsia="es-ES"/>
        </w:rPr>
        <w:t xml:space="preserve"> (2005,2009,2013 </w:t>
      </w:r>
      <w:r>
        <w:rPr>
          <w:rFonts w:ascii="Times New Roman" w:eastAsia="Times New Roman" w:hAnsi="Times New Roman" w:cs="Times New Roman"/>
          <w:sz w:val="24"/>
          <w:szCs w:val="24"/>
          <w:lang w:eastAsia="es-ES"/>
        </w:rPr>
        <w:t>&amp;</w:t>
      </w:r>
      <w:r w:rsidRPr="00DE11BB">
        <w:rPr>
          <w:rFonts w:ascii="Times New Roman" w:eastAsia="Times New Roman" w:hAnsi="Times New Roman" w:cs="Times New Roman"/>
          <w:sz w:val="24"/>
          <w:szCs w:val="24"/>
          <w:lang w:eastAsia="es-ES"/>
        </w:rPr>
        <w:t xml:space="preserve"> 2018)</w:t>
      </w:r>
    </w:p>
    <w:tbl>
      <w:tblPr>
        <w:tblW w:w="5000" w:type="pct"/>
        <w:tblLook w:val="04A0" w:firstRow="1" w:lastRow="0" w:firstColumn="1" w:lastColumn="0" w:noHBand="0" w:noVBand="1"/>
      </w:tblPr>
      <w:tblGrid>
        <w:gridCol w:w="910"/>
        <w:gridCol w:w="1315"/>
        <w:gridCol w:w="726"/>
        <w:gridCol w:w="1315"/>
        <w:gridCol w:w="726"/>
        <w:gridCol w:w="1316"/>
        <w:gridCol w:w="726"/>
        <w:gridCol w:w="1310"/>
        <w:gridCol w:w="726"/>
      </w:tblGrid>
      <w:tr w:rsidR="00AF3990" w:rsidRPr="00AF3990" w:rsidTr="00AF3990">
        <w:trPr>
          <w:trHeight w:val="300"/>
        </w:trPr>
        <w:tc>
          <w:tcPr>
            <w:tcW w:w="510" w:type="pct"/>
            <w:tcBorders>
              <w:top w:val="nil"/>
              <w:left w:val="nil"/>
              <w:bottom w:val="single" w:sz="4" w:space="0" w:color="auto"/>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Período</w:t>
            </w:r>
          </w:p>
        </w:tc>
        <w:tc>
          <w:tcPr>
            <w:tcW w:w="1133" w:type="pct"/>
            <w:gridSpan w:val="2"/>
            <w:tcBorders>
              <w:top w:val="nil"/>
              <w:left w:val="nil"/>
              <w:bottom w:val="single" w:sz="4" w:space="0" w:color="auto"/>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2005</w:t>
            </w:r>
          </w:p>
        </w:tc>
        <w:tc>
          <w:tcPr>
            <w:tcW w:w="1133" w:type="pct"/>
            <w:gridSpan w:val="2"/>
            <w:tcBorders>
              <w:top w:val="nil"/>
              <w:left w:val="nil"/>
              <w:bottom w:val="single" w:sz="4" w:space="0" w:color="auto"/>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2009</w:t>
            </w:r>
          </w:p>
        </w:tc>
        <w:tc>
          <w:tcPr>
            <w:tcW w:w="1133" w:type="pct"/>
            <w:gridSpan w:val="2"/>
            <w:tcBorders>
              <w:top w:val="nil"/>
              <w:left w:val="nil"/>
              <w:bottom w:val="single" w:sz="4" w:space="0" w:color="auto"/>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2013</w:t>
            </w:r>
          </w:p>
        </w:tc>
        <w:tc>
          <w:tcPr>
            <w:tcW w:w="1090" w:type="pct"/>
            <w:gridSpan w:val="2"/>
            <w:tcBorders>
              <w:top w:val="nil"/>
              <w:left w:val="nil"/>
              <w:bottom w:val="single" w:sz="4" w:space="0" w:color="auto"/>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2018</w:t>
            </w:r>
          </w:p>
        </w:tc>
      </w:tr>
      <w:tr w:rsidR="00AF3990" w:rsidRPr="00AF3990" w:rsidTr="00AF3990">
        <w:trPr>
          <w:trHeight w:val="510"/>
        </w:trPr>
        <w:tc>
          <w:tcPr>
            <w:tcW w:w="51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proofErr w:type="spellStart"/>
            <w:r w:rsidRPr="00AF3990">
              <w:rPr>
                <w:rFonts w:ascii="Times New Roman" w:eastAsia="Times New Roman" w:hAnsi="Times New Roman" w:cs="Times New Roman"/>
                <w:sz w:val="18"/>
                <w:szCs w:val="18"/>
                <w:lang w:val="en-US"/>
              </w:rPr>
              <w:t>Indicador</w:t>
            </w:r>
            <w:proofErr w:type="spellEnd"/>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Media</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(95% IC)</w:t>
            </w:r>
          </w:p>
        </w:tc>
        <w:tc>
          <w:tcPr>
            <w:tcW w:w="40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proofErr w:type="spellStart"/>
            <w:r w:rsidRPr="00AF3990">
              <w:rPr>
                <w:rFonts w:ascii="Times New Roman" w:eastAsia="Times New Roman" w:hAnsi="Times New Roman" w:cs="Times New Roman"/>
                <w:sz w:val="18"/>
                <w:szCs w:val="18"/>
                <w:lang w:val="en-US"/>
              </w:rPr>
              <w:t>Desvío</w:t>
            </w:r>
            <w:proofErr w:type="spellEnd"/>
            <w:r w:rsidRPr="00AF3990">
              <w:rPr>
                <w:rFonts w:ascii="Times New Roman" w:eastAsia="Times New Roman" w:hAnsi="Times New Roman" w:cs="Times New Roman"/>
                <w:sz w:val="18"/>
                <w:szCs w:val="18"/>
                <w:lang w:val="en-US"/>
              </w:rPr>
              <w:t xml:space="preserve"> </w:t>
            </w:r>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Media</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(95% IC)</w:t>
            </w:r>
          </w:p>
        </w:tc>
        <w:tc>
          <w:tcPr>
            <w:tcW w:w="40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proofErr w:type="spellStart"/>
            <w:r w:rsidRPr="00AF3990">
              <w:rPr>
                <w:rFonts w:ascii="Times New Roman" w:eastAsia="Times New Roman" w:hAnsi="Times New Roman" w:cs="Times New Roman"/>
                <w:sz w:val="18"/>
                <w:szCs w:val="18"/>
                <w:lang w:val="en-US"/>
              </w:rPr>
              <w:t>Desvío</w:t>
            </w:r>
            <w:proofErr w:type="spellEnd"/>
            <w:r w:rsidRPr="00AF3990">
              <w:rPr>
                <w:rFonts w:ascii="Times New Roman" w:eastAsia="Times New Roman" w:hAnsi="Times New Roman" w:cs="Times New Roman"/>
                <w:sz w:val="18"/>
                <w:szCs w:val="18"/>
                <w:lang w:val="en-US"/>
              </w:rPr>
              <w:t xml:space="preserve"> </w:t>
            </w:r>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Media</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(95% IC)</w:t>
            </w:r>
          </w:p>
        </w:tc>
        <w:tc>
          <w:tcPr>
            <w:tcW w:w="40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proofErr w:type="spellStart"/>
            <w:r w:rsidRPr="00AF3990">
              <w:rPr>
                <w:rFonts w:ascii="Times New Roman" w:eastAsia="Times New Roman" w:hAnsi="Times New Roman" w:cs="Times New Roman"/>
                <w:sz w:val="18"/>
                <w:szCs w:val="18"/>
                <w:lang w:val="en-US"/>
              </w:rPr>
              <w:t>Desvío</w:t>
            </w:r>
            <w:proofErr w:type="spellEnd"/>
            <w:r w:rsidRPr="00AF3990">
              <w:rPr>
                <w:rFonts w:ascii="Times New Roman" w:eastAsia="Times New Roman" w:hAnsi="Times New Roman" w:cs="Times New Roman"/>
                <w:sz w:val="18"/>
                <w:szCs w:val="18"/>
                <w:lang w:val="en-US"/>
              </w:rPr>
              <w:t xml:space="preserve"> </w:t>
            </w:r>
          </w:p>
        </w:tc>
        <w:tc>
          <w:tcPr>
            <w:tcW w:w="73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Media</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(95% IC)</w:t>
            </w:r>
          </w:p>
        </w:tc>
        <w:tc>
          <w:tcPr>
            <w:tcW w:w="36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proofErr w:type="spellStart"/>
            <w:r w:rsidRPr="00AF3990">
              <w:rPr>
                <w:rFonts w:ascii="Times New Roman" w:eastAsia="Times New Roman" w:hAnsi="Times New Roman" w:cs="Times New Roman"/>
                <w:sz w:val="18"/>
                <w:szCs w:val="18"/>
                <w:lang w:val="en-US"/>
              </w:rPr>
              <w:t>Desvío</w:t>
            </w:r>
            <w:proofErr w:type="spellEnd"/>
            <w:r w:rsidRPr="00AF3990">
              <w:rPr>
                <w:rFonts w:ascii="Times New Roman" w:eastAsia="Times New Roman" w:hAnsi="Times New Roman" w:cs="Times New Roman"/>
                <w:sz w:val="18"/>
                <w:szCs w:val="18"/>
                <w:lang w:val="en-US"/>
              </w:rPr>
              <w:t xml:space="preserve"> </w:t>
            </w:r>
          </w:p>
        </w:tc>
      </w:tr>
      <w:tr w:rsidR="00AF3990" w:rsidRPr="00AF3990" w:rsidTr="00AF3990">
        <w:trPr>
          <w:trHeight w:val="510"/>
        </w:trPr>
        <w:tc>
          <w:tcPr>
            <w:tcW w:w="51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proofErr w:type="spellStart"/>
            <w:r w:rsidRPr="00AF3990">
              <w:rPr>
                <w:rFonts w:ascii="Times New Roman" w:eastAsia="Times New Roman" w:hAnsi="Times New Roman" w:cs="Times New Roman"/>
                <w:sz w:val="18"/>
                <w:szCs w:val="18"/>
                <w:lang w:val="en-US"/>
              </w:rPr>
              <w:t>Edad</w:t>
            </w:r>
            <w:proofErr w:type="spellEnd"/>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43.92</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(43.75/44.09)</w:t>
            </w:r>
          </w:p>
        </w:tc>
        <w:tc>
          <w:tcPr>
            <w:tcW w:w="40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17,66</w:t>
            </w:r>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44.57</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(44.38/44.75)</w:t>
            </w:r>
          </w:p>
        </w:tc>
        <w:tc>
          <w:tcPr>
            <w:tcW w:w="40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17,85</w:t>
            </w:r>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44.60</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(44.49/44.79)</w:t>
            </w:r>
          </w:p>
        </w:tc>
        <w:tc>
          <w:tcPr>
            <w:tcW w:w="400" w:type="pct"/>
            <w:tcBorders>
              <w:top w:val="nil"/>
              <w:left w:val="nil"/>
              <w:bottom w:val="nil"/>
              <w:right w:val="nil"/>
            </w:tcBorders>
            <w:shd w:val="clear" w:color="auto" w:fill="auto"/>
            <w:noWrap/>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17,85</w:t>
            </w:r>
          </w:p>
        </w:tc>
        <w:tc>
          <w:tcPr>
            <w:tcW w:w="73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46.49 (46.28/46.69)</w:t>
            </w:r>
          </w:p>
        </w:tc>
        <w:tc>
          <w:tcPr>
            <w:tcW w:w="360" w:type="pct"/>
            <w:tcBorders>
              <w:top w:val="nil"/>
              <w:left w:val="nil"/>
              <w:bottom w:val="nil"/>
              <w:right w:val="nil"/>
            </w:tcBorders>
            <w:shd w:val="clear" w:color="auto" w:fill="auto"/>
            <w:noWrap/>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18,05</w:t>
            </w:r>
          </w:p>
        </w:tc>
      </w:tr>
      <w:tr w:rsidR="00AF3990" w:rsidRPr="00AF3990" w:rsidTr="00AF3990">
        <w:trPr>
          <w:trHeight w:val="510"/>
        </w:trPr>
        <w:tc>
          <w:tcPr>
            <w:tcW w:w="51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Sexo</w:t>
            </w:r>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0.57 (0.56/0.57)</w:t>
            </w:r>
          </w:p>
        </w:tc>
        <w:tc>
          <w:tcPr>
            <w:tcW w:w="40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0,5</w:t>
            </w:r>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0.57 (0.56/0.57)</w:t>
            </w:r>
          </w:p>
        </w:tc>
        <w:tc>
          <w:tcPr>
            <w:tcW w:w="40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0,5</w:t>
            </w:r>
          </w:p>
        </w:tc>
        <w:tc>
          <w:tcPr>
            <w:tcW w:w="733"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0.56 (0.55/0.56)</w:t>
            </w:r>
          </w:p>
        </w:tc>
        <w:tc>
          <w:tcPr>
            <w:tcW w:w="400" w:type="pct"/>
            <w:tcBorders>
              <w:top w:val="nil"/>
              <w:left w:val="nil"/>
              <w:bottom w:val="nil"/>
              <w:right w:val="nil"/>
            </w:tcBorders>
            <w:shd w:val="clear" w:color="auto" w:fill="auto"/>
            <w:noWrap/>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0,5</w:t>
            </w:r>
          </w:p>
        </w:tc>
        <w:tc>
          <w:tcPr>
            <w:tcW w:w="73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0.57</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(0.56/0.57)</w:t>
            </w:r>
          </w:p>
        </w:tc>
        <w:tc>
          <w:tcPr>
            <w:tcW w:w="360" w:type="pct"/>
            <w:tcBorders>
              <w:top w:val="nil"/>
              <w:left w:val="nil"/>
              <w:bottom w:val="nil"/>
              <w:right w:val="nil"/>
            </w:tcBorders>
            <w:shd w:val="clear" w:color="auto" w:fill="auto"/>
            <w:noWrap/>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0,5</w:t>
            </w:r>
          </w:p>
        </w:tc>
      </w:tr>
      <w:tr w:rsidR="00AF3990" w:rsidRPr="00AF3990" w:rsidTr="00AF3990">
        <w:trPr>
          <w:trHeight w:val="315"/>
        </w:trPr>
        <w:tc>
          <w:tcPr>
            <w:tcW w:w="51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TAD</w:t>
            </w:r>
          </w:p>
        </w:tc>
        <w:tc>
          <w:tcPr>
            <w:tcW w:w="733" w:type="pct"/>
            <w:vMerge w:val="restar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0.23</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(0.23/0.24)</w:t>
            </w:r>
          </w:p>
        </w:tc>
        <w:tc>
          <w:tcPr>
            <w:tcW w:w="400" w:type="pct"/>
            <w:vMerge w:val="restar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0,43</w:t>
            </w:r>
          </w:p>
        </w:tc>
        <w:tc>
          <w:tcPr>
            <w:tcW w:w="733" w:type="pct"/>
            <w:vMerge w:val="restar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0.19</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(0.18/0.20)</w:t>
            </w:r>
          </w:p>
        </w:tc>
        <w:tc>
          <w:tcPr>
            <w:tcW w:w="400" w:type="pct"/>
            <w:vMerge w:val="restar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0,39</w:t>
            </w:r>
          </w:p>
        </w:tc>
        <w:tc>
          <w:tcPr>
            <w:tcW w:w="733" w:type="pct"/>
            <w:vMerge w:val="restar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0.15</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(0.15/0.15)</w:t>
            </w:r>
          </w:p>
        </w:tc>
        <w:tc>
          <w:tcPr>
            <w:tcW w:w="400" w:type="pct"/>
            <w:vMerge w:val="restart"/>
            <w:tcBorders>
              <w:top w:val="nil"/>
              <w:left w:val="nil"/>
              <w:bottom w:val="nil"/>
              <w:right w:val="nil"/>
            </w:tcBorders>
            <w:shd w:val="clear" w:color="auto" w:fill="auto"/>
            <w:noWrap/>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0,36</w:t>
            </w:r>
          </w:p>
        </w:tc>
        <w:tc>
          <w:tcPr>
            <w:tcW w:w="730" w:type="pct"/>
            <w:vMerge w:val="restar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18"/>
                <w:szCs w:val="18"/>
              </w:rPr>
            </w:pPr>
            <w:r w:rsidRPr="00AF3990">
              <w:rPr>
                <w:rFonts w:ascii="Times New Roman" w:eastAsia="Times New Roman" w:hAnsi="Times New Roman" w:cs="Times New Roman"/>
                <w:sz w:val="18"/>
                <w:szCs w:val="18"/>
              </w:rPr>
              <w:t>0.18</w:t>
            </w:r>
          </w:p>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rPr>
              <w:t>(0.17/0.18)</w:t>
            </w:r>
          </w:p>
        </w:tc>
        <w:tc>
          <w:tcPr>
            <w:tcW w:w="360" w:type="pct"/>
            <w:vMerge w:val="restart"/>
            <w:tcBorders>
              <w:top w:val="nil"/>
              <w:left w:val="nil"/>
              <w:bottom w:val="nil"/>
              <w:right w:val="nil"/>
            </w:tcBorders>
            <w:shd w:val="clear" w:color="auto" w:fill="auto"/>
            <w:noWrap/>
            <w:hideMark/>
          </w:tcPr>
          <w:p w:rsidR="00AF3990" w:rsidRPr="00AF3990" w:rsidRDefault="00AF3990" w:rsidP="00AF3990">
            <w:pPr>
              <w:spacing w:after="0" w:line="240" w:lineRule="auto"/>
              <w:jc w:val="center"/>
              <w:rPr>
                <w:rFonts w:ascii="Times New Roman" w:eastAsia="Times New Roman" w:hAnsi="Times New Roman" w:cs="Times New Roman"/>
                <w:sz w:val="18"/>
                <w:szCs w:val="18"/>
                <w:lang w:val="en-US"/>
              </w:rPr>
            </w:pPr>
            <w:r w:rsidRPr="00AF3990">
              <w:rPr>
                <w:rFonts w:ascii="Times New Roman" w:eastAsia="Times New Roman" w:hAnsi="Times New Roman" w:cs="Times New Roman"/>
                <w:sz w:val="18"/>
                <w:szCs w:val="18"/>
                <w:lang w:val="en-US"/>
              </w:rPr>
              <w:t>0,38</w:t>
            </w:r>
          </w:p>
        </w:tc>
      </w:tr>
      <w:tr w:rsidR="00AF3990" w:rsidRPr="00AF3990" w:rsidTr="00AF3990">
        <w:trPr>
          <w:trHeight w:val="315"/>
        </w:trPr>
        <w:tc>
          <w:tcPr>
            <w:tcW w:w="510" w:type="pct"/>
            <w:tcBorders>
              <w:top w:val="nil"/>
              <w:left w:val="nil"/>
              <w:bottom w:val="nil"/>
              <w:right w:val="nil"/>
            </w:tcBorders>
            <w:shd w:val="clear" w:color="auto" w:fill="auto"/>
            <w:hideMark/>
          </w:tcPr>
          <w:p w:rsidR="00AF3990" w:rsidRPr="00AF3990" w:rsidRDefault="00AF3990" w:rsidP="00AF3990">
            <w:pPr>
              <w:spacing w:after="0" w:line="240" w:lineRule="auto"/>
              <w:jc w:val="center"/>
              <w:rPr>
                <w:rFonts w:ascii="Times New Roman" w:eastAsia="Times New Roman" w:hAnsi="Times New Roman" w:cs="Times New Roman"/>
                <w:sz w:val="20"/>
                <w:szCs w:val="20"/>
                <w:lang w:val="en-US"/>
              </w:rPr>
            </w:pPr>
          </w:p>
        </w:tc>
        <w:tc>
          <w:tcPr>
            <w:tcW w:w="733"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c>
          <w:tcPr>
            <w:tcW w:w="400"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c>
          <w:tcPr>
            <w:tcW w:w="733"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c>
          <w:tcPr>
            <w:tcW w:w="400"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c>
          <w:tcPr>
            <w:tcW w:w="733"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c>
          <w:tcPr>
            <w:tcW w:w="400"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c>
          <w:tcPr>
            <w:tcW w:w="730"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c>
          <w:tcPr>
            <w:tcW w:w="360" w:type="pct"/>
            <w:vMerge/>
            <w:tcBorders>
              <w:top w:val="nil"/>
              <w:left w:val="nil"/>
              <w:bottom w:val="nil"/>
              <w:right w:val="nil"/>
            </w:tcBorders>
            <w:vAlign w:val="center"/>
            <w:hideMark/>
          </w:tcPr>
          <w:p w:rsidR="00AF3990" w:rsidRPr="00AF3990" w:rsidRDefault="00AF3990" w:rsidP="00AF3990">
            <w:pPr>
              <w:spacing w:after="0" w:line="240" w:lineRule="auto"/>
              <w:rPr>
                <w:rFonts w:ascii="Times New Roman" w:eastAsia="Times New Roman" w:hAnsi="Times New Roman" w:cs="Times New Roman"/>
                <w:sz w:val="20"/>
                <w:szCs w:val="20"/>
                <w:lang w:val="en-US"/>
              </w:rPr>
            </w:pPr>
          </w:p>
        </w:tc>
      </w:tr>
    </w:tbl>
    <w:p w:rsidR="000B0737" w:rsidRDefault="000B0737" w:rsidP="000B0737">
      <w:pPr>
        <w:shd w:val="clear" w:color="auto" w:fill="FDFDFD"/>
        <w:spacing w:after="0" w:line="240" w:lineRule="auto"/>
        <w:rPr>
          <w:rFonts w:ascii="Times New Roman" w:eastAsia="Times New Roman" w:hAnsi="Times New Roman" w:cs="Times New Roman"/>
          <w:sz w:val="24"/>
          <w:szCs w:val="24"/>
        </w:rPr>
      </w:pPr>
      <w:r w:rsidRPr="00EC0E7D">
        <w:rPr>
          <w:rFonts w:ascii="Times New Roman" w:eastAsia="Times New Roman" w:hAnsi="Times New Roman" w:cs="Times New Roman"/>
          <w:i/>
          <w:sz w:val="24"/>
          <w:szCs w:val="24"/>
        </w:rPr>
        <w:t>Fuente</w:t>
      </w:r>
      <w:r w:rsidRPr="00EC0E7D">
        <w:rPr>
          <w:rFonts w:ascii="Times New Roman" w:eastAsia="Times New Roman" w:hAnsi="Times New Roman" w:cs="Times New Roman"/>
          <w:sz w:val="24"/>
          <w:szCs w:val="24"/>
        </w:rPr>
        <w:t xml:space="preserve">: elaboración propia basada en ENFR 2005,2009,2013 &amp; 2018 </w:t>
      </w:r>
    </w:p>
    <w:p w:rsidR="000B0737" w:rsidRPr="00EC0E7D" w:rsidRDefault="000B0737" w:rsidP="000B0737">
      <w:pPr>
        <w:shd w:val="clear" w:color="auto" w:fill="FDFDFD"/>
        <w:spacing w:after="0" w:line="360" w:lineRule="auto"/>
        <w:jc w:val="both"/>
        <w:rPr>
          <w:rFonts w:ascii="Times New Roman" w:eastAsia="Times New Roman" w:hAnsi="Times New Roman" w:cs="Times New Roman"/>
          <w:sz w:val="24"/>
          <w:szCs w:val="24"/>
        </w:rPr>
      </w:pPr>
    </w:p>
    <w:p w:rsidR="000B0737" w:rsidRPr="00EC0E7D" w:rsidRDefault="000B0737"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C0E7D">
        <w:rPr>
          <w:rFonts w:ascii="Times New Roman" w:eastAsia="Times New Roman" w:hAnsi="Times New Roman" w:cs="Times New Roman"/>
          <w:sz w:val="24"/>
          <w:szCs w:val="24"/>
        </w:rPr>
        <w:t>La Figura 1 ilustra el porcentaje de la población</w:t>
      </w:r>
      <w:r>
        <w:rPr>
          <w:rFonts w:ascii="Times New Roman" w:eastAsia="Times New Roman" w:hAnsi="Times New Roman" w:cs="Times New Roman"/>
          <w:sz w:val="24"/>
          <w:szCs w:val="24"/>
        </w:rPr>
        <w:t xml:space="preserve"> por edad</w:t>
      </w:r>
      <w:r w:rsidRPr="00EC0E7D">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ha reportado</w:t>
      </w:r>
      <w:r w:rsidRPr="00EC0E7D">
        <w:rPr>
          <w:rFonts w:ascii="Times New Roman" w:eastAsia="Times New Roman" w:hAnsi="Times New Roman" w:cs="Times New Roman"/>
          <w:sz w:val="24"/>
          <w:szCs w:val="24"/>
        </w:rPr>
        <w:t xml:space="preserve"> ansiedad/depresión en la población </w:t>
      </w:r>
      <w:proofErr w:type="gramStart"/>
      <w:r>
        <w:rPr>
          <w:rFonts w:ascii="Times New Roman" w:eastAsia="Times New Roman" w:hAnsi="Times New Roman" w:cs="Times New Roman"/>
          <w:sz w:val="24"/>
          <w:szCs w:val="24"/>
        </w:rPr>
        <w:t>A</w:t>
      </w:r>
      <w:r w:rsidRPr="00EC0E7D">
        <w:rPr>
          <w:rFonts w:ascii="Times New Roman" w:eastAsia="Times New Roman" w:hAnsi="Times New Roman" w:cs="Times New Roman"/>
          <w:sz w:val="24"/>
          <w:szCs w:val="24"/>
        </w:rPr>
        <w:t>rgentina</w:t>
      </w:r>
      <w:proofErr w:type="gramEnd"/>
      <w:r w:rsidRPr="00EC0E7D">
        <w:rPr>
          <w:rFonts w:ascii="Times New Roman" w:eastAsia="Times New Roman" w:hAnsi="Times New Roman" w:cs="Times New Roman"/>
          <w:sz w:val="24"/>
          <w:szCs w:val="24"/>
        </w:rPr>
        <w:t xml:space="preserve"> entre 2005 y 2018</w:t>
      </w:r>
      <w:r>
        <w:rPr>
          <w:rFonts w:ascii="Times New Roman" w:eastAsia="Times New Roman" w:hAnsi="Times New Roman" w:cs="Times New Roman"/>
          <w:sz w:val="24"/>
          <w:szCs w:val="24"/>
        </w:rPr>
        <w:t>.</w:t>
      </w:r>
      <w:r w:rsidRPr="00EC0E7D">
        <w:rPr>
          <w:rFonts w:ascii="Times New Roman" w:eastAsia="Times New Roman" w:hAnsi="Times New Roman" w:cs="Times New Roman"/>
          <w:sz w:val="24"/>
          <w:szCs w:val="24"/>
        </w:rPr>
        <w:t xml:space="preserve"> Se observa que la prevalencia es mayor para las mujeres que para los hombres y que </w:t>
      </w:r>
      <w:r>
        <w:rPr>
          <w:rFonts w:ascii="Times New Roman" w:eastAsia="Times New Roman" w:hAnsi="Times New Roman" w:cs="Times New Roman"/>
          <w:sz w:val="24"/>
          <w:szCs w:val="24"/>
        </w:rPr>
        <w:t xml:space="preserve">tiende </w:t>
      </w:r>
      <w:r w:rsidRPr="00EC0E7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aumentar</w:t>
      </w:r>
      <w:r w:rsidRPr="00EC0E7D">
        <w:rPr>
          <w:rFonts w:ascii="Times New Roman" w:eastAsia="Times New Roman" w:hAnsi="Times New Roman" w:cs="Times New Roman"/>
          <w:sz w:val="24"/>
          <w:szCs w:val="24"/>
        </w:rPr>
        <w:t xml:space="preserve"> con la edad. Sin embargo, mientras que en los hombres la prevalencia ha </w:t>
      </w:r>
      <w:r>
        <w:rPr>
          <w:rFonts w:ascii="Times New Roman" w:eastAsia="Times New Roman" w:hAnsi="Times New Roman" w:cs="Times New Roman"/>
          <w:sz w:val="24"/>
          <w:szCs w:val="24"/>
        </w:rPr>
        <w:t>crecido de manera casi lineal</w:t>
      </w:r>
      <w:r w:rsidRPr="00EC0E7D">
        <w:rPr>
          <w:rFonts w:ascii="Times New Roman" w:eastAsia="Times New Roman" w:hAnsi="Times New Roman" w:cs="Times New Roman"/>
          <w:sz w:val="24"/>
          <w:szCs w:val="24"/>
        </w:rPr>
        <w:t xml:space="preserve"> a lo largo de la vida, en las mujere</w:t>
      </w:r>
      <w:r>
        <w:rPr>
          <w:rFonts w:ascii="Times New Roman" w:eastAsia="Times New Roman" w:hAnsi="Times New Roman" w:cs="Times New Roman"/>
          <w:sz w:val="24"/>
          <w:szCs w:val="24"/>
        </w:rPr>
        <w:t>s se ha apreciado</w:t>
      </w:r>
      <w:r w:rsidRPr="00EC0E7D">
        <w:rPr>
          <w:rFonts w:ascii="Times New Roman" w:eastAsia="Times New Roman" w:hAnsi="Times New Roman" w:cs="Times New Roman"/>
          <w:sz w:val="24"/>
          <w:szCs w:val="24"/>
        </w:rPr>
        <w:t xml:space="preserve"> un aumento notable entre las edades de 20 y 50 años, </w:t>
      </w:r>
      <w:r>
        <w:rPr>
          <w:rFonts w:ascii="Times New Roman" w:eastAsia="Times New Roman" w:hAnsi="Times New Roman" w:cs="Times New Roman"/>
          <w:sz w:val="24"/>
          <w:szCs w:val="24"/>
        </w:rPr>
        <w:t>para luego estabilizarse</w:t>
      </w:r>
      <w:r w:rsidRPr="00EC0E7D">
        <w:rPr>
          <w:rFonts w:ascii="Times New Roman" w:eastAsia="Times New Roman" w:hAnsi="Times New Roman" w:cs="Times New Roman"/>
          <w:sz w:val="24"/>
          <w:szCs w:val="24"/>
        </w:rPr>
        <w:t xml:space="preserve">. También se observa que, en 2005, </w:t>
      </w:r>
      <w:r>
        <w:rPr>
          <w:rFonts w:ascii="Times New Roman" w:eastAsia="Times New Roman" w:hAnsi="Times New Roman" w:cs="Times New Roman"/>
          <w:sz w:val="24"/>
          <w:szCs w:val="24"/>
        </w:rPr>
        <w:t>la prevalencia</w:t>
      </w:r>
      <w:r w:rsidRPr="00EC0E7D">
        <w:rPr>
          <w:rFonts w:ascii="Times New Roman" w:eastAsia="Times New Roman" w:hAnsi="Times New Roman" w:cs="Times New Roman"/>
          <w:sz w:val="24"/>
          <w:szCs w:val="24"/>
        </w:rPr>
        <w:t xml:space="preserve"> parecía ser l</w:t>
      </w:r>
      <w:r>
        <w:rPr>
          <w:rFonts w:ascii="Times New Roman" w:eastAsia="Times New Roman" w:hAnsi="Times New Roman" w:cs="Times New Roman"/>
          <w:sz w:val="24"/>
          <w:szCs w:val="24"/>
        </w:rPr>
        <w:t>a</w:t>
      </w:r>
      <w:r w:rsidRPr="00EC0E7D">
        <w:rPr>
          <w:rFonts w:ascii="Times New Roman" w:eastAsia="Times New Roman" w:hAnsi="Times New Roman" w:cs="Times New Roman"/>
          <w:sz w:val="24"/>
          <w:szCs w:val="24"/>
        </w:rPr>
        <w:t xml:space="preserve"> más</w:t>
      </w:r>
      <w:r>
        <w:rPr>
          <w:rFonts w:ascii="Times New Roman" w:eastAsia="Times New Roman" w:hAnsi="Times New Roman" w:cs="Times New Roman"/>
          <w:sz w:val="24"/>
          <w:szCs w:val="24"/>
        </w:rPr>
        <w:t xml:space="preserve"> elevada</w:t>
      </w:r>
      <w:r w:rsidRPr="00EC0E7D">
        <w:rPr>
          <w:rFonts w:ascii="Times New Roman" w:eastAsia="Times New Roman" w:hAnsi="Times New Roman" w:cs="Times New Roman"/>
          <w:sz w:val="24"/>
          <w:szCs w:val="24"/>
        </w:rPr>
        <w:t xml:space="preserve"> para todos los grupos de edad, y </w:t>
      </w:r>
      <w:r>
        <w:rPr>
          <w:rFonts w:ascii="Times New Roman" w:eastAsia="Times New Roman" w:hAnsi="Times New Roman" w:cs="Times New Roman"/>
          <w:sz w:val="24"/>
          <w:szCs w:val="24"/>
        </w:rPr>
        <w:t>la más baja se observó</w:t>
      </w:r>
      <w:r w:rsidRPr="00EC0E7D">
        <w:rPr>
          <w:rFonts w:ascii="Times New Roman" w:eastAsia="Times New Roman" w:hAnsi="Times New Roman" w:cs="Times New Roman"/>
          <w:sz w:val="24"/>
          <w:szCs w:val="24"/>
        </w:rPr>
        <w:t xml:space="preserve"> en 2013. En 2018 la prevalencia fue mayor en comparación con 2013 para todos los grupos de edad, pero en particular, en los grupos de edad más jóvenes</w:t>
      </w:r>
      <w:r>
        <w:rPr>
          <w:rFonts w:ascii="Times New Roman" w:eastAsia="Times New Roman" w:hAnsi="Times New Roman" w:cs="Times New Roman"/>
          <w:sz w:val="24"/>
          <w:szCs w:val="24"/>
        </w:rPr>
        <w:t xml:space="preserve">, a punto tal que </w:t>
      </w:r>
      <w:r w:rsidRPr="00EC0E7D">
        <w:rPr>
          <w:rFonts w:ascii="Times New Roman" w:eastAsia="Times New Roman" w:hAnsi="Times New Roman" w:cs="Times New Roman"/>
          <w:sz w:val="24"/>
          <w:szCs w:val="24"/>
        </w:rPr>
        <w:t xml:space="preserve">podría </w:t>
      </w:r>
      <w:r>
        <w:rPr>
          <w:rFonts w:ascii="Times New Roman" w:eastAsia="Times New Roman" w:hAnsi="Times New Roman" w:cs="Times New Roman"/>
          <w:sz w:val="24"/>
          <w:szCs w:val="24"/>
        </w:rPr>
        <w:t>ser comparable con la prevalencia estimada</w:t>
      </w:r>
      <w:r w:rsidRPr="00EC0E7D">
        <w:rPr>
          <w:rFonts w:ascii="Times New Roman" w:eastAsia="Times New Roman" w:hAnsi="Times New Roman" w:cs="Times New Roman"/>
          <w:sz w:val="24"/>
          <w:szCs w:val="24"/>
        </w:rPr>
        <w:t xml:space="preserve"> para 2009.</w:t>
      </w:r>
    </w:p>
    <w:p w:rsidR="000B0737" w:rsidRDefault="000B0737" w:rsidP="000B0737">
      <w:pPr>
        <w:rPr>
          <w:rFonts w:ascii="Times New Roman" w:eastAsia="Times New Roman" w:hAnsi="Times New Roman" w:cs="Times New Roman"/>
          <w:sz w:val="24"/>
          <w:szCs w:val="24"/>
          <w:lang w:eastAsia="es-ES"/>
        </w:rPr>
      </w:pPr>
    </w:p>
    <w:p w:rsidR="000B0737" w:rsidRPr="000C4B83" w:rsidRDefault="000B0737" w:rsidP="00127C9C">
      <w:pPr>
        <w:spacing w:line="240" w:lineRule="auto"/>
        <w:rPr>
          <w:rFonts w:ascii="Times New Roman" w:eastAsia="Times New Roman" w:hAnsi="Times New Roman" w:cs="Times New Roman"/>
          <w:sz w:val="24"/>
          <w:szCs w:val="24"/>
          <w:lang w:eastAsia="es-ES"/>
        </w:rPr>
      </w:pPr>
      <w:r w:rsidRPr="000C4B83">
        <w:rPr>
          <w:rFonts w:ascii="Times New Roman" w:eastAsia="Times New Roman" w:hAnsi="Times New Roman" w:cs="Times New Roman"/>
          <w:sz w:val="24"/>
          <w:szCs w:val="24"/>
          <w:lang w:eastAsia="es-ES"/>
        </w:rPr>
        <w:lastRenderedPageBreak/>
        <w:t>Figura 1: Porcentaje de población que reporta presencia de trastornos de ansiedad/depresi</w:t>
      </w:r>
      <w:r>
        <w:rPr>
          <w:rFonts w:ascii="Times New Roman" w:eastAsia="Times New Roman" w:hAnsi="Times New Roman" w:cs="Times New Roman"/>
          <w:sz w:val="24"/>
          <w:szCs w:val="24"/>
          <w:lang w:eastAsia="es-ES"/>
        </w:rPr>
        <w:t>ó</w:t>
      </w:r>
      <w:r w:rsidRPr="000C4B83">
        <w:rPr>
          <w:rFonts w:ascii="Times New Roman" w:eastAsia="Times New Roman" w:hAnsi="Times New Roman" w:cs="Times New Roman"/>
          <w:sz w:val="24"/>
          <w:szCs w:val="24"/>
          <w:lang w:eastAsia="es-ES"/>
        </w:rPr>
        <w:t>n en Argentina por sexo</w:t>
      </w:r>
      <w:r>
        <w:rPr>
          <w:rFonts w:ascii="Times New Roman" w:eastAsia="Times New Roman" w:hAnsi="Times New Roman" w:cs="Times New Roman"/>
          <w:sz w:val="24"/>
          <w:szCs w:val="24"/>
          <w:lang w:eastAsia="es-ES"/>
        </w:rPr>
        <w:t xml:space="preserve"> y edad</w:t>
      </w:r>
      <w:r w:rsidRPr="000C4B83">
        <w:rPr>
          <w:rFonts w:ascii="Times New Roman" w:eastAsia="Times New Roman" w:hAnsi="Times New Roman" w:cs="Times New Roman"/>
          <w:sz w:val="24"/>
          <w:szCs w:val="24"/>
          <w:lang w:eastAsia="es-ES"/>
        </w:rPr>
        <w:t>, 2005-2018</w:t>
      </w:r>
    </w:p>
    <w:p w:rsidR="000B0737" w:rsidRPr="00A31D93" w:rsidRDefault="000B0737" w:rsidP="000B0737">
      <w:pPr>
        <w:spacing w:line="360" w:lineRule="auto"/>
        <w:rPr>
          <w:rFonts w:ascii="Calibri" w:eastAsia="Times New Roman" w:hAnsi="Calibri" w:cs="Calibri"/>
          <w:lang w:val="en-US" w:eastAsia="es-ES"/>
        </w:rPr>
      </w:pPr>
      <w:r w:rsidRPr="00BA2A6D">
        <w:rPr>
          <w:noProof/>
          <w:lang w:eastAsia="es-ES"/>
        </w:rPr>
        <w:drawing>
          <wp:inline distT="0" distB="0" distL="0" distR="0" wp14:anchorId="29BC7224" wp14:editId="3D7398A8">
            <wp:extent cx="5005876" cy="3958937"/>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26964" cy="3975614"/>
                    </a:xfrm>
                    <a:prstGeom prst="rect">
                      <a:avLst/>
                    </a:prstGeom>
                  </pic:spPr>
                </pic:pic>
              </a:graphicData>
            </a:graphic>
          </wp:inline>
        </w:drawing>
      </w:r>
    </w:p>
    <w:p w:rsidR="000B0737" w:rsidRPr="00EC0E7D" w:rsidRDefault="000B0737" w:rsidP="000B0737">
      <w:pPr>
        <w:shd w:val="clear" w:color="auto" w:fill="FDFDFD"/>
        <w:spacing w:after="0" w:line="240" w:lineRule="auto"/>
        <w:rPr>
          <w:rFonts w:ascii="Times New Roman" w:eastAsia="Times New Roman" w:hAnsi="Times New Roman" w:cs="Times New Roman"/>
          <w:sz w:val="24"/>
          <w:szCs w:val="24"/>
        </w:rPr>
      </w:pPr>
      <w:r w:rsidRPr="00427544">
        <w:rPr>
          <w:rFonts w:ascii="Times New Roman" w:eastAsia="Times New Roman" w:hAnsi="Times New Roman" w:cs="Times New Roman"/>
          <w:i/>
          <w:sz w:val="24"/>
          <w:szCs w:val="24"/>
        </w:rPr>
        <w:t>Fuente:</w:t>
      </w:r>
      <w:r w:rsidRPr="00EC0E7D">
        <w:rPr>
          <w:rFonts w:ascii="Times New Roman" w:eastAsia="Times New Roman" w:hAnsi="Times New Roman" w:cs="Times New Roman"/>
          <w:sz w:val="24"/>
          <w:szCs w:val="24"/>
        </w:rPr>
        <w:t xml:space="preserve"> elaboración propia basada en ENFR 2005,2009,2013 &amp; 2018 </w:t>
      </w:r>
    </w:p>
    <w:p w:rsidR="000B0737" w:rsidRPr="00EC0E7D" w:rsidRDefault="000B0737" w:rsidP="000B0737">
      <w:pPr>
        <w:shd w:val="clear" w:color="auto" w:fill="FDFDFD"/>
        <w:spacing w:after="0" w:line="360" w:lineRule="auto"/>
        <w:jc w:val="both"/>
        <w:rPr>
          <w:rFonts w:ascii="Times New Roman" w:eastAsia="Times New Roman" w:hAnsi="Times New Roman" w:cs="Times New Roman"/>
          <w:sz w:val="24"/>
          <w:szCs w:val="24"/>
        </w:rPr>
      </w:pP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C0E7D">
        <w:rPr>
          <w:rFonts w:ascii="Times New Roman" w:eastAsia="Times New Roman" w:hAnsi="Times New Roman" w:cs="Times New Roman"/>
          <w:sz w:val="24"/>
          <w:szCs w:val="24"/>
        </w:rPr>
        <w:t xml:space="preserve">La Tabla 2 </w:t>
      </w:r>
      <w:r>
        <w:rPr>
          <w:rFonts w:ascii="Times New Roman" w:eastAsia="Times New Roman" w:hAnsi="Times New Roman" w:cs="Times New Roman"/>
          <w:sz w:val="24"/>
          <w:szCs w:val="24"/>
        </w:rPr>
        <w:t>presenta las estimaciones de</w:t>
      </w:r>
      <w:r w:rsidRPr="00EC0E7D">
        <w:rPr>
          <w:rFonts w:ascii="Times New Roman" w:eastAsia="Times New Roman" w:hAnsi="Times New Roman" w:cs="Times New Roman"/>
          <w:sz w:val="24"/>
          <w:szCs w:val="24"/>
        </w:rPr>
        <w:t xml:space="preserve"> la esperanza de vida restante </w:t>
      </w:r>
      <w:r>
        <w:rPr>
          <w:rFonts w:ascii="Times New Roman" w:eastAsia="Times New Roman" w:hAnsi="Times New Roman" w:cs="Times New Roman"/>
          <w:sz w:val="24"/>
          <w:szCs w:val="24"/>
        </w:rPr>
        <w:t>a los</w:t>
      </w:r>
      <w:r w:rsidRPr="00EC0E7D">
        <w:rPr>
          <w:rFonts w:ascii="Times New Roman" w:eastAsia="Times New Roman" w:hAnsi="Times New Roman" w:cs="Times New Roman"/>
          <w:sz w:val="24"/>
          <w:szCs w:val="24"/>
        </w:rPr>
        <w:t xml:space="preserve"> 20 años (</w:t>
      </w:r>
      <w:r>
        <w:rPr>
          <w:rFonts w:ascii="Times New Roman" w:eastAsia="Times New Roman" w:hAnsi="Times New Roman" w:cs="Times New Roman"/>
          <w:sz w:val="24"/>
          <w:szCs w:val="24"/>
        </w:rPr>
        <w:t>EV</w:t>
      </w:r>
      <w:r w:rsidRPr="00EC0E7D">
        <w:rPr>
          <w:rFonts w:ascii="Times New Roman" w:eastAsia="Times New Roman" w:hAnsi="Times New Roman" w:cs="Times New Roman"/>
          <w:sz w:val="24"/>
          <w:szCs w:val="24"/>
        </w:rPr>
        <w:t xml:space="preserve">20) y la esperanza de vida libre de trastornos de ansiedad/depresión </w:t>
      </w:r>
      <w:r>
        <w:rPr>
          <w:rFonts w:ascii="Times New Roman" w:eastAsia="Times New Roman" w:hAnsi="Times New Roman" w:cs="Times New Roman"/>
          <w:sz w:val="24"/>
          <w:szCs w:val="24"/>
        </w:rPr>
        <w:t>a los</w:t>
      </w:r>
      <w:r w:rsidRPr="00EC0E7D">
        <w:rPr>
          <w:rFonts w:ascii="Times New Roman" w:eastAsia="Times New Roman" w:hAnsi="Times New Roman" w:cs="Times New Roman"/>
          <w:sz w:val="24"/>
          <w:szCs w:val="24"/>
        </w:rPr>
        <w:t xml:space="preserve"> 20 años (</w:t>
      </w:r>
      <w:r>
        <w:rPr>
          <w:rFonts w:ascii="Times New Roman" w:eastAsia="Times New Roman" w:hAnsi="Times New Roman" w:cs="Times New Roman"/>
          <w:sz w:val="24"/>
          <w:szCs w:val="24"/>
        </w:rPr>
        <w:t>EVLTAD</w:t>
      </w:r>
      <w:r w:rsidRPr="00EC0E7D">
        <w:rPr>
          <w:rFonts w:ascii="Times New Roman" w:eastAsia="Times New Roman" w:hAnsi="Times New Roman" w:cs="Times New Roman"/>
          <w:sz w:val="24"/>
          <w:szCs w:val="24"/>
        </w:rPr>
        <w:t xml:space="preserve">20). </w:t>
      </w:r>
      <w:r>
        <w:rPr>
          <w:rFonts w:ascii="Times New Roman" w:eastAsia="Times New Roman" w:hAnsi="Times New Roman" w:cs="Times New Roman"/>
          <w:sz w:val="24"/>
          <w:szCs w:val="24"/>
        </w:rPr>
        <w:t>Cabe señalar que, en el primer momento, 2005, si bien la EV20 era más alta para las mujeres que para los hombres, ambos sexos presentaron el mismo valor de EVLTAD20, sin embargo, esa paridad se modificó con el correr del tiempo: s</w:t>
      </w:r>
      <w:r w:rsidRPr="00EC0E7D">
        <w:rPr>
          <w:rFonts w:ascii="Times New Roman" w:eastAsia="Times New Roman" w:hAnsi="Times New Roman" w:cs="Times New Roman"/>
          <w:sz w:val="24"/>
          <w:szCs w:val="24"/>
        </w:rPr>
        <w:t>e puede observar que durante 2005 y 2018 tanto l</w:t>
      </w:r>
      <w:r>
        <w:rPr>
          <w:rFonts w:ascii="Times New Roman" w:eastAsia="Times New Roman" w:hAnsi="Times New Roman" w:cs="Times New Roman"/>
          <w:sz w:val="24"/>
          <w:szCs w:val="24"/>
        </w:rPr>
        <w:t>a</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w:t>
      </w:r>
      <w:r w:rsidRPr="00EC0E7D">
        <w:rPr>
          <w:rFonts w:ascii="Times New Roman" w:eastAsia="Times New Roman" w:hAnsi="Times New Roman" w:cs="Times New Roman"/>
          <w:sz w:val="24"/>
          <w:szCs w:val="24"/>
        </w:rPr>
        <w:t xml:space="preserve">20 como </w:t>
      </w:r>
      <w:r>
        <w:rPr>
          <w:rFonts w:ascii="Times New Roman" w:eastAsia="Times New Roman" w:hAnsi="Times New Roman" w:cs="Times New Roman"/>
          <w:sz w:val="24"/>
          <w:szCs w:val="24"/>
        </w:rPr>
        <w:t>la</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EVLTAD20</w:t>
      </w:r>
      <w:r w:rsidRPr="00EC0E7D">
        <w:rPr>
          <w:rFonts w:ascii="Times New Roman" w:eastAsia="Times New Roman" w:hAnsi="Times New Roman" w:cs="Times New Roman"/>
          <w:sz w:val="24"/>
          <w:szCs w:val="24"/>
        </w:rPr>
        <w:t xml:space="preserve"> han aumentado </w:t>
      </w:r>
      <w:r>
        <w:rPr>
          <w:rFonts w:ascii="Times New Roman" w:eastAsia="Times New Roman" w:hAnsi="Times New Roman" w:cs="Times New Roman"/>
          <w:sz w:val="24"/>
          <w:szCs w:val="24"/>
        </w:rPr>
        <w:t>tanto para</w:t>
      </w:r>
      <w:r w:rsidRPr="00EC0E7D">
        <w:rPr>
          <w:rFonts w:ascii="Times New Roman" w:eastAsia="Times New Roman" w:hAnsi="Times New Roman" w:cs="Times New Roman"/>
          <w:sz w:val="24"/>
          <w:szCs w:val="24"/>
        </w:rPr>
        <w:t xml:space="preserve"> hombres </w:t>
      </w:r>
      <w:r>
        <w:rPr>
          <w:rFonts w:ascii="Times New Roman" w:eastAsia="Times New Roman" w:hAnsi="Times New Roman" w:cs="Times New Roman"/>
          <w:sz w:val="24"/>
          <w:szCs w:val="24"/>
        </w:rPr>
        <w:t>como para</w:t>
      </w:r>
      <w:r w:rsidRPr="00EC0E7D">
        <w:rPr>
          <w:rFonts w:ascii="Times New Roman" w:eastAsia="Times New Roman" w:hAnsi="Times New Roman" w:cs="Times New Roman"/>
          <w:sz w:val="24"/>
          <w:szCs w:val="24"/>
        </w:rPr>
        <w:t xml:space="preserve"> mujeres</w:t>
      </w:r>
      <w:r>
        <w:rPr>
          <w:rFonts w:ascii="Times New Roman" w:eastAsia="Times New Roman" w:hAnsi="Times New Roman" w:cs="Times New Roman"/>
          <w:sz w:val="24"/>
          <w:szCs w:val="24"/>
        </w:rPr>
        <w:t>.</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EC0E7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EV20</w:t>
      </w:r>
      <w:r w:rsidRPr="00EC0E7D">
        <w:rPr>
          <w:rFonts w:ascii="Times New Roman" w:eastAsia="Times New Roman" w:hAnsi="Times New Roman" w:cs="Times New Roman"/>
          <w:sz w:val="24"/>
          <w:szCs w:val="24"/>
        </w:rPr>
        <w:t xml:space="preserve"> aumentó en 1,5 años para los hombres y 0,7 años para las mujeres, mientras que </w:t>
      </w:r>
      <w:r>
        <w:rPr>
          <w:rFonts w:ascii="Times New Roman" w:eastAsia="Times New Roman" w:hAnsi="Times New Roman" w:cs="Times New Roman"/>
          <w:sz w:val="24"/>
          <w:szCs w:val="24"/>
        </w:rPr>
        <w:t>la</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EVLTAD20</w:t>
      </w:r>
      <w:r w:rsidRPr="00EC0E7D">
        <w:rPr>
          <w:rFonts w:ascii="Times New Roman" w:eastAsia="Times New Roman" w:hAnsi="Times New Roman" w:cs="Times New Roman"/>
          <w:sz w:val="24"/>
          <w:szCs w:val="24"/>
        </w:rPr>
        <w:t xml:space="preserve"> aumentó en 3,6 años y 5,6 años, respectivamente. Cabe destacar que, a pesar de que l</w:t>
      </w:r>
      <w:r>
        <w:rPr>
          <w:rFonts w:ascii="Times New Roman" w:eastAsia="Times New Roman" w:hAnsi="Times New Roman" w:cs="Times New Roman"/>
          <w:sz w:val="24"/>
          <w:szCs w:val="24"/>
        </w:rPr>
        <w:t>os incrementos</w:t>
      </w:r>
      <w:r w:rsidRPr="00EC0E7D">
        <w:rPr>
          <w:rFonts w:ascii="Times New Roman" w:eastAsia="Times New Roman" w:hAnsi="Times New Roman" w:cs="Times New Roman"/>
          <w:sz w:val="24"/>
          <w:szCs w:val="24"/>
        </w:rPr>
        <w:t xml:space="preserve"> en la </w:t>
      </w:r>
      <w:r>
        <w:rPr>
          <w:rFonts w:ascii="Times New Roman" w:eastAsia="Times New Roman" w:hAnsi="Times New Roman" w:cs="Times New Roman"/>
          <w:sz w:val="24"/>
          <w:szCs w:val="24"/>
        </w:rPr>
        <w:t>EV20</w:t>
      </w:r>
      <w:r w:rsidRPr="00EC0E7D">
        <w:rPr>
          <w:rFonts w:ascii="Times New Roman" w:eastAsia="Times New Roman" w:hAnsi="Times New Roman" w:cs="Times New Roman"/>
          <w:sz w:val="24"/>
          <w:szCs w:val="24"/>
        </w:rPr>
        <w:t xml:space="preserve"> fueron más modest</w:t>
      </w:r>
      <w:r>
        <w:rPr>
          <w:rFonts w:ascii="Times New Roman" w:eastAsia="Times New Roman" w:hAnsi="Times New Roman" w:cs="Times New Roman"/>
          <w:sz w:val="24"/>
          <w:szCs w:val="24"/>
        </w:rPr>
        <w:t>os</w:t>
      </w:r>
      <w:r w:rsidRPr="00EC0E7D">
        <w:rPr>
          <w:rFonts w:ascii="Times New Roman" w:eastAsia="Times New Roman" w:hAnsi="Times New Roman" w:cs="Times New Roman"/>
          <w:sz w:val="24"/>
          <w:szCs w:val="24"/>
        </w:rPr>
        <w:t xml:space="preserve"> para las mujeres, </w:t>
      </w:r>
      <w:r>
        <w:rPr>
          <w:rFonts w:ascii="Times New Roman" w:eastAsia="Times New Roman" w:hAnsi="Times New Roman" w:cs="Times New Roman"/>
          <w:sz w:val="24"/>
          <w:szCs w:val="24"/>
        </w:rPr>
        <w:t>en la</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EVLTAD20</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 mejorías han sido más notables</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 cual es llamativo dado que la</w:t>
      </w:r>
      <w:r w:rsidRPr="00EC0E7D">
        <w:rPr>
          <w:rFonts w:ascii="Times New Roman" w:eastAsia="Times New Roman" w:hAnsi="Times New Roman" w:cs="Times New Roman"/>
          <w:sz w:val="24"/>
          <w:szCs w:val="24"/>
        </w:rPr>
        <w:t xml:space="preserve"> pre</w:t>
      </w:r>
      <w:r>
        <w:rPr>
          <w:rFonts w:ascii="Times New Roman" w:eastAsia="Times New Roman" w:hAnsi="Times New Roman" w:cs="Times New Roman"/>
          <w:sz w:val="24"/>
          <w:szCs w:val="24"/>
        </w:rPr>
        <w:t>valencia</w:t>
      </w:r>
      <w:r w:rsidRPr="00EC0E7D">
        <w:rPr>
          <w:rFonts w:ascii="Times New Roman" w:eastAsia="Times New Roman" w:hAnsi="Times New Roman" w:cs="Times New Roman"/>
          <w:sz w:val="24"/>
          <w:szCs w:val="24"/>
        </w:rPr>
        <w:t xml:space="preserve"> de trastornos de</w:t>
      </w:r>
      <w:r>
        <w:rPr>
          <w:rFonts w:ascii="Times New Roman" w:eastAsia="Times New Roman" w:hAnsi="Times New Roman" w:cs="Times New Roman"/>
          <w:sz w:val="24"/>
          <w:szCs w:val="24"/>
        </w:rPr>
        <w:t>l</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tipo de </w:t>
      </w:r>
      <w:r w:rsidRPr="00EC0E7D">
        <w:rPr>
          <w:rFonts w:ascii="Times New Roman" w:eastAsia="Times New Roman" w:hAnsi="Times New Roman" w:cs="Times New Roman"/>
          <w:sz w:val="24"/>
          <w:szCs w:val="24"/>
        </w:rPr>
        <w:t>ansiedad</w:t>
      </w:r>
      <w:r>
        <w:rPr>
          <w:rFonts w:ascii="Times New Roman" w:eastAsia="Times New Roman" w:hAnsi="Times New Roman" w:cs="Times New Roman"/>
          <w:sz w:val="24"/>
          <w:szCs w:val="24"/>
        </w:rPr>
        <w:t xml:space="preserve"> y</w:t>
      </w:r>
      <w:r w:rsidRPr="00EC0E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 </w:t>
      </w:r>
      <w:r w:rsidRPr="00EC0E7D">
        <w:rPr>
          <w:rFonts w:ascii="Times New Roman" w:eastAsia="Times New Roman" w:hAnsi="Times New Roman" w:cs="Times New Roman"/>
          <w:sz w:val="24"/>
          <w:szCs w:val="24"/>
        </w:rPr>
        <w:t xml:space="preserve">depresión tiende a ser mayor para las mujeres. También </w:t>
      </w:r>
      <w:r>
        <w:rPr>
          <w:rFonts w:ascii="Times New Roman" w:eastAsia="Times New Roman" w:hAnsi="Times New Roman" w:cs="Times New Roman"/>
          <w:sz w:val="24"/>
          <w:szCs w:val="24"/>
        </w:rPr>
        <w:t xml:space="preserve">se destaca </w:t>
      </w:r>
      <w:r w:rsidRPr="00EC0E7D">
        <w:rPr>
          <w:rFonts w:ascii="Times New Roman" w:eastAsia="Times New Roman" w:hAnsi="Times New Roman" w:cs="Times New Roman"/>
          <w:sz w:val="24"/>
          <w:szCs w:val="24"/>
        </w:rPr>
        <w:t xml:space="preserve">que en el período 2013-18 </w:t>
      </w:r>
      <w:r>
        <w:rPr>
          <w:rFonts w:ascii="Times New Roman" w:eastAsia="Times New Roman" w:hAnsi="Times New Roman" w:cs="Times New Roman"/>
          <w:sz w:val="24"/>
          <w:szCs w:val="24"/>
        </w:rPr>
        <w:t>la</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EV20</w:t>
      </w:r>
      <w:r w:rsidRPr="00EC0E7D">
        <w:rPr>
          <w:rFonts w:ascii="Times New Roman" w:eastAsia="Times New Roman" w:hAnsi="Times New Roman" w:cs="Times New Roman"/>
          <w:sz w:val="24"/>
          <w:szCs w:val="24"/>
        </w:rPr>
        <w:t xml:space="preserve"> aumentó para ambos sexos, pero </w:t>
      </w:r>
      <w:r>
        <w:rPr>
          <w:rFonts w:ascii="Times New Roman" w:eastAsia="Times New Roman" w:hAnsi="Times New Roman" w:cs="Times New Roman"/>
          <w:sz w:val="24"/>
          <w:szCs w:val="24"/>
        </w:rPr>
        <w:t>la</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EVLTAD20</w:t>
      </w:r>
      <w:r w:rsidRPr="00EC0E7D">
        <w:rPr>
          <w:rFonts w:ascii="Times New Roman" w:eastAsia="Times New Roman" w:hAnsi="Times New Roman" w:cs="Times New Roman"/>
          <w:sz w:val="24"/>
          <w:szCs w:val="24"/>
        </w:rPr>
        <w:t xml:space="preserve"> disminuyó </w:t>
      </w:r>
      <w:r>
        <w:rPr>
          <w:rFonts w:ascii="Times New Roman" w:eastAsia="Times New Roman" w:hAnsi="Times New Roman" w:cs="Times New Roman"/>
          <w:sz w:val="24"/>
          <w:szCs w:val="24"/>
        </w:rPr>
        <w:t>pese a dicho incremento</w:t>
      </w:r>
      <w:r w:rsidRPr="00EC0E7D">
        <w:rPr>
          <w:rFonts w:ascii="Times New Roman" w:eastAsia="Times New Roman" w:hAnsi="Times New Roman" w:cs="Times New Roman"/>
          <w:sz w:val="24"/>
          <w:szCs w:val="24"/>
        </w:rPr>
        <w:t>.  </w:t>
      </w: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p>
    <w:p w:rsidR="000B0737" w:rsidRPr="00EC0E7D" w:rsidRDefault="000B0737" w:rsidP="00127C9C">
      <w:pPr>
        <w:shd w:val="clear" w:color="auto" w:fill="FDFDFD"/>
        <w:spacing w:after="0" w:line="240" w:lineRule="auto"/>
        <w:jc w:val="both"/>
        <w:rPr>
          <w:rFonts w:ascii="Times New Roman" w:eastAsia="Times New Roman" w:hAnsi="Times New Roman" w:cs="Times New Roman"/>
          <w:sz w:val="24"/>
          <w:szCs w:val="24"/>
        </w:rPr>
      </w:pPr>
      <w:r w:rsidRPr="00EC0E7D">
        <w:rPr>
          <w:rFonts w:ascii="Times New Roman" w:eastAsia="Times New Roman" w:hAnsi="Times New Roman" w:cs="Times New Roman"/>
          <w:sz w:val="24"/>
          <w:szCs w:val="24"/>
        </w:rPr>
        <w:t xml:space="preserve">Tabla 2: Esperanza de vida </w:t>
      </w:r>
      <w:r>
        <w:rPr>
          <w:rFonts w:ascii="Times New Roman" w:eastAsia="Times New Roman" w:hAnsi="Times New Roman" w:cs="Times New Roman"/>
          <w:sz w:val="24"/>
          <w:szCs w:val="24"/>
        </w:rPr>
        <w:t xml:space="preserve">a los </w:t>
      </w:r>
      <w:r w:rsidRPr="00EC0E7D">
        <w:rPr>
          <w:rFonts w:ascii="Times New Roman" w:eastAsia="Times New Roman" w:hAnsi="Times New Roman" w:cs="Times New Roman"/>
          <w:sz w:val="24"/>
          <w:szCs w:val="24"/>
        </w:rPr>
        <w:t>20 años (</w:t>
      </w:r>
      <w:r>
        <w:rPr>
          <w:rFonts w:ascii="Times New Roman" w:eastAsia="Times New Roman" w:hAnsi="Times New Roman" w:cs="Times New Roman"/>
          <w:sz w:val="24"/>
          <w:szCs w:val="24"/>
        </w:rPr>
        <w:t>EV20</w:t>
      </w:r>
      <w:r w:rsidRPr="00EC0E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C0E7D">
        <w:rPr>
          <w:rFonts w:ascii="Times New Roman" w:eastAsia="Times New Roman" w:hAnsi="Times New Roman" w:cs="Times New Roman"/>
          <w:sz w:val="24"/>
          <w:szCs w:val="24"/>
        </w:rPr>
        <w:t xml:space="preserve"> Esperanza de vida libre de </w:t>
      </w:r>
      <w:r>
        <w:rPr>
          <w:rFonts w:ascii="Times New Roman" w:eastAsia="Times New Roman" w:hAnsi="Times New Roman" w:cs="Times New Roman"/>
          <w:sz w:val="24"/>
          <w:szCs w:val="24"/>
        </w:rPr>
        <w:t xml:space="preserve">trastornos de </w:t>
      </w:r>
      <w:r w:rsidRPr="00EC0E7D">
        <w:rPr>
          <w:rFonts w:ascii="Times New Roman" w:eastAsia="Times New Roman" w:hAnsi="Times New Roman" w:cs="Times New Roman"/>
          <w:sz w:val="24"/>
          <w:szCs w:val="24"/>
        </w:rPr>
        <w:t xml:space="preserve">ansiedad/depresión </w:t>
      </w:r>
      <w:r>
        <w:rPr>
          <w:rFonts w:ascii="Times New Roman" w:eastAsia="Times New Roman" w:hAnsi="Times New Roman" w:cs="Times New Roman"/>
          <w:sz w:val="24"/>
          <w:szCs w:val="24"/>
        </w:rPr>
        <w:t>a los</w:t>
      </w:r>
      <w:r w:rsidRPr="00EC0E7D">
        <w:rPr>
          <w:rFonts w:ascii="Times New Roman" w:eastAsia="Times New Roman" w:hAnsi="Times New Roman" w:cs="Times New Roman"/>
          <w:sz w:val="24"/>
          <w:szCs w:val="24"/>
        </w:rPr>
        <w:t xml:space="preserve"> 20 años (</w:t>
      </w:r>
      <w:r>
        <w:rPr>
          <w:rFonts w:ascii="Times New Roman" w:eastAsia="Times New Roman" w:hAnsi="Times New Roman" w:cs="Times New Roman"/>
          <w:sz w:val="24"/>
          <w:szCs w:val="24"/>
        </w:rPr>
        <w:t>EVLTAD20</w:t>
      </w:r>
      <w:r w:rsidRPr="00EC0E7D">
        <w:rPr>
          <w:rFonts w:ascii="Times New Roman" w:eastAsia="Times New Roman" w:hAnsi="Times New Roman" w:cs="Times New Roman"/>
          <w:sz w:val="24"/>
          <w:szCs w:val="24"/>
        </w:rPr>
        <w:t>), 2005-2018</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005"/>
        <w:gridCol w:w="917"/>
        <w:gridCol w:w="1238"/>
        <w:gridCol w:w="1574"/>
      </w:tblGrid>
      <w:tr w:rsidR="000B0737" w:rsidRPr="000646F7" w:rsidTr="00AF3990">
        <w:trPr>
          <w:trHeight w:val="511"/>
          <w:jc w:val="center"/>
        </w:trPr>
        <w:tc>
          <w:tcPr>
            <w:tcW w:w="1188" w:type="dxa"/>
            <w:vMerge w:val="restart"/>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P</w:t>
            </w:r>
            <w:r>
              <w:rPr>
                <w:rFonts w:ascii="Times New Roman" w:hAnsi="Times New Roman" w:cs="Times New Roman"/>
                <w:sz w:val="20"/>
                <w:szCs w:val="20"/>
                <w:lang w:val="es-ES"/>
              </w:rPr>
              <w:t>eríodo</w:t>
            </w:r>
          </w:p>
        </w:tc>
        <w:tc>
          <w:tcPr>
            <w:tcW w:w="1922" w:type="dxa"/>
            <w:gridSpan w:val="2"/>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hAnsi="Times New Roman" w:cs="Times New Roman"/>
                <w:sz w:val="20"/>
                <w:szCs w:val="20"/>
                <w:lang w:val="es-ES"/>
              </w:rPr>
              <w:t>EV20</w:t>
            </w:r>
          </w:p>
        </w:tc>
        <w:tc>
          <w:tcPr>
            <w:tcW w:w="2812" w:type="dxa"/>
            <w:gridSpan w:val="2"/>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hAnsi="Times New Roman" w:cs="Times New Roman"/>
                <w:sz w:val="20"/>
                <w:szCs w:val="20"/>
                <w:lang w:val="es-ES"/>
              </w:rPr>
              <w:t>EV-EVLTAD20 (95%CI)</w:t>
            </w:r>
          </w:p>
        </w:tc>
      </w:tr>
      <w:tr w:rsidR="000B0737" w:rsidRPr="00416330" w:rsidTr="00AF3990">
        <w:trPr>
          <w:trHeight w:val="511"/>
          <w:jc w:val="center"/>
        </w:trPr>
        <w:tc>
          <w:tcPr>
            <w:tcW w:w="1188" w:type="dxa"/>
            <w:vMerge/>
            <w:tcBorders>
              <w:bottom w:val="single" w:sz="4" w:space="0" w:color="auto"/>
            </w:tcBorders>
            <w:vAlign w:val="center"/>
          </w:tcPr>
          <w:p w:rsidR="000B0737" w:rsidRPr="00416330" w:rsidRDefault="000B0737" w:rsidP="00AF3990">
            <w:pPr>
              <w:rPr>
                <w:rFonts w:ascii="Times New Roman" w:hAnsi="Times New Roman" w:cs="Times New Roman"/>
                <w:sz w:val="20"/>
                <w:szCs w:val="20"/>
                <w:lang w:val="es-ES"/>
              </w:rPr>
            </w:pPr>
          </w:p>
        </w:tc>
        <w:tc>
          <w:tcPr>
            <w:tcW w:w="1005"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hAnsi="Times New Roman" w:cs="Times New Roman"/>
                <w:sz w:val="20"/>
                <w:szCs w:val="20"/>
                <w:lang w:val="es-ES"/>
              </w:rPr>
              <w:t>Hombres</w:t>
            </w:r>
          </w:p>
        </w:tc>
        <w:tc>
          <w:tcPr>
            <w:tcW w:w="917"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hAnsi="Times New Roman" w:cs="Times New Roman"/>
                <w:sz w:val="20"/>
                <w:szCs w:val="20"/>
                <w:lang w:val="es-ES"/>
              </w:rPr>
              <w:t>Mujeres</w:t>
            </w:r>
          </w:p>
        </w:tc>
        <w:tc>
          <w:tcPr>
            <w:tcW w:w="1238"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hAnsi="Times New Roman" w:cs="Times New Roman"/>
                <w:sz w:val="20"/>
                <w:szCs w:val="20"/>
                <w:lang w:val="es-ES"/>
              </w:rPr>
              <w:t>Hombres</w:t>
            </w:r>
          </w:p>
        </w:tc>
        <w:tc>
          <w:tcPr>
            <w:tcW w:w="1574"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hAnsi="Times New Roman" w:cs="Times New Roman"/>
                <w:sz w:val="20"/>
                <w:szCs w:val="20"/>
                <w:lang w:val="es-ES"/>
              </w:rPr>
              <w:t>Mujeres</w:t>
            </w:r>
          </w:p>
        </w:tc>
      </w:tr>
      <w:tr w:rsidR="000B0737" w:rsidRPr="00416330" w:rsidTr="00AF3990">
        <w:trPr>
          <w:trHeight w:val="576"/>
          <w:jc w:val="center"/>
        </w:trPr>
        <w:tc>
          <w:tcPr>
            <w:tcW w:w="1188"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2004-</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06 (2005)</w:t>
            </w:r>
          </w:p>
        </w:tc>
        <w:tc>
          <w:tcPr>
            <w:tcW w:w="1005"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53</w:t>
            </w:r>
            <w:r>
              <w:rPr>
                <w:rFonts w:ascii="Times New Roman" w:hAnsi="Times New Roman" w:cs="Times New Roman"/>
                <w:sz w:val="20"/>
                <w:szCs w:val="20"/>
                <w:lang w:val="es-ES"/>
              </w:rPr>
              <w:t>,4</w:t>
            </w:r>
          </w:p>
        </w:tc>
        <w:tc>
          <w:tcPr>
            <w:tcW w:w="917"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60</w:t>
            </w:r>
            <w:r>
              <w:rPr>
                <w:rFonts w:ascii="Times New Roman" w:hAnsi="Times New Roman" w:cs="Times New Roman"/>
                <w:sz w:val="20"/>
                <w:szCs w:val="20"/>
                <w:lang w:val="es-ES"/>
              </w:rPr>
              <w:t>,</w:t>
            </w:r>
            <w:r w:rsidRPr="00416330">
              <w:rPr>
                <w:rFonts w:ascii="Times New Roman" w:hAnsi="Times New Roman" w:cs="Times New Roman"/>
                <w:sz w:val="20"/>
                <w:szCs w:val="20"/>
                <w:lang w:val="es-ES"/>
              </w:rPr>
              <w:t>3</w:t>
            </w:r>
          </w:p>
        </w:tc>
        <w:tc>
          <w:tcPr>
            <w:tcW w:w="1238"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42</w:t>
            </w:r>
            <w:r>
              <w:rPr>
                <w:rFonts w:ascii="Times New Roman" w:hAnsi="Times New Roman" w:cs="Times New Roman"/>
                <w:sz w:val="20"/>
                <w:szCs w:val="20"/>
                <w:lang w:val="es-ES"/>
              </w:rPr>
              <w:t>,</w:t>
            </w:r>
            <w:r w:rsidRPr="00416330">
              <w:rPr>
                <w:rFonts w:ascii="Times New Roman" w:hAnsi="Times New Roman" w:cs="Times New Roman"/>
                <w:sz w:val="20"/>
                <w:szCs w:val="20"/>
                <w:lang w:val="es-ES"/>
              </w:rPr>
              <w:t>8 (42</w:t>
            </w:r>
            <w:r>
              <w:rPr>
                <w:rFonts w:ascii="Times New Roman" w:hAnsi="Times New Roman" w:cs="Times New Roman"/>
                <w:sz w:val="20"/>
                <w:szCs w:val="20"/>
                <w:lang w:val="es-ES"/>
              </w:rPr>
              <w:t>,</w:t>
            </w:r>
            <w:r w:rsidRPr="00416330">
              <w:rPr>
                <w:rFonts w:ascii="Times New Roman" w:hAnsi="Times New Roman" w:cs="Times New Roman"/>
                <w:sz w:val="20"/>
                <w:szCs w:val="20"/>
                <w:lang w:val="es-ES"/>
              </w:rPr>
              <w:t>5/43</w:t>
            </w:r>
            <w:r>
              <w:rPr>
                <w:rFonts w:ascii="Times New Roman" w:hAnsi="Times New Roman" w:cs="Times New Roman"/>
                <w:sz w:val="20"/>
                <w:szCs w:val="20"/>
                <w:lang w:val="es-ES"/>
              </w:rPr>
              <w:t>,2</w:t>
            </w:r>
            <w:r w:rsidRPr="00416330">
              <w:rPr>
                <w:rFonts w:ascii="Times New Roman" w:hAnsi="Times New Roman" w:cs="Times New Roman"/>
                <w:sz w:val="20"/>
                <w:szCs w:val="20"/>
                <w:lang w:val="es-ES"/>
              </w:rPr>
              <w:t>)</w:t>
            </w:r>
          </w:p>
        </w:tc>
        <w:tc>
          <w:tcPr>
            <w:tcW w:w="1574" w:type="dxa"/>
            <w:tcBorders>
              <w:top w:val="single" w:sz="4" w:space="0" w:color="auto"/>
            </w:tcBorders>
            <w:vAlign w:val="center"/>
          </w:tcPr>
          <w:p w:rsidR="002410F4"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42</w:t>
            </w:r>
            <w:r>
              <w:rPr>
                <w:rFonts w:ascii="Times New Roman" w:hAnsi="Times New Roman" w:cs="Times New Roman"/>
                <w:sz w:val="20"/>
                <w:szCs w:val="20"/>
                <w:lang w:val="es-ES"/>
              </w:rPr>
              <w:t>,</w:t>
            </w:r>
            <w:r w:rsidRPr="00416330">
              <w:rPr>
                <w:rFonts w:ascii="Times New Roman" w:hAnsi="Times New Roman" w:cs="Times New Roman"/>
                <w:sz w:val="20"/>
                <w:szCs w:val="20"/>
                <w:lang w:val="es-ES"/>
              </w:rPr>
              <w:t>8</w:t>
            </w:r>
            <w:r>
              <w:rPr>
                <w:rFonts w:ascii="Times New Roman" w:hAnsi="Times New Roman" w:cs="Times New Roman"/>
                <w:sz w:val="20"/>
                <w:szCs w:val="20"/>
                <w:lang w:val="es-ES"/>
              </w:rPr>
              <w:t xml:space="preserve"> </w:t>
            </w:r>
          </w:p>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(42</w:t>
            </w:r>
            <w:r>
              <w:rPr>
                <w:rFonts w:ascii="Times New Roman" w:hAnsi="Times New Roman" w:cs="Times New Roman"/>
                <w:sz w:val="20"/>
                <w:szCs w:val="20"/>
                <w:lang w:val="es-ES"/>
              </w:rPr>
              <w:t>.</w:t>
            </w:r>
            <w:r w:rsidRPr="00416330">
              <w:rPr>
                <w:rFonts w:ascii="Times New Roman" w:hAnsi="Times New Roman" w:cs="Times New Roman"/>
                <w:sz w:val="20"/>
                <w:szCs w:val="20"/>
                <w:lang w:val="es-ES"/>
              </w:rPr>
              <w:t>5/43</w:t>
            </w:r>
            <w:r>
              <w:rPr>
                <w:rFonts w:ascii="Times New Roman" w:hAnsi="Times New Roman" w:cs="Times New Roman"/>
                <w:sz w:val="20"/>
                <w:szCs w:val="20"/>
                <w:lang w:val="es-ES"/>
              </w:rPr>
              <w:t>,</w:t>
            </w:r>
            <w:r w:rsidRPr="00416330">
              <w:rPr>
                <w:rFonts w:ascii="Times New Roman" w:hAnsi="Times New Roman" w:cs="Times New Roman"/>
                <w:sz w:val="20"/>
                <w:szCs w:val="20"/>
                <w:lang w:val="es-ES"/>
              </w:rPr>
              <w:t>2)</w:t>
            </w:r>
          </w:p>
        </w:tc>
      </w:tr>
      <w:tr w:rsidR="000B0737" w:rsidRPr="00416330" w:rsidTr="00AF3990">
        <w:trPr>
          <w:trHeight w:val="511"/>
          <w:jc w:val="center"/>
        </w:trPr>
        <w:tc>
          <w:tcPr>
            <w:tcW w:w="118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2008-</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10</w:t>
            </w:r>
            <w:r>
              <w:rPr>
                <w:rFonts w:ascii="Times New Roman" w:hAnsi="Times New Roman" w:cs="Times New Roman"/>
                <w:sz w:val="20"/>
                <w:szCs w:val="20"/>
                <w:lang w:val="es-ES"/>
              </w:rPr>
              <w:t xml:space="preserve"> </w:t>
            </w:r>
            <w:r w:rsidRPr="00416330">
              <w:rPr>
                <w:rFonts w:ascii="Times New Roman" w:hAnsi="Times New Roman" w:cs="Times New Roman"/>
                <w:sz w:val="20"/>
                <w:szCs w:val="20"/>
                <w:lang w:val="es-ES"/>
              </w:rPr>
              <w:t>(2009)</w:t>
            </w:r>
          </w:p>
        </w:tc>
        <w:tc>
          <w:tcPr>
            <w:tcW w:w="1005"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53</w:t>
            </w:r>
            <w:r>
              <w:rPr>
                <w:rFonts w:ascii="Times New Roman" w:hAnsi="Times New Roman" w:cs="Times New Roman"/>
                <w:sz w:val="20"/>
                <w:szCs w:val="20"/>
                <w:lang w:val="es-ES"/>
              </w:rPr>
              <w:t>,7</w:t>
            </w:r>
          </w:p>
        </w:tc>
        <w:tc>
          <w:tcPr>
            <w:tcW w:w="917"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60</w:t>
            </w:r>
            <w:r>
              <w:rPr>
                <w:rFonts w:ascii="Times New Roman" w:hAnsi="Times New Roman" w:cs="Times New Roman"/>
                <w:sz w:val="20"/>
                <w:szCs w:val="20"/>
                <w:lang w:val="es-ES"/>
              </w:rPr>
              <w:t>,6</w:t>
            </w:r>
          </w:p>
        </w:tc>
        <w:tc>
          <w:tcPr>
            <w:tcW w:w="123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45</w:t>
            </w:r>
            <w:r>
              <w:rPr>
                <w:rFonts w:ascii="Times New Roman" w:hAnsi="Times New Roman" w:cs="Times New Roman"/>
                <w:sz w:val="20"/>
                <w:szCs w:val="20"/>
                <w:lang w:val="es-ES"/>
              </w:rPr>
              <w:t>,</w:t>
            </w:r>
            <w:r w:rsidRPr="00416330">
              <w:rPr>
                <w:rFonts w:ascii="Times New Roman" w:hAnsi="Times New Roman" w:cs="Times New Roman"/>
                <w:sz w:val="20"/>
                <w:szCs w:val="20"/>
                <w:lang w:val="es-ES"/>
              </w:rPr>
              <w:t>3 (4</w:t>
            </w:r>
            <w:r>
              <w:rPr>
                <w:rFonts w:ascii="Times New Roman" w:hAnsi="Times New Roman" w:cs="Times New Roman"/>
                <w:sz w:val="20"/>
                <w:szCs w:val="20"/>
                <w:lang w:val="es-ES"/>
              </w:rPr>
              <w:t>4,9</w:t>
            </w:r>
            <w:r w:rsidRPr="00416330">
              <w:rPr>
                <w:rFonts w:ascii="Times New Roman" w:hAnsi="Times New Roman" w:cs="Times New Roman"/>
                <w:sz w:val="20"/>
                <w:szCs w:val="20"/>
                <w:lang w:val="es-ES"/>
              </w:rPr>
              <w:t>/45</w:t>
            </w:r>
            <w:r>
              <w:rPr>
                <w:rFonts w:ascii="Times New Roman" w:hAnsi="Times New Roman" w:cs="Times New Roman"/>
                <w:sz w:val="20"/>
                <w:szCs w:val="20"/>
                <w:lang w:val="es-ES"/>
              </w:rPr>
              <w:t>,6</w:t>
            </w:r>
            <w:r w:rsidRPr="00416330">
              <w:rPr>
                <w:rFonts w:ascii="Times New Roman" w:hAnsi="Times New Roman" w:cs="Times New Roman"/>
                <w:sz w:val="20"/>
                <w:szCs w:val="20"/>
                <w:lang w:val="es-ES"/>
              </w:rPr>
              <w:t>)</w:t>
            </w:r>
          </w:p>
        </w:tc>
        <w:tc>
          <w:tcPr>
            <w:tcW w:w="1574" w:type="dxa"/>
            <w:vAlign w:val="center"/>
          </w:tcPr>
          <w:p w:rsidR="002410F4"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46</w:t>
            </w:r>
            <w:r>
              <w:rPr>
                <w:rFonts w:ascii="Times New Roman" w:hAnsi="Times New Roman" w:cs="Times New Roman"/>
                <w:sz w:val="20"/>
                <w:szCs w:val="20"/>
                <w:lang w:val="es-ES"/>
              </w:rPr>
              <w:t>,1</w:t>
            </w:r>
          </w:p>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(45</w:t>
            </w:r>
            <w:r>
              <w:rPr>
                <w:rFonts w:ascii="Times New Roman" w:hAnsi="Times New Roman" w:cs="Times New Roman"/>
                <w:sz w:val="20"/>
                <w:szCs w:val="20"/>
                <w:lang w:val="es-ES"/>
              </w:rPr>
              <w:t>,8</w:t>
            </w:r>
            <w:r w:rsidRPr="00416330">
              <w:rPr>
                <w:rFonts w:ascii="Times New Roman" w:hAnsi="Times New Roman" w:cs="Times New Roman"/>
                <w:sz w:val="20"/>
                <w:szCs w:val="20"/>
                <w:lang w:val="es-ES"/>
              </w:rPr>
              <w:t>/46</w:t>
            </w:r>
            <w:r>
              <w:rPr>
                <w:rFonts w:ascii="Times New Roman" w:hAnsi="Times New Roman" w:cs="Times New Roman"/>
                <w:sz w:val="20"/>
                <w:szCs w:val="20"/>
                <w:lang w:val="es-ES"/>
              </w:rPr>
              <w:t>,5</w:t>
            </w:r>
            <w:r w:rsidRPr="00416330">
              <w:rPr>
                <w:rFonts w:ascii="Times New Roman" w:hAnsi="Times New Roman" w:cs="Times New Roman"/>
                <w:sz w:val="20"/>
                <w:szCs w:val="20"/>
                <w:lang w:val="es-ES"/>
              </w:rPr>
              <w:t>)</w:t>
            </w:r>
          </w:p>
        </w:tc>
      </w:tr>
      <w:tr w:rsidR="000B0737" w:rsidRPr="00416330" w:rsidTr="00AF3990">
        <w:trPr>
          <w:trHeight w:val="526"/>
          <w:jc w:val="center"/>
        </w:trPr>
        <w:tc>
          <w:tcPr>
            <w:tcW w:w="118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2012-</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14</w:t>
            </w:r>
            <w:r>
              <w:rPr>
                <w:rFonts w:ascii="Times New Roman" w:hAnsi="Times New Roman" w:cs="Times New Roman"/>
                <w:sz w:val="20"/>
                <w:szCs w:val="20"/>
                <w:lang w:val="es-ES"/>
              </w:rPr>
              <w:t xml:space="preserve"> </w:t>
            </w:r>
            <w:r w:rsidRPr="00416330">
              <w:rPr>
                <w:rFonts w:ascii="Times New Roman" w:hAnsi="Times New Roman" w:cs="Times New Roman"/>
                <w:sz w:val="20"/>
                <w:szCs w:val="20"/>
                <w:lang w:val="es-ES"/>
              </w:rPr>
              <w:t>(2013)</w:t>
            </w:r>
          </w:p>
        </w:tc>
        <w:tc>
          <w:tcPr>
            <w:tcW w:w="1005"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54</w:t>
            </w:r>
            <w:r>
              <w:rPr>
                <w:rFonts w:ascii="Times New Roman" w:hAnsi="Times New Roman" w:cs="Times New Roman"/>
                <w:sz w:val="20"/>
                <w:szCs w:val="20"/>
                <w:lang w:val="es-ES"/>
              </w:rPr>
              <w:t>,1</w:t>
            </w:r>
          </w:p>
        </w:tc>
        <w:tc>
          <w:tcPr>
            <w:tcW w:w="917"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60</w:t>
            </w:r>
            <w:r>
              <w:rPr>
                <w:rFonts w:ascii="Times New Roman" w:hAnsi="Times New Roman" w:cs="Times New Roman"/>
                <w:sz w:val="20"/>
                <w:szCs w:val="20"/>
                <w:lang w:val="es-ES"/>
              </w:rPr>
              <w:t>,7</w:t>
            </w:r>
          </w:p>
        </w:tc>
        <w:tc>
          <w:tcPr>
            <w:tcW w:w="123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46</w:t>
            </w:r>
            <w:r>
              <w:rPr>
                <w:rFonts w:ascii="Times New Roman" w:hAnsi="Times New Roman" w:cs="Times New Roman"/>
                <w:sz w:val="20"/>
                <w:szCs w:val="20"/>
                <w:lang w:val="es-ES"/>
              </w:rPr>
              <w:t>,9</w:t>
            </w:r>
            <w:r w:rsidRPr="00416330">
              <w:rPr>
                <w:rFonts w:ascii="Times New Roman" w:hAnsi="Times New Roman" w:cs="Times New Roman"/>
                <w:sz w:val="20"/>
                <w:szCs w:val="20"/>
                <w:lang w:val="es-ES"/>
              </w:rPr>
              <w:t xml:space="preserve"> (46</w:t>
            </w:r>
            <w:r>
              <w:rPr>
                <w:rFonts w:ascii="Times New Roman" w:hAnsi="Times New Roman" w:cs="Times New Roman"/>
                <w:sz w:val="20"/>
                <w:szCs w:val="20"/>
                <w:lang w:val="es-ES"/>
              </w:rPr>
              <w:t>,5</w:t>
            </w:r>
            <w:r w:rsidRPr="00416330">
              <w:rPr>
                <w:rFonts w:ascii="Times New Roman" w:hAnsi="Times New Roman" w:cs="Times New Roman"/>
                <w:sz w:val="20"/>
                <w:szCs w:val="20"/>
                <w:lang w:val="es-ES"/>
              </w:rPr>
              <w:t>/4</w:t>
            </w:r>
            <w:r>
              <w:rPr>
                <w:rFonts w:ascii="Times New Roman" w:hAnsi="Times New Roman" w:cs="Times New Roman"/>
                <w:sz w:val="20"/>
                <w:szCs w:val="20"/>
                <w:lang w:val="es-ES"/>
              </w:rPr>
              <w:t>7,2</w:t>
            </w:r>
            <w:r w:rsidRPr="00416330">
              <w:rPr>
                <w:rFonts w:ascii="Times New Roman" w:hAnsi="Times New Roman" w:cs="Times New Roman"/>
                <w:sz w:val="20"/>
                <w:szCs w:val="20"/>
                <w:lang w:val="es-ES"/>
              </w:rPr>
              <w:t>)</w:t>
            </w:r>
          </w:p>
        </w:tc>
        <w:tc>
          <w:tcPr>
            <w:tcW w:w="1574" w:type="dxa"/>
            <w:vAlign w:val="center"/>
          </w:tcPr>
          <w:p w:rsidR="002410F4"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49</w:t>
            </w:r>
            <w:r>
              <w:rPr>
                <w:rFonts w:ascii="Times New Roman" w:hAnsi="Times New Roman" w:cs="Times New Roman"/>
                <w:sz w:val="20"/>
                <w:szCs w:val="20"/>
                <w:lang w:val="es-ES"/>
              </w:rPr>
              <w:t>,9</w:t>
            </w:r>
            <w:r w:rsidRPr="00416330">
              <w:rPr>
                <w:rFonts w:ascii="Times New Roman" w:hAnsi="Times New Roman" w:cs="Times New Roman"/>
                <w:sz w:val="20"/>
                <w:szCs w:val="20"/>
                <w:lang w:val="es-ES"/>
              </w:rPr>
              <w:t xml:space="preserve"> </w:t>
            </w:r>
          </w:p>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w:t>
            </w:r>
            <w:r>
              <w:rPr>
                <w:rFonts w:ascii="Times New Roman" w:hAnsi="Times New Roman" w:cs="Times New Roman"/>
                <w:sz w:val="20"/>
                <w:szCs w:val="20"/>
                <w:lang w:val="es-ES"/>
              </w:rPr>
              <w:t>9,5</w:t>
            </w:r>
            <w:r w:rsidRPr="00416330">
              <w:rPr>
                <w:rFonts w:ascii="Times New Roman" w:hAnsi="Times New Roman" w:cs="Times New Roman"/>
                <w:sz w:val="20"/>
                <w:szCs w:val="20"/>
                <w:lang w:val="es-ES"/>
              </w:rPr>
              <w:t>/50</w:t>
            </w:r>
            <w:r>
              <w:rPr>
                <w:rFonts w:ascii="Times New Roman" w:hAnsi="Times New Roman" w:cs="Times New Roman"/>
                <w:sz w:val="20"/>
                <w:szCs w:val="20"/>
                <w:lang w:val="es-ES"/>
              </w:rPr>
              <w:t>,2</w:t>
            </w:r>
            <w:r w:rsidRPr="00416330">
              <w:rPr>
                <w:rFonts w:ascii="Times New Roman" w:hAnsi="Times New Roman" w:cs="Times New Roman"/>
                <w:sz w:val="20"/>
                <w:szCs w:val="20"/>
                <w:lang w:val="es-ES"/>
              </w:rPr>
              <w:t>)</w:t>
            </w:r>
          </w:p>
        </w:tc>
      </w:tr>
      <w:tr w:rsidR="000B0737" w:rsidRPr="00416330" w:rsidTr="00AF3990">
        <w:trPr>
          <w:trHeight w:val="511"/>
          <w:jc w:val="center"/>
        </w:trPr>
        <w:tc>
          <w:tcPr>
            <w:tcW w:w="118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2017-</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19</w:t>
            </w:r>
            <w:r>
              <w:rPr>
                <w:rFonts w:ascii="Times New Roman" w:hAnsi="Times New Roman" w:cs="Times New Roman"/>
                <w:sz w:val="20"/>
                <w:szCs w:val="20"/>
                <w:lang w:val="es-ES"/>
              </w:rPr>
              <w:t xml:space="preserve"> </w:t>
            </w:r>
            <w:r w:rsidRPr="00416330">
              <w:rPr>
                <w:rFonts w:ascii="Times New Roman" w:hAnsi="Times New Roman" w:cs="Times New Roman"/>
                <w:sz w:val="20"/>
                <w:szCs w:val="20"/>
                <w:lang w:val="es-ES"/>
              </w:rPr>
              <w:t>(2018)</w:t>
            </w:r>
          </w:p>
        </w:tc>
        <w:tc>
          <w:tcPr>
            <w:tcW w:w="1005"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54</w:t>
            </w:r>
            <w:r>
              <w:rPr>
                <w:rFonts w:ascii="Times New Roman" w:hAnsi="Times New Roman" w:cs="Times New Roman"/>
                <w:sz w:val="20"/>
                <w:szCs w:val="20"/>
                <w:lang w:val="es-ES"/>
              </w:rPr>
              <w:t>,9</w:t>
            </w:r>
          </w:p>
        </w:tc>
        <w:tc>
          <w:tcPr>
            <w:tcW w:w="917"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61</w:t>
            </w:r>
            <w:r>
              <w:rPr>
                <w:rFonts w:ascii="Times New Roman" w:hAnsi="Times New Roman" w:cs="Times New Roman"/>
                <w:sz w:val="20"/>
                <w:szCs w:val="20"/>
                <w:lang w:val="es-ES"/>
              </w:rPr>
              <w:t>,0</w:t>
            </w:r>
          </w:p>
        </w:tc>
        <w:tc>
          <w:tcPr>
            <w:tcW w:w="123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46</w:t>
            </w:r>
            <w:r>
              <w:rPr>
                <w:rFonts w:ascii="Times New Roman" w:hAnsi="Times New Roman" w:cs="Times New Roman"/>
                <w:sz w:val="20"/>
                <w:szCs w:val="20"/>
                <w:lang w:val="es-ES"/>
              </w:rPr>
              <w:t>,</w:t>
            </w:r>
            <w:r w:rsidRPr="00416330">
              <w:rPr>
                <w:rFonts w:ascii="Times New Roman" w:hAnsi="Times New Roman" w:cs="Times New Roman"/>
                <w:sz w:val="20"/>
                <w:szCs w:val="20"/>
                <w:lang w:val="es-ES"/>
              </w:rPr>
              <w:t>4 (46</w:t>
            </w:r>
            <w:r>
              <w:rPr>
                <w:rFonts w:ascii="Times New Roman" w:hAnsi="Times New Roman" w:cs="Times New Roman"/>
                <w:sz w:val="20"/>
                <w:szCs w:val="20"/>
                <w:lang w:val="es-ES"/>
              </w:rPr>
              <w:t>,1</w:t>
            </w:r>
            <w:r w:rsidRPr="00416330">
              <w:rPr>
                <w:rFonts w:ascii="Times New Roman" w:hAnsi="Times New Roman" w:cs="Times New Roman"/>
                <w:sz w:val="20"/>
                <w:szCs w:val="20"/>
                <w:lang w:val="es-ES"/>
              </w:rPr>
              <w:t>/46</w:t>
            </w:r>
            <w:r>
              <w:rPr>
                <w:rFonts w:ascii="Times New Roman" w:hAnsi="Times New Roman" w:cs="Times New Roman"/>
                <w:sz w:val="20"/>
                <w:szCs w:val="20"/>
                <w:lang w:val="es-ES"/>
              </w:rPr>
              <w:t>,</w:t>
            </w:r>
            <w:r w:rsidRPr="00416330">
              <w:rPr>
                <w:rFonts w:ascii="Times New Roman" w:hAnsi="Times New Roman" w:cs="Times New Roman"/>
                <w:sz w:val="20"/>
                <w:szCs w:val="20"/>
                <w:lang w:val="es-ES"/>
              </w:rPr>
              <w:t>8)</w:t>
            </w:r>
          </w:p>
        </w:tc>
        <w:tc>
          <w:tcPr>
            <w:tcW w:w="1574" w:type="dxa"/>
            <w:vAlign w:val="center"/>
          </w:tcPr>
          <w:p w:rsidR="002410F4"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48</w:t>
            </w:r>
            <w:r>
              <w:rPr>
                <w:rFonts w:ascii="Times New Roman" w:hAnsi="Times New Roman" w:cs="Times New Roman"/>
                <w:sz w:val="20"/>
                <w:szCs w:val="20"/>
                <w:lang w:val="es-ES"/>
              </w:rPr>
              <w:t>,4</w:t>
            </w:r>
            <w:r w:rsidRPr="00416330">
              <w:rPr>
                <w:rFonts w:ascii="Times New Roman" w:hAnsi="Times New Roman" w:cs="Times New Roman"/>
                <w:sz w:val="20"/>
                <w:szCs w:val="20"/>
                <w:lang w:val="es-ES"/>
              </w:rPr>
              <w:t xml:space="preserve"> </w:t>
            </w:r>
          </w:p>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(48</w:t>
            </w:r>
            <w:r>
              <w:rPr>
                <w:rFonts w:ascii="Times New Roman" w:hAnsi="Times New Roman" w:cs="Times New Roman"/>
                <w:sz w:val="20"/>
                <w:szCs w:val="20"/>
                <w:lang w:val="es-ES"/>
              </w:rPr>
              <w:t>,0</w:t>
            </w:r>
            <w:r w:rsidRPr="00416330">
              <w:rPr>
                <w:rFonts w:ascii="Times New Roman" w:hAnsi="Times New Roman" w:cs="Times New Roman"/>
                <w:sz w:val="20"/>
                <w:szCs w:val="20"/>
                <w:lang w:val="es-ES"/>
              </w:rPr>
              <w:t>/48</w:t>
            </w:r>
            <w:r>
              <w:rPr>
                <w:rFonts w:ascii="Times New Roman" w:hAnsi="Times New Roman" w:cs="Times New Roman"/>
                <w:sz w:val="20"/>
                <w:szCs w:val="20"/>
                <w:lang w:val="es-ES"/>
              </w:rPr>
              <w:t>,8</w:t>
            </w:r>
            <w:r w:rsidRPr="00416330">
              <w:rPr>
                <w:rFonts w:ascii="Times New Roman" w:hAnsi="Times New Roman" w:cs="Times New Roman"/>
                <w:sz w:val="20"/>
                <w:szCs w:val="20"/>
                <w:lang w:val="es-ES"/>
              </w:rPr>
              <w:t>)</w:t>
            </w:r>
          </w:p>
        </w:tc>
      </w:tr>
    </w:tbl>
    <w:p w:rsidR="000B0737" w:rsidRPr="006C39B2" w:rsidRDefault="000B0737" w:rsidP="000B0737">
      <w:pPr>
        <w:spacing w:line="360" w:lineRule="auto"/>
        <w:rPr>
          <w:rFonts w:ascii="Times New Roman" w:eastAsia="Times New Roman" w:hAnsi="Times New Roman" w:cs="Times New Roman"/>
          <w:sz w:val="24"/>
          <w:szCs w:val="24"/>
          <w:lang w:eastAsia="es-ES"/>
        </w:rPr>
      </w:pPr>
      <w:r w:rsidRPr="006C39B2">
        <w:rPr>
          <w:rFonts w:ascii="Times New Roman" w:eastAsia="Times New Roman" w:hAnsi="Times New Roman" w:cs="Times New Roman"/>
          <w:i/>
          <w:iCs/>
          <w:sz w:val="24"/>
          <w:szCs w:val="24"/>
          <w:lang w:eastAsia="es-ES"/>
        </w:rPr>
        <w:t xml:space="preserve">Fuente: </w:t>
      </w:r>
      <w:r w:rsidRPr="006C39B2">
        <w:rPr>
          <w:rFonts w:ascii="Calibri" w:eastAsia="Times New Roman" w:hAnsi="Calibri" w:cs="Calibri"/>
          <w:i/>
          <w:iCs/>
          <w:lang w:eastAsia="es-ES"/>
        </w:rPr>
        <w:t xml:space="preserve"> </w:t>
      </w:r>
      <w:r w:rsidRPr="006C39B2">
        <w:rPr>
          <w:rFonts w:ascii="Times New Roman" w:eastAsia="Times New Roman" w:hAnsi="Times New Roman" w:cs="Times New Roman"/>
          <w:sz w:val="24"/>
          <w:szCs w:val="24"/>
          <w:lang w:eastAsia="es-ES"/>
        </w:rPr>
        <w:t>elaboración propia</w:t>
      </w:r>
      <w:r>
        <w:rPr>
          <w:rFonts w:ascii="Times New Roman" w:eastAsia="Times New Roman" w:hAnsi="Times New Roman" w:cs="Times New Roman"/>
          <w:sz w:val="24"/>
          <w:szCs w:val="24"/>
          <w:lang w:eastAsia="es-ES"/>
        </w:rPr>
        <w:t xml:space="preserve"> basada en DEIS, CELADE &amp; ENFR</w:t>
      </w:r>
      <w:r w:rsidRPr="006C39B2">
        <w:rPr>
          <w:rFonts w:ascii="Times New Roman" w:eastAsia="Times New Roman" w:hAnsi="Times New Roman" w:cs="Times New Roman"/>
          <w:sz w:val="24"/>
          <w:szCs w:val="24"/>
          <w:lang w:eastAsia="es-ES"/>
        </w:rPr>
        <w:t>.</w:t>
      </w: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partir de la información de la Tabla 2 es posible obtener tanto el tiempo vivido con trastornos de ansiedad/depresión (TAD) en términos absolutos, como la diferencia entre EV20 y EVLTAD20, así como el porcentaje de tiempo vivido con TAD (como el cociente entre dicha diferencia y EV20). La Tabla 3 presenta los resultados obtenidos. Se observa como en términos absolutos las mujeres viven una mayor cantidad de tiempo con TAD en todos los períodos, y que, en términos relativos, pasaron de vivir un 17,5 por ciento de su vida con presencia de TAD en el 2005 a un 12,6 por ciento en 2018, mientras que para los hombres la reducción fue de 10,6 por ciento a 8,5 por ciento. </w:t>
      </w:r>
    </w:p>
    <w:p w:rsidR="00127C9C" w:rsidRDefault="00127C9C" w:rsidP="000B0737">
      <w:pPr>
        <w:shd w:val="clear" w:color="auto" w:fill="FDFDFD"/>
        <w:spacing w:after="0" w:line="360" w:lineRule="auto"/>
        <w:jc w:val="both"/>
        <w:rPr>
          <w:rFonts w:ascii="Times New Roman" w:eastAsia="Times New Roman" w:hAnsi="Times New Roman" w:cs="Times New Roman"/>
          <w:sz w:val="24"/>
          <w:szCs w:val="24"/>
        </w:rPr>
      </w:pPr>
    </w:p>
    <w:p w:rsidR="000B0737" w:rsidRPr="00EC0E7D" w:rsidRDefault="000B0737" w:rsidP="00127C9C">
      <w:pPr>
        <w:shd w:val="clear" w:color="auto" w:fill="FDFDFD"/>
        <w:spacing w:after="0" w:line="240" w:lineRule="auto"/>
        <w:jc w:val="both"/>
        <w:rPr>
          <w:rFonts w:ascii="Times New Roman" w:eastAsia="Times New Roman" w:hAnsi="Times New Roman" w:cs="Times New Roman"/>
          <w:sz w:val="24"/>
          <w:szCs w:val="24"/>
        </w:rPr>
      </w:pPr>
      <w:r w:rsidRPr="00EC0E7D">
        <w:rPr>
          <w:rFonts w:ascii="Times New Roman" w:eastAsia="Times New Roman" w:hAnsi="Times New Roman" w:cs="Times New Roman"/>
          <w:sz w:val="24"/>
          <w:szCs w:val="24"/>
        </w:rPr>
        <w:t xml:space="preserve">Tabla </w:t>
      </w:r>
      <w:r>
        <w:rPr>
          <w:rFonts w:ascii="Times New Roman" w:eastAsia="Times New Roman" w:hAnsi="Times New Roman" w:cs="Times New Roman"/>
          <w:sz w:val="24"/>
          <w:szCs w:val="24"/>
        </w:rPr>
        <w:t>3</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Tiempo restante vivido con Trastornos de Ansiedad/Depresión</w:t>
      </w:r>
      <w:r w:rsidRPr="00EC0E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los </w:t>
      </w:r>
      <w:r w:rsidRPr="00EC0E7D">
        <w:rPr>
          <w:rFonts w:ascii="Times New Roman" w:eastAsia="Times New Roman" w:hAnsi="Times New Roman" w:cs="Times New Roman"/>
          <w:sz w:val="24"/>
          <w:szCs w:val="24"/>
        </w:rPr>
        <w:t xml:space="preserve">20 </w:t>
      </w:r>
      <w:proofErr w:type="gramStart"/>
      <w:r w:rsidRPr="00EC0E7D">
        <w:rPr>
          <w:rFonts w:ascii="Times New Roman" w:eastAsia="Times New Roman" w:hAnsi="Times New Roman" w:cs="Times New Roman"/>
          <w:sz w:val="24"/>
          <w:szCs w:val="24"/>
        </w:rPr>
        <w:t>años</w:t>
      </w:r>
      <w:r>
        <w:rPr>
          <w:rFonts w:ascii="Times New Roman" w:eastAsia="Times New Roman" w:hAnsi="Times New Roman" w:cs="Times New Roman"/>
          <w:sz w:val="24"/>
          <w:szCs w:val="24"/>
        </w:rPr>
        <w:t xml:space="preserve"> </w:t>
      </w:r>
      <w:r w:rsidRPr="00EC0E7D">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absoluto y porcentaje</w:t>
      </w:r>
      <w:r w:rsidRPr="00EC0E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por sexo,</w:t>
      </w:r>
      <w:r w:rsidRPr="00EC0E7D">
        <w:rPr>
          <w:rFonts w:ascii="Times New Roman" w:eastAsia="Times New Roman" w:hAnsi="Times New Roman" w:cs="Times New Roman"/>
          <w:sz w:val="24"/>
          <w:szCs w:val="24"/>
        </w:rPr>
        <w:t xml:space="preserve"> 2005-2018</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105"/>
        <w:gridCol w:w="1455"/>
        <w:gridCol w:w="1492"/>
        <w:gridCol w:w="1452"/>
      </w:tblGrid>
      <w:tr w:rsidR="000B0737" w:rsidRPr="000646F7" w:rsidTr="00AF3990">
        <w:trPr>
          <w:trHeight w:val="511"/>
          <w:jc w:val="center"/>
        </w:trPr>
        <w:tc>
          <w:tcPr>
            <w:tcW w:w="1188" w:type="dxa"/>
            <w:vMerge w:val="restart"/>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P</w:t>
            </w:r>
            <w:r>
              <w:rPr>
                <w:rFonts w:ascii="Times New Roman" w:hAnsi="Times New Roman" w:cs="Times New Roman"/>
                <w:sz w:val="20"/>
                <w:szCs w:val="20"/>
                <w:lang w:val="es-ES"/>
              </w:rPr>
              <w:t>eríodo</w:t>
            </w:r>
          </w:p>
        </w:tc>
        <w:tc>
          <w:tcPr>
            <w:tcW w:w="2560" w:type="dxa"/>
            <w:gridSpan w:val="2"/>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eastAsia="Times New Roman" w:hAnsi="Times New Roman" w:cs="Times New Roman"/>
                <w:color w:val="000000"/>
                <w:sz w:val="20"/>
                <w:szCs w:val="20"/>
                <w:lang w:val="es-ES"/>
              </w:rPr>
              <w:t>T</w:t>
            </w:r>
            <w:r w:rsidRPr="00EE56D1">
              <w:rPr>
                <w:rFonts w:ascii="Times New Roman" w:eastAsia="Times New Roman" w:hAnsi="Times New Roman" w:cs="Times New Roman"/>
                <w:color w:val="000000"/>
                <w:sz w:val="20"/>
                <w:szCs w:val="20"/>
                <w:lang w:val="es-ES"/>
              </w:rPr>
              <w:t>iempo</w:t>
            </w:r>
            <w:r>
              <w:rPr>
                <w:rFonts w:ascii="Times New Roman" w:eastAsia="Times New Roman" w:hAnsi="Times New Roman" w:cs="Times New Roman"/>
                <w:color w:val="000000"/>
                <w:sz w:val="20"/>
                <w:szCs w:val="20"/>
                <w:lang w:val="es-ES"/>
              </w:rPr>
              <w:t xml:space="preserve"> (en años) absoluto</w:t>
            </w:r>
            <w:r w:rsidRPr="00EE56D1">
              <w:rPr>
                <w:rFonts w:ascii="Times New Roman" w:eastAsia="Times New Roman" w:hAnsi="Times New Roman" w:cs="Times New Roman"/>
                <w:color w:val="000000"/>
                <w:sz w:val="20"/>
                <w:szCs w:val="20"/>
                <w:lang w:val="es-ES"/>
              </w:rPr>
              <w:t xml:space="preserve"> vivido con TAD (95% CI)</w:t>
            </w:r>
          </w:p>
        </w:tc>
        <w:tc>
          <w:tcPr>
            <w:tcW w:w="2944" w:type="dxa"/>
            <w:gridSpan w:val="2"/>
            <w:vAlign w:val="center"/>
          </w:tcPr>
          <w:p w:rsidR="000B0737" w:rsidRPr="00416330" w:rsidRDefault="000B0737" w:rsidP="00AF3990">
            <w:pPr>
              <w:jc w:val="center"/>
              <w:rPr>
                <w:rFonts w:ascii="Times New Roman" w:hAnsi="Times New Roman" w:cs="Times New Roman"/>
                <w:sz w:val="20"/>
                <w:szCs w:val="20"/>
                <w:lang w:val="es-ES"/>
              </w:rPr>
            </w:pPr>
            <w:r>
              <w:rPr>
                <w:rFonts w:ascii="Times New Roman" w:eastAsia="Times New Roman" w:hAnsi="Times New Roman" w:cs="Times New Roman"/>
                <w:color w:val="000000"/>
                <w:sz w:val="20"/>
                <w:szCs w:val="20"/>
                <w:lang w:val="es-ES"/>
              </w:rPr>
              <w:t>Tiempo (en porcentaje)</w:t>
            </w:r>
            <w:r w:rsidRPr="00EE56D1">
              <w:rPr>
                <w:rFonts w:ascii="Times New Roman" w:eastAsia="Times New Roman" w:hAnsi="Times New Roman" w:cs="Times New Roman"/>
                <w:color w:val="000000"/>
                <w:sz w:val="20"/>
                <w:szCs w:val="20"/>
                <w:lang w:val="es-ES"/>
              </w:rPr>
              <w:t xml:space="preserve"> vivido con TAD (95% CI)</w:t>
            </w:r>
          </w:p>
        </w:tc>
      </w:tr>
      <w:tr w:rsidR="000B0737" w:rsidRPr="00416330" w:rsidTr="00AF3990">
        <w:trPr>
          <w:trHeight w:val="511"/>
          <w:jc w:val="center"/>
        </w:trPr>
        <w:tc>
          <w:tcPr>
            <w:tcW w:w="1188" w:type="dxa"/>
            <w:vMerge/>
            <w:tcBorders>
              <w:bottom w:val="single" w:sz="4" w:space="0" w:color="auto"/>
            </w:tcBorders>
            <w:vAlign w:val="center"/>
          </w:tcPr>
          <w:p w:rsidR="000B0737" w:rsidRPr="00416330" w:rsidRDefault="000B0737" w:rsidP="00AF3990">
            <w:pPr>
              <w:rPr>
                <w:rFonts w:ascii="Times New Roman" w:hAnsi="Times New Roman" w:cs="Times New Roman"/>
                <w:sz w:val="20"/>
                <w:szCs w:val="20"/>
                <w:lang w:val="es-ES"/>
              </w:rPr>
            </w:pPr>
          </w:p>
        </w:tc>
        <w:tc>
          <w:tcPr>
            <w:tcW w:w="1105"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Hombres</w:t>
            </w:r>
          </w:p>
        </w:tc>
        <w:tc>
          <w:tcPr>
            <w:tcW w:w="1455"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proofErr w:type="spellStart"/>
            <w:r w:rsidRPr="00EE56D1">
              <w:rPr>
                <w:rFonts w:ascii="Times New Roman" w:eastAsia="Times New Roman" w:hAnsi="Times New Roman" w:cs="Times New Roman"/>
                <w:color w:val="000000"/>
                <w:sz w:val="20"/>
                <w:szCs w:val="20"/>
              </w:rPr>
              <w:t>Mujeres</w:t>
            </w:r>
            <w:proofErr w:type="spellEnd"/>
          </w:p>
        </w:tc>
        <w:tc>
          <w:tcPr>
            <w:tcW w:w="1492"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Hombres</w:t>
            </w:r>
          </w:p>
        </w:tc>
        <w:tc>
          <w:tcPr>
            <w:tcW w:w="1452" w:type="dxa"/>
            <w:tcBorders>
              <w:bottom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proofErr w:type="spellStart"/>
            <w:r w:rsidRPr="00EE56D1">
              <w:rPr>
                <w:rFonts w:ascii="Times New Roman" w:eastAsia="Times New Roman" w:hAnsi="Times New Roman" w:cs="Times New Roman"/>
                <w:color w:val="000000"/>
                <w:sz w:val="20"/>
                <w:szCs w:val="20"/>
              </w:rPr>
              <w:t>Mujeres</w:t>
            </w:r>
            <w:proofErr w:type="spellEnd"/>
          </w:p>
        </w:tc>
      </w:tr>
      <w:tr w:rsidR="000B0737" w:rsidRPr="00416330" w:rsidTr="00AF3990">
        <w:trPr>
          <w:trHeight w:val="576"/>
          <w:jc w:val="center"/>
        </w:trPr>
        <w:tc>
          <w:tcPr>
            <w:tcW w:w="1188"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2004-</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06 (2005)</w:t>
            </w:r>
          </w:p>
        </w:tc>
        <w:tc>
          <w:tcPr>
            <w:tcW w:w="1105"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10,6 (10,2/10,9)</w:t>
            </w:r>
          </w:p>
        </w:tc>
        <w:tc>
          <w:tcPr>
            <w:tcW w:w="1455"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17,5 (17,1/17,8)</w:t>
            </w:r>
          </w:p>
        </w:tc>
        <w:tc>
          <w:tcPr>
            <w:tcW w:w="1492"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10,6 (10,2/10,9)</w:t>
            </w:r>
          </w:p>
        </w:tc>
        <w:tc>
          <w:tcPr>
            <w:tcW w:w="1452" w:type="dxa"/>
            <w:tcBorders>
              <w:top w:val="single" w:sz="4" w:space="0" w:color="auto"/>
            </w:tcBorders>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17,5 (17,1/17,8)</w:t>
            </w:r>
          </w:p>
        </w:tc>
      </w:tr>
      <w:tr w:rsidR="000B0737" w:rsidRPr="00416330" w:rsidTr="00AF3990">
        <w:trPr>
          <w:trHeight w:val="511"/>
          <w:jc w:val="center"/>
        </w:trPr>
        <w:tc>
          <w:tcPr>
            <w:tcW w:w="118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2008-</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10</w:t>
            </w:r>
            <w:r>
              <w:rPr>
                <w:rFonts w:ascii="Times New Roman" w:hAnsi="Times New Roman" w:cs="Times New Roman"/>
                <w:sz w:val="20"/>
                <w:szCs w:val="20"/>
                <w:lang w:val="es-ES"/>
              </w:rPr>
              <w:t xml:space="preserve"> </w:t>
            </w:r>
            <w:r w:rsidRPr="00416330">
              <w:rPr>
                <w:rFonts w:ascii="Times New Roman" w:hAnsi="Times New Roman" w:cs="Times New Roman"/>
                <w:sz w:val="20"/>
                <w:szCs w:val="20"/>
                <w:lang w:val="es-ES"/>
              </w:rPr>
              <w:t>(2009)</w:t>
            </w:r>
          </w:p>
        </w:tc>
        <w:tc>
          <w:tcPr>
            <w:tcW w:w="1105" w:type="dxa"/>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8,4 (8,1/8,8)</w:t>
            </w:r>
          </w:p>
        </w:tc>
        <w:tc>
          <w:tcPr>
            <w:tcW w:w="1455" w:type="dxa"/>
            <w:vAlign w:val="center"/>
          </w:tcPr>
          <w:p w:rsidR="000B0737" w:rsidRDefault="000B0737" w:rsidP="00AF3990">
            <w:pPr>
              <w:jc w:val="center"/>
              <w:rPr>
                <w:rFonts w:ascii="Times New Roman" w:eastAsia="Times New Roman" w:hAnsi="Times New Roman" w:cs="Times New Roman"/>
                <w:color w:val="000000"/>
                <w:sz w:val="20"/>
                <w:szCs w:val="20"/>
              </w:rPr>
            </w:pPr>
            <w:r w:rsidRPr="00EE56D1">
              <w:rPr>
                <w:rFonts w:ascii="Times New Roman" w:eastAsia="Times New Roman" w:hAnsi="Times New Roman" w:cs="Times New Roman"/>
                <w:color w:val="000000"/>
                <w:sz w:val="20"/>
                <w:szCs w:val="20"/>
              </w:rPr>
              <w:t>14,5</w:t>
            </w:r>
          </w:p>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(14,1/14,8)</w:t>
            </w:r>
          </w:p>
        </w:tc>
        <w:tc>
          <w:tcPr>
            <w:tcW w:w="1492" w:type="dxa"/>
            <w:vAlign w:val="center"/>
          </w:tcPr>
          <w:p w:rsidR="000B0737" w:rsidRDefault="000B0737" w:rsidP="00AF3990">
            <w:pPr>
              <w:jc w:val="center"/>
              <w:rPr>
                <w:rFonts w:ascii="Times New Roman" w:eastAsia="Times New Roman" w:hAnsi="Times New Roman" w:cs="Times New Roman"/>
                <w:color w:val="000000"/>
                <w:sz w:val="20"/>
                <w:szCs w:val="20"/>
              </w:rPr>
            </w:pPr>
            <w:r w:rsidRPr="00EE56D1">
              <w:rPr>
                <w:rFonts w:ascii="Times New Roman" w:eastAsia="Times New Roman" w:hAnsi="Times New Roman" w:cs="Times New Roman"/>
                <w:color w:val="000000"/>
                <w:sz w:val="20"/>
                <w:szCs w:val="20"/>
              </w:rPr>
              <w:t xml:space="preserve">8,4 </w:t>
            </w:r>
          </w:p>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(8,1/8,8)</w:t>
            </w:r>
          </w:p>
        </w:tc>
        <w:tc>
          <w:tcPr>
            <w:tcW w:w="1452" w:type="dxa"/>
            <w:vAlign w:val="center"/>
          </w:tcPr>
          <w:p w:rsidR="000B0737" w:rsidRDefault="000B0737" w:rsidP="00AF3990">
            <w:pPr>
              <w:jc w:val="center"/>
              <w:rPr>
                <w:rFonts w:ascii="Times New Roman" w:eastAsia="Times New Roman" w:hAnsi="Times New Roman" w:cs="Times New Roman"/>
                <w:color w:val="000000"/>
                <w:sz w:val="20"/>
                <w:szCs w:val="20"/>
              </w:rPr>
            </w:pPr>
            <w:r w:rsidRPr="00EE56D1">
              <w:rPr>
                <w:rFonts w:ascii="Times New Roman" w:eastAsia="Times New Roman" w:hAnsi="Times New Roman" w:cs="Times New Roman"/>
                <w:color w:val="000000"/>
                <w:sz w:val="20"/>
                <w:szCs w:val="20"/>
              </w:rPr>
              <w:t>14,5</w:t>
            </w:r>
          </w:p>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(14,1/14,8)</w:t>
            </w:r>
          </w:p>
        </w:tc>
      </w:tr>
      <w:tr w:rsidR="000B0737" w:rsidRPr="00416330" w:rsidTr="00AF3990">
        <w:trPr>
          <w:trHeight w:val="526"/>
          <w:jc w:val="center"/>
        </w:trPr>
        <w:tc>
          <w:tcPr>
            <w:tcW w:w="118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2012-</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14</w:t>
            </w:r>
            <w:r>
              <w:rPr>
                <w:rFonts w:ascii="Times New Roman" w:hAnsi="Times New Roman" w:cs="Times New Roman"/>
                <w:sz w:val="20"/>
                <w:szCs w:val="20"/>
                <w:lang w:val="es-ES"/>
              </w:rPr>
              <w:t xml:space="preserve"> </w:t>
            </w:r>
            <w:r w:rsidRPr="00416330">
              <w:rPr>
                <w:rFonts w:ascii="Times New Roman" w:hAnsi="Times New Roman" w:cs="Times New Roman"/>
                <w:sz w:val="20"/>
                <w:szCs w:val="20"/>
                <w:lang w:val="es-ES"/>
              </w:rPr>
              <w:t>(2013)</w:t>
            </w:r>
          </w:p>
        </w:tc>
        <w:tc>
          <w:tcPr>
            <w:tcW w:w="1105" w:type="dxa"/>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7,2 (6,9/7,6)</w:t>
            </w:r>
          </w:p>
        </w:tc>
        <w:tc>
          <w:tcPr>
            <w:tcW w:w="1455" w:type="dxa"/>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10,8 (10,5/11,2)</w:t>
            </w:r>
          </w:p>
        </w:tc>
        <w:tc>
          <w:tcPr>
            <w:tcW w:w="1492" w:type="dxa"/>
            <w:vAlign w:val="center"/>
          </w:tcPr>
          <w:p w:rsidR="000B0737" w:rsidRDefault="000B0737" w:rsidP="00AF3990">
            <w:pPr>
              <w:jc w:val="center"/>
              <w:rPr>
                <w:rFonts w:ascii="Times New Roman" w:eastAsia="Times New Roman" w:hAnsi="Times New Roman" w:cs="Times New Roman"/>
                <w:color w:val="000000"/>
                <w:sz w:val="20"/>
                <w:szCs w:val="20"/>
              </w:rPr>
            </w:pPr>
            <w:r w:rsidRPr="00EE56D1">
              <w:rPr>
                <w:rFonts w:ascii="Times New Roman" w:eastAsia="Times New Roman" w:hAnsi="Times New Roman" w:cs="Times New Roman"/>
                <w:color w:val="000000"/>
                <w:sz w:val="20"/>
                <w:szCs w:val="20"/>
              </w:rPr>
              <w:t xml:space="preserve">7,2 </w:t>
            </w:r>
          </w:p>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(6,9/7,6)</w:t>
            </w:r>
          </w:p>
        </w:tc>
        <w:tc>
          <w:tcPr>
            <w:tcW w:w="1452" w:type="dxa"/>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10,8 (10,5/11,2)</w:t>
            </w:r>
          </w:p>
        </w:tc>
      </w:tr>
      <w:tr w:rsidR="000B0737" w:rsidRPr="00416330" w:rsidTr="00AF3990">
        <w:trPr>
          <w:trHeight w:val="511"/>
          <w:jc w:val="center"/>
        </w:trPr>
        <w:tc>
          <w:tcPr>
            <w:tcW w:w="1188" w:type="dxa"/>
            <w:vAlign w:val="center"/>
          </w:tcPr>
          <w:p w:rsidR="000B0737" w:rsidRPr="00416330" w:rsidRDefault="000B0737" w:rsidP="00AF3990">
            <w:pPr>
              <w:jc w:val="center"/>
              <w:rPr>
                <w:rFonts w:ascii="Times New Roman" w:hAnsi="Times New Roman" w:cs="Times New Roman"/>
                <w:sz w:val="20"/>
                <w:szCs w:val="20"/>
                <w:lang w:val="es-ES"/>
              </w:rPr>
            </w:pPr>
            <w:r w:rsidRPr="00416330">
              <w:rPr>
                <w:rFonts w:ascii="Times New Roman" w:hAnsi="Times New Roman" w:cs="Times New Roman"/>
                <w:sz w:val="20"/>
                <w:szCs w:val="20"/>
                <w:lang w:val="es-ES"/>
              </w:rPr>
              <w:t>2017-</w:t>
            </w:r>
            <w:r>
              <w:rPr>
                <w:rFonts w:ascii="Times New Roman" w:hAnsi="Times New Roman" w:cs="Times New Roman"/>
                <w:sz w:val="20"/>
                <w:szCs w:val="20"/>
                <w:lang w:val="es-ES"/>
              </w:rPr>
              <w:t>20</w:t>
            </w:r>
            <w:r w:rsidRPr="00416330">
              <w:rPr>
                <w:rFonts w:ascii="Times New Roman" w:hAnsi="Times New Roman" w:cs="Times New Roman"/>
                <w:sz w:val="20"/>
                <w:szCs w:val="20"/>
                <w:lang w:val="es-ES"/>
              </w:rPr>
              <w:t>19</w:t>
            </w:r>
            <w:r>
              <w:rPr>
                <w:rFonts w:ascii="Times New Roman" w:hAnsi="Times New Roman" w:cs="Times New Roman"/>
                <w:sz w:val="20"/>
                <w:szCs w:val="20"/>
                <w:lang w:val="es-ES"/>
              </w:rPr>
              <w:t xml:space="preserve"> </w:t>
            </w:r>
            <w:r w:rsidRPr="00416330">
              <w:rPr>
                <w:rFonts w:ascii="Times New Roman" w:hAnsi="Times New Roman" w:cs="Times New Roman"/>
                <w:sz w:val="20"/>
                <w:szCs w:val="20"/>
                <w:lang w:val="es-ES"/>
              </w:rPr>
              <w:t>(2018)</w:t>
            </w:r>
          </w:p>
        </w:tc>
        <w:tc>
          <w:tcPr>
            <w:tcW w:w="1105" w:type="dxa"/>
            <w:vAlign w:val="center"/>
          </w:tcPr>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8,5 (8,1/8,8)</w:t>
            </w:r>
          </w:p>
        </w:tc>
        <w:tc>
          <w:tcPr>
            <w:tcW w:w="1455" w:type="dxa"/>
            <w:vAlign w:val="center"/>
          </w:tcPr>
          <w:p w:rsidR="000B0737" w:rsidRDefault="000B0737" w:rsidP="00AF3990">
            <w:pPr>
              <w:jc w:val="center"/>
              <w:rPr>
                <w:rFonts w:ascii="Times New Roman" w:eastAsia="Times New Roman" w:hAnsi="Times New Roman" w:cs="Times New Roman"/>
                <w:color w:val="000000"/>
                <w:sz w:val="20"/>
                <w:szCs w:val="20"/>
              </w:rPr>
            </w:pPr>
            <w:r w:rsidRPr="00EE56D1">
              <w:rPr>
                <w:rFonts w:ascii="Times New Roman" w:eastAsia="Times New Roman" w:hAnsi="Times New Roman" w:cs="Times New Roman"/>
                <w:color w:val="000000"/>
                <w:sz w:val="20"/>
                <w:szCs w:val="20"/>
              </w:rPr>
              <w:t xml:space="preserve">12,6 </w:t>
            </w:r>
          </w:p>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(12,2/13)</w:t>
            </w:r>
          </w:p>
        </w:tc>
        <w:tc>
          <w:tcPr>
            <w:tcW w:w="1492" w:type="dxa"/>
            <w:vAlign w:val="center"/>
          </w:tcPr>
          <w:p w:rsidR="000B0737" w:rsidRDefault="000B0737" w:rsidP="00AF3990">
            <w:pPr>
              <w:jc w:val="center"/>
              <w:rPr>
                <w:rFonts w:ascii="Times New Roman" w:eastAsia="Times New Roman" w:hAnsi="Times New Roman" w:cs="Times New Roman"/>
                <w:color w:val="000000"/>
                <w:sz w:val="20"/>
                <w:szCs w:val="20"/>
              </w:rPr>
            </w:pPr>
            <w:r w:rsidRPr="00EE56D1">
              <w:rPr>
                <w:rFonts w:ascii="Times New Roman" w:eastAsia="Times New Roman" w:hAnsi="Times New Roman" w:cs="Times New Roman"/>
                <w:color w:val="000000"/>
                <w:sz w:val="20"/>
                <w:szCs w:val="20"/>
              </w:rPr>
              <w:t xml:space="preserve">8,5 </w:t>
            </w:r>
          </w:p>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(8,1/8,8)</w:t>
            </w:r>
          </w:p>
        </w:tc>
        <w:tc>
          <w:tcPr>
            <w:tcW w:w="1452" w:type="dxa"/>
            <w:vAlign w:val="center"/>
          </w:tcPr>
          <w:p w:rsidR="000B0737" w:rsidRDefault="000B0737" w:rsidP="00AF3990">
            <w:pPr>
              <w:jc w:val="center"/>
              <w:rPr>
                <w:rFonts w:ascii="Times New Roman" w:eastAsia="Times New Roman" w:hAnsi="Times New Roman" w:cs="Times New Roman"/>
                <w:color w:val="000000"/>
                <w:sz w:val="20"/>
                <w:szCs w:val="20"/>
              </w:rPr>
            </w:pPr>
            <w:r w:rsidRPr="00EE56D1">
              <w:rPr>
                <w:rFonts w:ascii="Times New Roman" w:eastAsia="Times New Roman" w:hAnsi="Times New Roman" w:cs="Times New Roman"/>
                <w:color w:val="000000"/>
                <w:sz w:val="20"/>
                <w:szCs w:val="20"/>
              </w:rPr>
              <w:t xml:space="preserve">12,6 </w:t>
            </w:r>
          </w:p>
          <w:p w:rsidR="000B0737" w:rsidRPr="00416330" w:rsidRDefault="000B0737" w:rsidP="00AF3990">
            <w:pPr>
              <w:jc w:val="center"/>
              <w:rPr>
                <w:rFonts w:ascii="Times New Roman" w:hAnsi="Times New Roman" w:cs="Times New Roman"/>
                <w:sz w:val="20"/>
                <w:szCs w:val="20"/>
                <w:lang w:val="es-ES"/>
              </w:rPr>
            </w:pPr>
            <w:r w:rsidRPr="00EE56D1">
              <w:rPr>
                <w:rFonts w:ascii="Times New Roman" w:eastAsia="Times New Roman" w:hAnsi="Times New Roman" w:cs="Times New Roman"/>
                <w:color w:val="000000"/>
                <w:sz w:val="20"/>
                <w:szCs w:val="20"/>
              </w:rPr>
              <w:t>(12,2/13)</w:t>
            </w:r>
          </w:p>
        </w:tc>
      </w:tr>
    </w:tbl>
    <w:p w:rsidR="000B0737" w:rsidRPr="006C39B2" w:rsidRDefault="000B0737" w:rsidP="000B0737">
      <w:pPr>
        <w:spacing w:line="360" w:lineRule="auto"/>
        <w:rPr>
          <w:rFonts w:ascii="Times New Roman" w:eastAsia="Times New Roman" w:hAnsi="Times New Roman" w:cs="Times New Roman"/>
          <w:sz w:val="24"/>
          <w:szCs w:val="24"/>
          <w:lang w:eastAsia="es-ES"/>
        </w:rPr>
      </w:pPr>
      <w:r w:rsidRPr="006C39B2">
        <w:rPr>
          <w:rFonts w:ascii="Times New Roman" w:eastAsia="Times New Roman" w:hAnsi="Times New Roman" w:cs="Times New Roman"/>
          <w:i/>
          <w:iCs/>
          <w:sz w:val="24"/>
          <w:szCs w:val="24"/>
          <w:lang w:eastAsia="es-ES"/>
        </w:rPr>
        <w:t xml:space="preserve">Fuente: </w:t>
      </w:r>
      <w:r w:rsidRPr="006C39B2">
        <w:rPr>
          <w:rFonts w:ascii="Calibri" w:eastAsia="Times New Roman" w:hAnsi="Calibri" w:cs="Calibri"/>
          <w:i/>
          <w:iCs/>
          <w:lang w:eastAsia="es-ES"/>
        </w:rPr>
        <w:t xml:space="preserve"> </w:t>
      </w:r>
      <w:r w:rsidRPr="006C39B2">
        <w:rPr>
          <w:rFonts w:ascii="Times New Roman" w:eastAsia="Times New Roman" w:hAnsi="Times New Roman" w:cs="Times New Roman"/>
          <w:sz w:val="24"/>
          <w:szCs w:val="24"/>
          <w:lang w:eastAsia="es-ES"/>
        </w:rPr>
        <w:t>elaboración propia</w:t>
      </w:r>
      <w:r>
        <w:rPr>
          <w:rFonts w:ascii="Times New Roman" w:eastAsia="Times New Roman" w:hAnsi="Times New Roman" w:cs="Times New Roman"/>
          <w:sz w:val="24"/>
          <w:szCs w:val="24"/>
          <w:lang w:eastAsia="es-ES"/>
        </w:rPr>
        <w:t xml:space="preserve"> basada en DEIS, CELADE &amp; ENFR</w:t>
      </w:r>
      <w:r w:rsidRPr="006C39B2">
        <w:rPr>
          <w:rFonts w:ascii="Times New Roman" w:eastAsia="Times New Roman" w:hAnsi="Times New Roman" w:cs="Times New Roman"/>
          <w:sz w:val="24"/>
          <w:szCs w:val="24"/>
          <w:lang w:eastAsia="es-ES"/>
        </w:rPr>
        <w:t>.</w:t>
      </w: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p>
    <w:p w:rsidR="00B068ED" w:rsidRDefault="000B0737" w:rsidP="00127C9C">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820C9D">
        <w:rPr>
          <w:rFonts w:ascii="Times New Roman" w:eastAsia="Times New Roman" w:hAnsi="Times New Roman" w:cs="Times New Roman"/>
          <w:sz w:val="24"/>
          <w:szCs w:val="24"/>
        </w:rPr>
        <w:t xml:space="preserve">La Tabla </w:t>
      </w:r>
      <w:r>
        <w:rPr>
          <w:rFonts w:ascii="Times New Roman" w:eastAsia="Times New Roman" w:hAnsi="Times New Roman" w:cs="Times New Roman"/>
          <w:sz w:val="24"/>
          <w:szCs w:val="24"/>
        </w:rPr>
        <w:t>4</w:t>
      </w:r>
      <w:r w:rsidRPr="00820C9D">
        <w:rPr>
          <w:rFonts w:ascii="Times New Roman" w:eastAsia="Times New Roman" w:hAnsi="Times New Roman" w:cs="Times New Roman"/>
          <w:sz w:val="24"/>
          <w:szCs w:val="24"/>
        </w:rPr>
        <w:t xml:space="preserve"> indica los resultados g</w:t>
      </w:r>
      <w:r>
        <w:rPr>
          <w:rFonts w:ascii="Times New Roman" w:eastAsia="Times New Roman" w:hAnsi="Times New Roman" w:cs="Times New Roman"/>
          <w:sz w:val="24"/>
          <w:szCs w:val="24"/>
        </w:rPr>
        <w:t>enerales</w:t>
      </w:r>
      <w:r w:rsidRPr="00820C9D">
        <w:rPr>
          <w:rFonts w:ascii="Times New Roman" w:eastAsia="Times New Roman" w:hAnsi="Times New Roman" w:cs="Times New Roman"/>
          <w:sz w:val="24"/>
          <w:szCs w:val="24"/>
        </w:rPr>
        <w:t xml:space="preserve"> de la descomposición, indicando las contribuciones de cada componente (tanto en términos absolutos como relativos) a la variación total en </w:t>
      </w:r>
      <w:r>
        <w:rPr>
          <w:rFonts w:ascii="Times New Roman" w:eastAsia="Times New Roman" w:hAnsi="Times New Roman" w:cs="Times New Roman"/>
          <w:sz w:val="24"/>
          <w:szCs w:val="24"/>
        </w:rPr>
        <w:t>la</w:t>
      </w:r>
      <w:r w:rsidRPr="00820C9D">
        <w:rPr>
          <w:rFonts w:ascii="Times New Roman" w:eastAsia="Times New Roman" w:hAnsi="Times New Roman" w:cs="Times New Roman"/>
          <w:sz w:val="24"/>
          <w:szCs w:val="24"/>
        </w:rPr>
        <w:t xml:space="preserve"> EVLTAD20 para cada período. Un valor positivo en el componente elegido indica una mejora en la salud de la población dentro del período (de la misma manera que una mayor esperanza de vida tiende a indicar una disminución de la mortalidad</w:t>
      </w:r>
      <w:r>
        <w:rPr>
          <w:rFonts w:ascii="Times New Roman" w:eastAsia="Times New Roman" w:hAnsi="Times New Roman" w:cs="Times New Roman"/>
          <w:sz w:val="24"/>
          <w:szCs w:val="24"/>
        </w:rPr>
        <w:t xml:space="preserve"> general</w:t>
      </w:r>
      <w:r w:rsidRPr="00820C9D">
        <w:rPr>
          <w:rFonts w:ascii="Times New Roman" w:eastAsia="Times New Roman" w:hAnsi="Times New Roman" w:cs="Times New Roman"/>
          <w:sz w:val="24"/>
          <w:szCs w:val="24"/>
        </w:rPr>
        <w:t>). Como se mencionó anteriormente, durante 2005-2018 el aumento de EVLTAD20 fue mayor para las mujeres que para los hombres, y los resultados de la descomposición indican</w:t>
      </w:r>
      <w:r>
        <w:rPr>
          <w:rFonts w:ascii="Times New Roman" w:eastAsia="Times New Roman" w:hAnsi="Times New Roman" w:cs="Times New Roman"/>
          <w:sz w:val="24"/>
          <w:szCs w:val="24"/>
        </w:rPr>
        <w:t xml:space="preserve"> </w:t>
      </w:r>
      <w:r w:rsidRPr="00820C9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mientras</w:t>
      </w:r>
      <w:r w:rsidRPr="00820C9D">
        <w:rPr>
          <w:rFonts w:ascii="Times New Roman" w:eastAsia="Times New Roman" w:hAnsi="Times New Roman" w:cs="Times New Roman"/>
          <w:sz w:val="24"/>
          <w:szCs w:val="24"/>
        </w:rPr>
        <w:t xml:space="preserve"> para los hombres aproximadamente un tercio del cambio total en EVLTAD20 se debió a mejoras en la mortalidad , para las mujeres las mejoras en la mortalidad explicaron sólo el 11 por ciento del cambio total de </w:t>
      </w:r>
      <w:r>
        <w:rPr>
          <w:rFonts w:ascii="Times New Roman" w:eastAsia="Times New Roman" w:hAnsi="Times New Roman" w:cs="Times New Roman"/>
          <w:sz w:val="24"/>
          <w:szCs w:val="24"/>
        </w:rPr>
        <w:t xml:space="preserve">la EVLTAD20 </w:t>
      </w:r>
      <w:r w:rsidRPr="00820C9D">
        <w:rPr>
          <w:rFonts w:ascii="Times New Roman" w:eastAsia="Times New Roman" w:hAnsi="Times New Roman" w:cs="Times New Roman"/>
          <w:sz w:val="24"/>
          <w:szCs w:val="24"/>
        </w:rPr>
        <w:t xml:space="preserve">(en términos absolutos, del aumento de 5,6 años </w:t>
      </w:r>
      <w:r>
        <w:rPr>
          <w:rFonts w:ascii="Times New Roman" w:eastAsia="Times New Roman" w:hAnsi="Times New Roman" w:cs="Times New Roman"/>
          <w:sz w:val="24"/>
          <w:szCs w:val="24"/>
        </w:rPr>
        <w:t xml:space="preserve">en el indicador </w:t>
      </w:r>
      <w:r w:rsidRPr="00820C9D">
        <w:rPr>
          <w:rFonts w:ascii="Times New Roman" w:eastAsia="Times New Roman" w:hAnsi="Times New Roman" w:cs="Times New Roman"/>
          <w:sz w:val="24"/>
          <w:szCs w:val="24"/>
        </w:rPr>
        <w:t xml:space="preserve">para las mujeres, sólo 0,6 años se debieron a mejoras en </w:t>
      </w:r>
      <w:r>
        <w:rPr>
          <w:rFonts w:ascii="Times New Roman" w:eastAsia="Times New Roman" w:hAnsi="Times New Roman" w:cs="Times New Roman"/>
          <w:sz w:val="24"/>
          <w:szCs w:val="24"/>
        </w:rPr>
        <w:t xml:space="preserve">la </w:t>
      </w:r>
      <w:r w:rsidRPr="00820C9D">
        <w:rPr>
          <w:rFonts w:ascii="Times New Roman" w:eastAsia="Times New Roman" w:hAnsi="Times New Roman" w:cs="Times New Roman"/>
          <w:sz w:val="24"/>
          <w:szCs w:val="24"/>
        </w:rPr>
        <w:t xml:space="preserve">EV20). </w:t>
      </w:r>
      <w:r>
        <w:rPr>
          <w:rFonts w:ascii="Times New Roman" w:eastAsia="Times New Roman" w:hAnsi="Times New Roman" w:cs="Times New Roman"/>
          <w:sz w:val="24"/>
          <w:szCs w:val="24"/>
        </w:rPr>
        <w:t>Pese a ello</w:t>
      </w:r>
      <w:r w:rsidRPr="00820C9D">
        <w:rPr>
          <w:rFonts w:ascii="Times New Roman" w:eastAsia="Times New Roman" w:hAnsi="Times New Roman" w:cs="Times New Roman"/>
          <w:sz w:val="24"/>
          <w:szCs w:val="24"/>
        </w:rPr>
        <w:t>, la descomposición también muestra que la reducción del componente de morbilidad durante el período 2013-18 h</w:t>
      </w:r>
      <w:r>
        <w:rPr>
          <w:rFonts w:ascii="Times New Roman" w:eastAsia="Times New Roman" w:hAnsi="Times New Roman" w:cs="Times New Roman"/>
          <w:sz w:val="24"/>
          <w:szCs w:val="24"/>
        </w:rPr>
        <w:t>ubiese</w:t>
      </w:r>
      <w:r w:rsidRPr="00820C9D">
        <w:rPr>
          <w:rFonts w:ascii="Times New Roman" w:eastAsia="Times New Roman" w:hAnsi="Times New Roman" w:cs="Times New Roman"/>
          <w:sz w:val="24"/>
          <w:szCs w:val="24"/>
        </w:rPr>
        <w:t xml:space="preserve"> sido aún mayor </w:t>
      </w:r>
      <w:r>
        <w:rPr>
          <w:rFonts w:ascii="Times New Roman" w:eastAsia="Times New Roman" w:hAnsi="Times New Roman" w:cs="Times New Roman"/>
          <w:sz w:val="24"/>
          <w:szCs w:val="24"/>
        </w:rPr>
        <w:t>de no haber mediado</w:t>
      </w:r>
      <w:r w:rsidRPr="00820C9D">
        <w:rPr>
          <w:rFonts w:ascii="Times New Roman" w:eastAsia="Times New Roman" w:hAnsi="Times New Roman" w:cs="Times New Roman"/>
          <w:sz w:val="24"/>
          <w:szCs w:val="24"/>
        </w:rPr>
        <w:t xml:space="preserve"> una mejora en la mortalidad. En otras palabras, la caída en </w:t>
      </w:r>
      <w:r>
        <w:rPr>
          <w:rFonts w:ascii="Times New Roman" w:eastAsia="Times New Roman" w:hAnsi="Times New Roman" w:cs="Times New Roman"/>
          <w:sz w:val="24"/>
          <w:szCs w:val="24"/>
        </w:rPr>
        <w:t xml:space="preserve">la </w:t>
      </w:r>
      <w:r w:rsidRPr="00820C9D">
        <w:rPr>
          <w:rFonts w:ascii="Times New Roman" w:eastAsia="Times New Roman" w:hAnsi="Times New Roman" w:cs="Times New Roman"/>
          <w:sz w:val="24"/>
          <w:szCs w:val="24"/>
        </w:rPr>
        <w:t xml:space="preserve">EVLTAD20 habría sido de 1 año para los hombres y 1,7 años para las mujeres </w:t>
      </w:r>
      <w:r>
        <w:rPr>
          <w:rFonts w:ascii="Times New Roman" w:eastAsia="Times New Roman" w:hAnsi="Times New Roman" w:cs="Times New Roman"/>
          <w:sz w:val="24"/>
          <w:szCs w:val="24"/>
        </w:rPr>
        <w:t>en dicho período</w:t>
      </w:r>
      <w:r w:rsidRPr="00820C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no existir</w:t>
      </w:r>
      <w:r w:rsidRPr="00820C9D">
        <w:rPr>
          <w:rFonts w:ascii="Times New Roman" w:eastAsia="Times New Roman" w:hAnsi="Times New Roman" w:cs="Times New Roman"/>
          <w:sz w:val="24"/>
          <w:szCs w:val="24"/>
        </w:rPr>
        <w:t xml:space="preserve"> un aumento en</w:t>
      </w:r>
      <w:r>
        <w:rPr>
          <w:rFonts w:ascii="Times New Roman" w:eastAsia="Times New Roman" w:hAnsi="Times New Roman" w:cs="Times New Roman"/>
          <w:sz w:val="24"/>
          <w:szCs w:val="24"/>
        </w:rPr>
        <w:t xml:space="preserve"> la</w:t>
      </w:r>
      <w:r w:rsidRPr="00820C9D">
        <w:rPr>
          <w:rFonts w:ascii="Times New Roman" w:eastAsia="Times New Roman" w:hAnsi="Times New Roman" w:cs="Times New Roman"/>
          <w:sz w:val="24"/>
          <w:szCs w:val="24"/>
        </w:rPr>
        <w:t xml:space="preserve"> EV20</w:t>
      </w:r>
      <w:r>
        <w:rPr>
          <w:rFonts w:ascii="Times New Roman" w:eastAsia="Times New Roman" w:hAnsi="Times New Roman" w:cs="Times New Roman"/>
          <w:sz w:val="24"/>
          <w:szCs w:val="24"/>
        </w:rPr>
        <w:t xml:space="preserve"> para dicho quinquenio</w:t>
      </w:r>
      <w:r w:rsidRPr="00820C9D">
        <w:rPr>
          <w:rFonts w:ascii="Times New Roman" w:eastAsia="Times New Roman" w:hAnsi="Times New Roman" w:cs="Times New Roman"/>
          <w:sz w:val="24"/>
          <w:szCs w:val="24"/>
        </w:rPr>
        <w:t xml:space="preserve">. </w:t>
      </w:r>
    </w:p>
    <w:p w:rsidR="00127C9C" w:rsidRDefault="00127C9C" w:rsidP="00127C9C">
      <w:pPr>
        <w:shd w:val="clear" w:color="auto" w:fill="FDFDFD"/>
        <w:spacing w:after="0" w:line="360" w:lineRule="auto"/>
        <w:jc w:val="both"/>
        <w:rPr>
          <w:rFonts w:ascii="Times New Roman" w:eastAsia="Times New Roman" w:hAnsi="Times New Roman" w:cs="Times New Roman"/>
          <w:sz w:val="24"/>
          <w:szCs w:val="24"/>
        </w:rPr>
      </w:pPr>
    </w:p>
    <w:p w:rsidR="000B0737" w:rsidRPr="009D066A" w:rsidRDefault="00127C9C" w:rsidP="000B0737">
      <w:pPr>
        <w:shd w:val="clear" w:color="auto" w:fill="FDFDFD"/>
        <w:spacing w:after="0" w:line="360" w:lineRule="auto"/>
        <w:jc w:val="both"/>
        <w:rPr>
          <w:rFonts w:ascii="Segoe UI" w:eastAsia="Times New Roman" w:hAnsi="Segoe UI" w:cs="Segoe UI"/>
          <w:sz w:val="21"/>
          <w:szCs w:val="21"/>
        </w:rPr>
      </w:pPr>
      <w:r>
        <w:rPr>
          <w:rFonts w:ascii="Times New Roman" w:eastAsia="Times New Roman" w:hAnsi="Times New Roman" w:cs="Times New Roman"/>
          <w:sz w:val="24"/>
          <w:szCs w:val="24"/>
        </w:rPr>
        <w:t>T</w:t>
      </w:r>
      <w:r w:rsidR="000B0737" w:rsidRPr="00820C9D">
        <w:rPr>
          <w:rFonts w:ascii="Times New Roman" w:eastAsia="Times New Roman" w:hAnsi="Times New Roman" w:cs="Times New Roman"/>
          <w:sz w:val="24"/>
          <w:szCs w:val="24"/>
        </w:rPr>
        <w:t xml:space="preserve">abla </w:t>
      </w:r>
      <w:r w:rsidR="000B0737">
        <w:rPr>
          <w:rFonts w:ascii="Times New Roman" w:eastAsia="Times New Roman" w:hAnsi="Times New Roman" w:cs="Times New Roman"/>
          <w:sz w:val="24"/>
          <w:szCs w:val="24"/>
        </w:rPr>
        <w:t>4</w:t>
      </w:r>
      <w:r w:rsidR="000B0737" w:rsidRPr="00820C9D">
        <w:rPr>
          <w:rFonts w:ascii="Times New Roman" w:eastAsia="Times New Roman" w:hAnsi="Times New Roman" w:cs="Times New Roman"/>
          <w:sz w:val="24"/>
          <w:szCs w:val="24"/>
        </w:rPr>
        <w:t xml:space="preserve">: Resultados de la Descomposición de </w:t>
      </w:r>
      <w:r w:rsidR="000B0737">
        <w:rPr>
          <w:rFonts w:ascii="Times New Roman" w:eastAsia="Times New Roman" w:hAnsi="Times New Roman" w:cs="Times New Roman"/>
          <w:sz w:val="24"/>
          <w:szCs w:val="24"/>
        </w:rPr>
        <w:t xml:space="preserve">la </w:t>
      </w:r>
      <w:r w:rsidR="000B0737" w:rsidRPr="00820C9D">
        <w:rPr>
          <w:rFonts w:ascii="Times New Roman" w:eastAsia="Times New Roman" w:hAnsi="Times New Roman" w:cs="Times New Roman"/>
          <w:sz w:val="24"/>
          <w:szCs w:val="24"/>
        </w:rPr>
        <w:t>EVLTAD20 por sexo, 2005-2018</w:t>
      </w:r>
    </w:p>
    <w:tbl>
      <w:tblPr>
        <w:tblStyle w:val="Tablaconcuadrcula"/>
        <w:tblW w:w="87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1229"/>
        <w:gridCol w:w="1213"/>
        <w:gridCol w:w="1318"/>
        <w:gridCol w:w="1272"/>
        <w:gridCol w:w="1338"/>
        <w:gridCol w:w="1521"/>
      </w:tblGrid>
      <w:tr w:rsidR="000B0737" w:rsidRPr="00416330" w:rsidTr="00AF3990">
        <w:trPr>
          <w:trHeight w:val="511"/>
          <w:jc w:val="center"/>
        </w:trPr>
        <w:tc>
          <w:tcPr>
            <w:tcW w:w="893" w:type="dxa"/>
            <w:vMerge w:val="restart"/>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Período</w:t>
            </w:r>
          </w:p>
        </w:tc>
        <w:tc>
          <w:tcPr>
            <w:tcW w:w="3760" w:type="dxa"/>
            <w:gridSpan w:val="3"/>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Hombres</w:t>
            </w:r>
          </w:p>
        </w:tc>
        <w:tc>
          <w:tcPr>
            <w:tcW w:w="4131" w:type="dxa"/>
            <w:gridSpan w:val="3"/>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Mujeres</w:t>
            </w:r>
          </w:p>
        </w:tc>
      </w:tr>
      <w:tr w:rsidR="000B0737" w:rsidRPr="00416330" w:rsidTr="00AF3990">
        <w:trPr>
          <w:trHeight w:val="511"/>
          <w:jc w:val="center"/>
        </w:trPr>
        <w:tc>
          <w:tcPr>
            <w:tcW w:w="893" w:type="dxa"/>
            <w:vMerge/>
            <w:tcBorders>
              <w:bottom w:val="single" w:sz="4" w:space="0" w:color="auto"/>
            </w:tcBorders>
            <w:vAlign w:val="center"/>
          </w:tcPr>
          <w:p w:rsidR="000B0737" w:rsidRPr="00416330" w:rsidRDefault="000B0737" w:rsidP="00AF3990">
            <w:pPr>
              <w:jc w:val="center"/>
              <w:rPr>
                <w:rFonts w:ascii="Times New Roman" w:hAnsi="Times New Roman" w:cs="Times New Roman"/>
                <w:sz w:val="18"/>
                <w:szCs w:val="18"/>
                <w:lang w:val="es-ES"/>
              </w:rPr>
            </w:pPr>
          </w:p>
        </w:tc>
        <w:tc>
          <w:tcPr>
            <w:tcW w:w="1229" w:type="dxa"/>
            <w:tcBorders>
              <w:bottom w:val="single" w:sz="4" w:space="0" w:color="auto"/>
            </w:tcBorders>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Diferencia</w:t>
            </w:r>
            <w:r w:rsidRPr="00416330">
              <w:rPr>
                <w:rFonts w:ascii="Times New Roman" w:hAnsi="Times New Roman" w:cs="Times New Roman"/>
                <w:sz w:val="18"/>
                <w:szCs w:val="18"/>
                <w:lang w:val="es-ES"/>
              </w:rPr>
              <w:t xml:space="preserve"> </w:t>
            </w:r>
            <w:r>
              <w:rPr>
                <w:rFonts w:ascii="Times New Roman" w:hAnsi="Times New Roman" w:cs="Times New Roman"/>
                <w:sz w:val="18"/>
                <w:szCs w:val="18"/>
                <w:lang w:val="es-ES"/>
              </w:rPr>
              <w:t>EVLTAD20</w:t>
            </w:r>
          </w:p>
        </w:tc>
        <w:tc>
          <w:tcPr>
            <w:tcW w:w="1213" w:type="dxa"/>
            <w:tcBorders>
              <w:bottom w:val="single" w:sz="4" w:space="0" w:color="auto"/>
            </w:tcBorders>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Contribución</w:t>
            </w:r>
            <w:r w:rsidRPr="00416330">
              <w:rPr>
                <w:rFonts w:ascii="Times New Roman" w:hAnsi="Times New Roman" w:cs="Times New Roman"/>
                <w:sz w:val="18"/>
                <w:szCs w:val="18"/>
                <w:lang w:val="es-ES"/>
              </w:rPr>
              <w:t xml:space="preserve"> </w:t>
            </w:r>
            <w:r>
              <w:rPr>
                <w:rFonts w:ascii="Times New Roman" w:hAnsi="Times New Roman" w:cs="Times New Roman"/>
                <w:sz w:val="18"/>
                <w:szCs w:val="18"/>
                <w:lang w:val="es-ES"/>
              </w:rPr>
              <w:t>Mortalidad</w:t>
            </w:r>
          </w:p>
        </w:tc>
        <w:tc>
          <w:tcPr>
            <w:tcW w:w="1318" w:type="dxa"/>
            <w:tcBorders>
              <w:bottom w:val="single" w:sz="4" w:space="0" w:color="auto"/>
            </w:tcBorders>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Contribución Morbilidad</w:t>
            </w:r>
          </w:p>
        </w:tc>
        <w:tc>
          <w:tcPr>
            <w:tcW w:w="1272" w:type="dxa"/>
            <w:tcBorders>
              <w:bottom w:val="single" w:sz="4" w:space="0" w:color="auto"/>
            </w:tcBorders>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Diferencia</w:t>
            </w:r>
            <w:r w:rsidRPr="00416330">
              <w:rPr>
                <w:rFonts w:ascii="Times New Roman" w:hAnsi="Times New Roman" w:cs="Times New Roman"/>
                <w:sz w:val="18"/>
                <w:szCs w:val="18"/>
                <w:lang w:val="es-ES"/>
              </w:rPr>
              <w:t xml:space="preserve"> </w:t>
            </w:r>
            <w:r>
              <w:rPr>
                <w:rFonts w:ascii="Times New Roman" w:hAnsi="Times New Roman" w:cs="Times New Roman"/>
                <w:sz w:val="18"/>
                <w:szCs w:val="18"/>
                <w:lang w:val="es-ES"/>
              </w:rPr>
              <w:t>EVLTAD20</w:t>
            </w:r>
          </w:p>
        </w:tc>
        <w:tc>
          <w:tcPr>
            <w:tcW w:w="1338" w:type="dxa"/>
            <w:tcBorders>
              <w:bottom w:val="single" w:sz="4" w:space="0" w:color="auto"/>
            </w:tcBorders>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Contribución</w:t>
            </w:r>
            <w:r w:rsidRPr="00416330">
              <w:rPr>
                <w:rFonts w:ascii="Times New Roman" w:hAnsi="Times New Roman" w:cs="Times New Roman"/>
                <w:sz w:val="18"/>
                <w:szCs w:val="18"/>
                <w:lang w:val="es-ES"/>
              </w:rPr>
              <w:t xml:space="preserve"> </w:t>
            </w:r>
            <w:r>
              <w:rPr>
                <w:rFonts w:ascii="Times New Roman" w:hAnsi="Times New Roman" w:cs="Times New Roman"/>
                <w:sz w:val="18"/>
                <w:szCs w:val="18"/>
                <w:lang w:val="es-ES"/>
              </w:rPr>
              <w:t>Mortalidad</w:t>
            </w:r>
          </w:p>
        </w:tc>
        <w:tc>
          <w:tcPr>
            <w:tcW w:w="1521" w:type="dxa"/>
            <w:tcBorders>
              <w:bottom w:val="single" w:sz="4" w:space="0" w:color="auto"/>
            </w:tcBorders>
            <w:vAlign w:val="center"/>
          </w:tcPr>
          <w:p w:rsidR="000B0737" w:rsidRPr="00416330" w:rsidRDefault="000B0737" w:rsidP="00AF3990">
            <w:pPr>
              <w:jc w:val="center"/>
              <w:rPr>
                <w:rFonts w:ascii="Times New Roman" w:hAnsi="Times New Roman" w:cs="Times New Roman"/>
                <w:sz w:val="18"/>
                <w:szCs w:val="18"/>
                <w:lang w:val="es-ES"/>
              </w:rPr>
            </w:pPr>
            <w:r>
              <w:rPr>
                <w:rFonts w:ascii="Times New Roman" w:hAnsi="Times New Roman" w:cs="Times New Roman"/>
                <w:sz w:val="18"/>
                <w:szCs w:val="18"/>
                <w:lang w:val="es-ES"/>
              </w:rPr>
              <w:t>Contribución</w:t>
            </w:r>
            <w:r w:rsidRPr="00416330">
              <w:rPr>
                <w:rFonts w:ascii="Times New Roman" w:hAnsi="Times New Roman" w:cs="Times New Roman"/>
                <w:sz w:val="18"/>
                <w:szCs w:val="18"/>
                <w:lang w:val="es-ES"/>
              </w:rPr>
              <w:t xml:space="preserve"> </w:t>
            </w:r>
            <w:r>
              <w:rPr>
                <w:rFonts w:ascii="Times New Roman" w:hAnsi="Times New Roman" w:cs="Times New Roman"/>
                <w:sz w:val="18"/>
                <w:szCs w:val="18"/>
                <w:lang w:val="es-ES"/>
              </w:rPr>
              <w:t>Morbilidad</w:t>
            </w:r>
          </w:p>
        </w:tc>
      </w:tr>
      <w:tr w:rsidR="000B0737" w:rsidRPr="00416330" w:rsidTr="00AF3990">
        <w:trPr>
          <w:trHeight w:val="332"/>
          <w:jc w:val="center"/>
        </w:trPr>
        <w:tc>
          <w:tcPr>
            <w:tcW w:w="893" w:type="dxa"/>
            <w:tcBorders>
              <w:top w:val="single" w:sz="4" w:space="0" w:color="auto"/>
            </w:tcBorders>
            <w:vAlign w:val="center"/>
          </w:tcPr>
          <w:p w:rsidR="000B0737" w:rsidRPr="00DD2808" w:rsidRDefault="000B0737" w:rsidP="00AF3990">
            <w:pPr>
              <w:jc w:val="center"/>
              <w:rPr>
                <w:rFonts w:ascii="Times New Roman" w:hAnsi="Times New Roman" w:cs="Times New Roman"/>
                <w:sz w:val="18"/>
                <w:szCs w:val="18"/>
                <w:lang w:val="es-ES"/>
              </w:rPr>
            </w:pPr>
            <w:r w:rsidRPr="00DD2808">
              <w:rPr>
                <w:rFonts w:ascii="Times New Roman" w:hAnsi="Times New Roman" w:cs="Times New Roman"/>
                <w:sz w:val="18"/>
                <w:szCs w:val="18"/>
                <w:lang w:val="es-ES"/>
              </w:rPr>
              <w:t>2005-09</w:t>
            </w:r>
          </w:p>
        </w:tc>
        <w:tc>
          <w:tcPr>
            <w:tcW w:w="1229" w:type="dxa"/>
            <w:tcBorders>
              <w:top w:val="single" w:sz="4" w:space="0" w:color="auto"/>
            </w:tcBorders>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2,5</w:t>
            </w:r>
          </w:p>
        </w:tc>
        <w:tc>
          <w:tcPr>
            <w:tcW w:w="1213" w:type="dxa"/>
            <w:tcBorders>
              <w:top w:val="single" w:sz="4" w:space="0" w:color="auto"/>
            </w:tcBorders>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0,3 (12%)</w:t>
            </w:r>
          </w:p>
        </w:tc>
        <w:tc>
          <w:tcPr>
            <w:tcW w:w="1318" w:type="dxa"/>
            <w:tcBorders>
              <w:top w:val="single" w:sz="4" w:space="0" w:color="auto"/>
            </w:tcBorders>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2,2 (88%)</w:t>
            </w:r>
          </w:p>
        </w:tc>
        <w:tc>
          <w:tcPr>
            <w:tcW w:w="1272" w:type="dxa"/>
            <w:tcBorders>
              <w:top w:val="single" w:sz="4" w:space="0" w:color="auto"/>
            </w:tcBorders>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3,3</w:t>
            </w:r>
          </w:p>
        </w:tc>
        <w:tc>
          <w:tcPr>
            <w:tcW w:w="1338" w:type="dxa"/>
            <w:tcBorders>
              <w:top w:val="single" w:sz="4" w:space="0" w:color="auto"/>
            </w:tcBorders>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0,2 (6%)</w:t>
            </w:r>
          </w:p>
        </w:tc>
        <w:tc>
          <w:tcPr>
            <w:tcW w:w="1521" w:type="dxa"/>
            <w:tcBorders>
              <w:top w:val="single" w:sz="4" w:space="0" w:color="auto"/>
            </w:tcBorders>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3,1 (94%)</w:t>
            </w:r>
          </w:p>
        </w:tc>
      </w:tr>
      <w:tr w:rsidR="000B0737" w:rsidRPr="00416330" w:rsidTr="00AF3990">
        <w:trPr>
          <w:trHeight w:val="266"/>
          <w:jc w:val="center"/>
        </w:trPr>
        <w:tc>
          <w:tcPr>
            <w:tcW w:w="893" w:type="dxa"/>
            <w:vAlign w:val="center"/>
          </w:tcPr>
          <w:p w:rsidR="000B0737" w:rsidRPr="00DD2808" w:rsidRDefault="000B0737" w:rsidP="00AF3990">
            <w:pPr>
              <w:jc w:val="center"/>
              <w:rPr>
                <w:rFonts w:ascii="Times New Roman" w:hAnsi="Times New Roman" w:cs="Times New Roman"/>
                <w:sz w:val="18"/>
                <w:szCs w:val="18"/>
                <w:lang w:val="es-ES"/>
              </w:rPr>
            </w:pPr>
            <w:r w:rsidRPr="00DD2808">
              <w:rPr>
                <w:rFonts w:ascii="Times New Roman" w:hAnsi="Times New Roman" w:cs="Times New Roman"/>
                <w:sz w:val="18"/>
                <w:szCs w:val="18"/>
                <w:lang w:val="es-ES"/>
              </w:rPr>
              <w:t>2009-13</w:t>
            </w:r>
          </w:p>
        </w:tc>
        <w:tc>
          <w:tcPr>
            <w:tcW w:w="1229"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1,6</w:t>
            </w:r>
          </w:p>
        </w:tc>
        <w:tc>
          <w:tcPr>
            <w:tcW w:w="1213"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0,3 (19%)</w:t>
            </w:r>
          </w:p>
        </w:tc>
        <w:tc>
          <w:tcPr>
            <w:tcW w:w="1318"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1,3 (81%)</w:t>
            </w:r>
          </w:p>
        </w:tc>
        <w:tc>
          <w:tcPr>
            <w:tcW w:w="1272"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3,8</w:t>
            </w:r>
          </w:p>
        </w:tc>
        <w:tc>
          <w:tcPr>
            <w:tcW w:w="1338"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0,2 (5%)</w:t>
            </w:r>
          </w:p>
        </w:tc>
        <w:tc>
          <w:tcPr>
            <w:tcW w:w="1521"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3,6 (95%)</w:t>
            </w:r>
          </w:p>
        </w:tc>
      </w:tr>
      <w:tr w:rsidR="000B0737" w:rsidRPr="00416330" w:rsidTr="00AF3990">
        <w:trPr>
          <w:trHeight w:val="284"/>
          <w:jc w:val="center"/>
        </w:trPr>
        <w:tc>
          <w:tcPr>
            <w:tcW w:w="893" w:type="dxa"/>
            <w:vAlign w:val="center"/>
          </w:tcPr>
          <w:p w:rsidR="000B0737" w:rsidRPr="00DD2808" w:rsidRDefault="000B0737" w:rsidP="00AF3990">
            <w:pPr>
              <w:jc w:val="center"/>
              <w:rPr>
                <w:rFonts w:ascii="Times New Roman" w:hAnsi="Times New Roman" w:cs="Times New Roman"/>
                <w:sz w:val="18"/>
                <w:szCs w:val="18"/>
                <w:lang w:val="es-ES"/>
              </w:rPr>
            </w:pPr>
            <w:r w:rsidRPr="00DD2808">
              <w:rPr>
                <w:rFonts w:ascii="Times New Roman" w:hAnsi="Times New Roman" w:cs="Times New Roman"/>
                <w:sz w:val="18"/>
                <w:szCs w:val="18"/>
                <w:lang w:val="es-ES"/>
              </w:rPr>
              <w:t>2013-18</w:t>
            </w:r>
          </w:p>
        </w:tc>
        <w:tc>
          <w:tcPr>
            <w:tcW w:w="1229"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-0,5</w:t>
            </w:r>
          </w:p>
        </w:tc>
        <w:tc>
          <w:tcPr>
            <w:tcW w:w="1213"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0,6 (120%)</w:t>
            </w:r>
          </w:p>
        </w:tc>
        <w:tc>
          <w:tcPr>
            <w:tcW w:w="1318"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-1,1 (-220%)</w:t>
            </w:r>
          </w:p>
        </w:tc>
        <w:tc>
          <w:tcPr>
            <w:tcW w:w="1272"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-1,5</w:t>
            </w:r>
          </w:p>
        </w:tc>
        <w:tc>
          <w:tcPr>
            <w:tcW w:w="1338"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0,2 (13%)</w:t>
            </w:r>
          </w:p>
        </w:tc>
        <w:tc>
          <w:tcPr>
            <w:tcW w:w="1521" w:type="dxa"/>
            <w:vAlign w:val="center"/>
          </w:tcPr>
          <w:p w:rsidR="000B0737" w:rsidRPr="00DD2808" w:rsidRDefault="000B0737" w:rsidP="00AF3990">
            <w:pPr>
              <w:jc w:val="center"/>
              <w:rPr>
                <w:rFonts w:ascii="Times New Roman" w:hAnsi="Times New Roman" w:cs="Times New Roman"/>
                <w:color w:val="000000"/>
                <w:sz w:val="18"/>
                <w:szCs w:val="18"/>
              </w:rPr>
            </w:pPr>
            <w:r w:rsidRPr="00DD2808">
              <w:rPr>
                <w:rFonts w:ascii="Times New Roman" w:hAnsi="Times New Roman" w:cs="Times New Roman"/>
                <w:color w:val="000000"/>
                <w:sz w:val="18"/>
                <w:szCs w:val="18"/>
              </w:rPr>
              <w:t>-1,7 (-113%)</w:t>
            </w:r>
          </w:p>
        </w:tc>
      </w:tr>
      <w:tr w:rsidR="000B0737" w:rsidRPr="00416330" w:rsidTr="00AF3990">
        <w:trPr>
          <w:trHeight w:val="260"/>
          <w:jc w:val="center"/>
        </w:trPr>
        <w:tc>
          <w:tcPr>
            <w:tcW w:w="893" w:type="dxa"/>
            <w:vAlign w:val="center"/>
          </w:tcPr>
          <w:p w:rsidR="000B0737" w:rsidRPr="00DD2808" w:rsidRDefault="000B0737" w:rsidP="00AF3990">
            <w:pPr>
              <w:jc w:val="center"/>
              <w:rPr>
                <w:rFonts w:ascii="Times New Roman" w:hAnsi="Times New Roman" w:cs="Times New Roman"/>
                <w:b/>
                <w:sz w:val="18"/>
                <w:szCs w:val="18"/>
                <w:lang w:val="es-ES"/>
              </w:rPr>
            </w:pPr>
            <w:r w:rsidRPr="00DD2808">
              <w:rPr>
                <w:rFonts w:ascii="Times New Roman" w:hAnsi="Times New Roman" w:cs="Times New Roman"/>
                <w:b/>
                <w:sz w:val="18"/>
                <w:szCs w:val="18"/>
                <w:lang w:val="es-ES"/>
              </w:rPr>
              <w:t>2005-18</w:t>
            </w:r>
          </w:p>
        </w:tc>
        <w:tc>
          <w:tcPr>
            <w:tcW w:w="1229" w:type="dxa"/>
            <w:vAlign w:val="center"/>
          </w:tcPr>
          <w:p w:rsidR="000B0737" w:rsidRPr="00DD2808" w:rsidRDefault="000B0737" w:rsidP="00AF3990">
            <w:pPr>
              <w:jc w:val="center"/>
              <w:rPr>
                <w:rFonts w:ascii="Times New Roman" w:hAnsi="Times New Roman" w:cs="Times New Roman"/>
                <w:b/>
                <w:bCs/>
                <w:color w:val="000000"/>
                <w:sz w:val="18"/>
                <w:szCs w:val="18"/>
              </w:rPr>
            </w:pPr>
            <w:r w:rsidRPr="00DD2808">
              <w:rPr>
                <w:rFonts w:ascii="Times New Roman" w:hAnsi="Times New Roman" w:cs="Times New Roman"/>
                <w:b/>
                <w:bCs/>
                <w:color w:val="000000"/>
                <w:sz w:val="18"/>
                <w:szCs w:val="18"/>
              </w:rPr>
              <w:t>3,6</w:t>
            </w:r>
          </w:p>
        </w:tc>
        <w:tc>
          <w:tcPr>
            <w:tcW w:w="1213" w:type="dxa"/>
            <w:vAlign w:val="center"/>
          </w:tcPr>
          <w:p w:rsidR="000B0737" w:rsidRPr="00DD2808" w:rsidRDefault="000B0737" w:rsidP="00AF3990">
            <w:pPr>
              <w:jc w:val="center"/>
              <w:rPr>
                <w:rFonts w:ascii="Times New Roman" w:hAnsi="Times New Roman" w:cs="Times New Roman"/>
                <w:b/>
                <w:bCs/>
                <w:color w:val="000000"/>
                <w:sz w:val="18"/>
                <w:szCs w:val="18"/>
              </w:rPr>
            </w:pPr>
            <w:r w:rsidRPr="00DD2808">
              <w:rPr>
                <w:rFonts w:ascii="Times New Roman" w:hAnsi="Times New Roman" w:cs="Times New Roman"/>
                <w:b/>
                <w:bCs/>
                <w:color w:val="000000"/>
                <w:sz w:val="18"/>
                <w:szCs w:val="18"/>
              </w:rPr>
              <w:t>1,2 (33%)</w:t>
            </w:r>
          </w:p>
        </w:tc>
        <w:tc>
          <w:tcPr>
            <w:tcW w:w="1318" w:type="dxa"/>
            <w:vAlign w:val="center"/>
          </w:tcPr>
          <w:p w:rsidR="000B0737" w:rsidRPr="00DD2808" w:rsidRDefault="000B0737" w:rsidP="00AF3990">
            <w:pPr>
              <w:jc w:val="center"/>
              <w:rPr>
                <w:rFonts w:ascii="Times New Roman" w:hAnsi="Times New Roman" w:cs="Times New Roman"/>
                <w:b/>
                <w:bCs/>
                <w:color w:val="000000"/>
                <w:sz w:val="18"/>
                <w:szCs w:val="18"/>
              </w:rPr>
            </w:pPr>
            <w:r w:rsidRPr="00DD2808">
              <w:rPr>
                <w:rFonts w:ascii="Times New Roman" w:hAnsi="Times New Roman" w:cs="Times New Roman"/>
                <w:b/>
                <w:bCs/>
                <w:color w:val="000000"/>
                <w:sz w:val="18"/>
                <w:szCs w:val="18"/>
              </w:rPr>
              <w:t>2,4 (67%)</w:t>
            </w:r>
          </w:p>
        </w:tc>
        <w:tc>
          <w:tcPr>
            <w:tcW w:w="1272" w:type="dxa"/>
            <w:vAlign w:val="center"/>
          </w:tcPr>
          <w:p w:rsidR="000B0737" w:rsidRPr="00DD2808" w:rsidRDefault="000B0737" w:rsidP="00AF3990">
            <w:pPr>
              <w:jc w:val="center"/>
              <w:rPr>
                <w:rFonts w:ascii="Times New Roman" w:hAnsi="Times New Roman" w:cs="Times New Roman"/>
                <w:b/>
                <w:bCs/>
                <w:color w:val="000000"/>
                <w:sz w:val="18"/>
                <w:szCs w:val="18"/>
              </w:rPr>
            </w:pPr>
            <w:r w:rsidRPr="00DD2808">
              <w:rPr>
                <w:rFonts w:ascii="Times New Roman" w:hAnsi="Times New Roman" w:cs="Times New Roman"/>
                <w:b/>
                <w:bCs/>
                <w:color w:val="000000"/>
                <w:sz w:val="18"/>
                <w:szCs w:val="18"/>
              </w:rPr>
              <w:t>5,6</w:t>
            </w:r>
          </w:p>
        </w:tc>
        <w:tc>
          <w:tcPr>
            <w:tcW w:w="1338" w:type="dxa"/>
            <w:vAlign w:val="center"/>
          </w:tcPr>
          <w:p w:rsidR="000B0737" w:rsidRPr="00DD2808" w:rsidRDefault="000B0737" w:rsidP="00AF3990">
            <w:pPr>
              <w:jc w:val="center"/>
              <w:rPr>
                <w:rFonts w:ascii="Times New Roman" w:hAnsi="Times New Roman" w:cs="Times New Roman"/>
                <w:b/>
                <w:bCs/>
                <w:color w:val="000000"/>
                <w:sz w:val="18"/>
                <w:szCs w:val="18"/>
              </w:rPr>
            </w:pPr>
            <w:r w:rsidRPr="00DD2808">
              <w:rPr>
                <w:rFonts w:ascii="Times New Roman" w:hAnsi="Times New Roman" w:cs="Times New Roman"/>
                <w:b/>
                <w:bCs/>
                <w:color w:val="000000"/>
                <w:sz w:val="18"/>
                <w:szCs w:val="18"/>
              </w:rPr>
              <w:t>0,6 (11%)</w:t>
            </w:r>
          </w:p>
        </w:tc>
        <w:tc>
          <w:tcPr>
            <w:tcW w:w="1521" w:type="dxa"/>
            <w:vAlign w:val="center"/>
          </w:tcPr>
          <w:p w:rsidR="000B0737" w:rsidRPr="00DD2808" w:rsidRDefault="000B0737" w:rsidP="00AF3990">
            <w:pPr>
              <w:jc w:val="center"/>
              <w:rPr>
                <w:rFonts w:ascii="Times New Roman" w:hAnsi="Times New Roman" w:cs="Times New Roman"/>
                <w:b/>
                <w:bCs/>
                <w:color w:val="000000"/>
                <w:sz w:val="18"/>
                <w:szCs w:val="18"/>
              </w:rPr>
            </w:pPr>
            <w:r w:rsidRPr="00DD2808">
              <w:rPr>
                <w:rFonts w:ascii="Times New Roman" w:hAnsi="Times New Roman" w:cs="Times New Roman"/>
                <w:b/>
                <w:bCs/>
                <w:color w:val="000000"/>
                <w:sz w:val="18"/>
                <w:szCs w:val="18"/>
              </w:rPr>
              <w:t>5 (89%)</w:t>
            </w:r>
          </w:p>
        </w:tc>
      </w:tr>
    </w:tbl>
    <w:p w:rsidR="000B0737" w:rsidRDefault="000B0737" w:rsidP="000B0737">
      <w:pPr>
        <w:spacing w:line="360" w:lineRule="auto"/>
        <w:rPr>
          <w:rFonts w:ascii="Times New Roman" w:eastAsia="Times New Roman" w:hAnsi="Times New Roman" w:cs="Times New Roman"/>
          <w:sz w:val="24"/>
          <w:szCs w:val="24"/>
          <w:lang w:eastAsia="es-ES"/>
        </w:rPr>
      </w:pPr>
      <w:r w:rsidRPr="006C39B2">
        <w:rPr>
          <w:rFonts w:ascii="Times New Roman" w:eastAsia="Times New Roman" w:hAnsi="Times New Roman" w:cs="Times New Roman"/>
          <w:i/>
          <w:iCs/>
          <w:sz w:val="24"/>
          <w:szCs w:val="24"/>
          <w:lang w:eastAsia="es-ES"/>
        </w:rPr>
        <w:t xml:space="preserve">Fuente: </w:t>
      </w:r>
      <w:r w:rsidRPr="006C39B2">
        <w:rPr>
          <w:rFonts w:ascii="Calibri" w:eastAsia="Times New Roman" w:hAnsi="Calibri" w:cs="Calibri"/>
          <w:i/>
          <w:iCs/>
          <w:lang w:eastAsia="es-ES"/>
        </w:rPr>
        <w:t xml:space="preserve"> </w:t>
      </w:r>
      <w:r w:rsidRPr="006C39B2">
        <w:rPr>
          <w:rFonts w:ascii="Times New Roman" w:eastAsia="Times New Roman" w:hAnsi="Times New Roman" w:cs="Times New Roman"/>
          <w:sz w:val="24"/>
          <w:szCs w:val="24"/>
          <w:lang w:eastAsia="es-ES"/>
        </w:rPr>
        <w:t>elaboración propia</w:t>
      </w:r>
      <w:r>
        <w:rPr>
          <w:rFonts w:ascii="Times New Roman" w:eastAsia="Times New Roman" w:hAnsi="Times New Roman" w:cs="Times New Roman"/>
          <w:sz w:val="24"/>
          <w:szCs w:val="24"/>
          <w:lang w:eastAsia="es-ES"/>
        </w:rPr>
        <w:t xml:space="preserve"> basada en DEIS, CELADE &amp; ENFR</w:t>
      </w:r>
      <w:r w:rsidRPr="006C39B2">
        <w:rPr>
          <w:rFonts w:ascii="Times New Roman" w:eastAsia="Times New Roman" w:hAnsi="Times New Roman" w:cs="Times New Roman"/>
          <w:sz w:val="24"/>
          <w:szCs w:val="24"/>
          <w:lang w:eastAsia="es-ES"/>
        </w:rPr>
        <w:t>.</w:t>
      </w:r>
    </w:p>
    <w:p w:rsidR="00B068ED" w:rsidRDefault="00B068ED" w:rsidP="000B0737">
      <w:pPr>
        <w:spacing w:line="360" w:lineRule="auto"/>
        <w:jc w:val="both"/>
        <w:rPr>
          <w:rFonts w:ascii="Times New Roman" w:eastAsia="Times New Roman" w:hAnsi="Times New Roman" w:cs="Times New Roman"/>
          <w:sz w:val="24"/>
          <w:szCs w:val="24"/>
          <w:lang w:eastAsia="es-ES"/>
        </w:rPr>
      </w:pPr>
    </w:p>
    <w:p w:rsidR="000B0737" w:rsidRPr="0028303B" w:rsidRDefault="000B0737" w:rsidP="000B0737">
      <w:pPr>
        <w:spacing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Figura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ilustra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contribución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específica</w:t>
      </w:r>
      <w:r w:rsidRPr="0028303B">
        <w:rPr>
          <w:rFonts w:ascii="Times New Roman" w:hAnsi="Times New Roman" w:cs="Times New Roman"/>
          <w:sz w:val="24"/>
          <w:szCs w:val="24"/>
        </w:rPr>
        <w:t xml:space="preserve"> por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cambios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totales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w:t>
      </w:r>
      <w:r>
        <w:rPr>
          <w:rStyle w:val="ts-alignment-element"/>
          <w:rFonts w:ascii="Times New Roman" w:hAnsi="Times New Roman" w:cs="Times New Roman"/>
          <w:sz w:val="24"/>
          <w:szCs w:val="24"/>
        </w:rPr>
        <w:t>n cada período para las</w:t>
      </w:r>
      <w:r>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EVLTAD20.</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turquesa</w:t>
      </w:r>
      <w:r w:rsidRPr="0028303B">
        <w:rPr>
          <w:rStyle w:val="ts-alignment-element"/>
          <w:rFonts w:ascii="Times New Roman" w:hAnsi="Times New Roman" w:cs="Times New Roman"/>
          <w:sz w:val="24"/>
          <w:szCs w:val="24"/>
        </w:rPr>
        <w:t>,</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podemos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ver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cambio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atribuible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componente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mortalidad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puede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interpretarse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cambio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esperanza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vida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dentro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períodos)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color</w:t>
      </w:r>
      <w:r>
        <w:rPr>
          <w:rFonts w:ascii="Times New Roman" w:hAnsi="Times New Roman" w:cs="Times New Roman"/>
          <w:sz w:val="24"/>
          <w:szCs w:val="24"/>
        </w:rPr>
        <w:t xml:space="preserve"> rojo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cambios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componente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morbilidad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cambio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correspondiente</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al cambio neto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prevalencia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ansiedad/depresión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población).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igual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caso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tabla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anterior,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valores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positivos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indican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una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dentro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período,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valores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negativos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indican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un</w:t>
      </w:r>
      <w:r>
        <w:rPr>
          <w:rStyle w:val="ts-alignment-element"/>
          <w:rFonts w:ascii="Times New Roman" w:hAnsi="Times New Roman" w:cs="Times New Roman"/>
          <w:sz w:val="24"/>
          <w:szCs w:val="24"/>
        </w:rPr>
        <w:t xml:space="preserve"> retroceso.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Pr>
          <w:rStyle w:val="ts-alignment-element"/>
          <w:rFonts w:ascii="Times New Roman" w:hAnsi="Times New Roman" w:cs="Times New Roman"/>
          <w:sz w:val="24"/>
          <w:szCs w:val="24"/>
        </w:rPr>
        <w:t xml:space="preserve"> caso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los </w:t>
      </w:r>
      <w:r w:rsidRPr="0028303B">
        <w:rPr>
          <w:rStyle w:val="ts-alignment-element"/>
          <w:rFonts w:ascii="Times New Roman" w:hAnsi="Times New Roman" w:cs="Times New Roman"/>
          <w:sz w:val="24"/>
          <w:szCs w:val="24"/>
        </w:rPr>
        <w:t>hombres,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durante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lastRenderedPageBreak/>
        <w:t>período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2005-2009</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han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producido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componente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morbilidad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todos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mientras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mortalidad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han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producido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principalmente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población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40</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años</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más.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Entre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2009</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2013,</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EVLTAD20</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debido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mortalidad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tuvieron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una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distribución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similar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entre</w:t>
      </w:r>
      <w:r w:rsidRPr="0028303B">
        <w:rPr>
          <w:rFonts w:ascii="Times New Roman" w:hAnsi="Times New Roman" w:cs="Times New Roman"/>
          <w:sz w:val="24"/>
          <w:szCs w:val="24"/>
        </w:rPr>
        <w:t xml:space="preserve"> los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un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ligero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aumento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mediana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mientras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componente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morbilidad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mayores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aumentos</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ocurrieron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intermedios,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entre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40</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65</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años.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quinquenio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2013-2018,</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observ</w:t>
      </w:r>
      <w:r>
        <w:rPr>
          <w:rStyle w:val="ts-alignment-element"/>
          <w:rFonts w:ascii="Times New Roman" w:hAnsi="Times New Roman" w:cs="Times New Roman"/>
          <w:sz w:val="24"/>
          <w:szCs w:val="24"/>
        </w:rPr>
        <w:t>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aumentos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mortalidad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fueron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compensados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por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una</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caída en el componente de morbilidad</w:t>
      </w:r>
      <w:r w:rsidRPr="0028303B">
        <w:rPr>
          <w:rStyle w:val="ts-alignment-element"/>
          <w:rFonts w:ascii="Times New Roman" w:hAnsi="Times New Roman" w:cs="Times New Roman"/>
          <w:sz w:val="24"/>
          <w:szCs w:val="24"/>
        </w:rPr>
        <w:t>,</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principalmente</w:t>
      </w:r>
      <w:r>
        <w:rPr>
          <w:rStyle w:val="ts-alignment-element"/>
          <w:rFonts w:ascii="Times New Roman" w:hAnsi="Times New Roman" w:cs="Times New Roman"/>
          <w:sz w:val="24"/>
          <w:szCs w:val="24"/>
        </w:rPr>
        <w:t xml:space="preserve"> concentrados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más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jóvenes,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responsables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mayor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parte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contribución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negativa.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mujeres,</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se mencionó</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anteriormente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aumento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EV20</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entre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período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2005-2013</w:t>
      </w:r>
      <w:r>
        <w:rPr>
          <w:rFonts w:ascii="Times New Roman" w:hAnsi="Times New Roman" w:cs="Times New Roman"/>
          <w:sz w:val="24"/>
          <w:szCs w:val="24"/>
        </w:rPr>
        <w:t xml:space="preserve"> había sido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mínimo,</w:t>
      </w:r>
      <w:r>
        <w:rPr>
          <w:rStyle w:val="ts-alignment-element"/>
          <w:rFonts w:ascii="Times New Roman" w:hAnsi="Times New Roman" w:cs="Times New Roman"/>
          <w:sz w:val="24"/>
          <w:szCs w:val="24"/>
        </w:rPr>
        <w:t xml:space="preserve"> pero el aumento de la EVLTAD20 fue mucho más sensible</w:t>
      </w:r>
      <w:r w:rsidRPr="0028303B">
        <w:rPr>
          <w:rStyle w:val="ts-alignment-element"/>
          <w:rFonts w:ascii="Times New Roman" w:hAnsi="Times New Roman" w:cs="Times New Roman"/>
          <w:sz w:val="24"/>
          <w:szCs w:val="24"/>
        </w:rPr>
        <w:t>.</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descomposición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específica</w:t>
      </w:r>
      <w:r w:rsidRPr="0028303B">
        <w:rPr>
          <w:rFonts w:ascii="Times New Roman" w:hAnsi="Times New Roman" w:cs="Times New Roman"/>
          <w:sz w:val="24"/>
          <w:szCs w:val="24"/>
        </w:rPr>
        <w:t xml:space="preserve"> </w:t>
      </w:r>
      <w:r>
        <w:rPr>
          <w:rFonts w:ascii="Times New Roman" w:hAnsi="Times New Roman" w:cs="Times New Roman"/>
          <w:sz w:val="24"/>
          <w:szCs w:val="24"/>
        </w:rPr>
        <w:t>por grupos de edad sugiere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componentes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morbilidad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distribuyeron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uniformemente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todos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indica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una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situación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salud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ansiedad/depresión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Pr>
          <w:rStyle w:val="ts-alignment-element"/>
          <w:rFonts w:ascii="Times New Roman" w:hAnsi="Times New Roman" w:cs="Times New Roman"/>
          <w:sz w:val="24"/>
          <w:szCs w:val="24"/>
        </w:rPr>
        <w:t xml:space="preserve"> líneas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general</w:t>
      </w:r>
      <w:r>
        <w:rPr>
          <w:rStyle w:val="ts-alignment-element"/>
          <w:rFonts w:ascii="Times New Roman" w:hAnsi="Times New Roman" w:cs="Times New Roman"/>
          <w:sz w:val="24"/>
          <w:szCs w:val="24"/>
        </w:rPr>
        <w:t>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(aunque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entre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2005</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2009</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contribución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morbilidad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fue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ligeramente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mayor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para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mujeres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más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jóvenes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entre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2009</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2013</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para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mayor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diferencia</w:t>
      </w:r>
      <w:r w:rsidRPr="0028303B">
        <w:rPr>
          <w:rFonts w:ascii="Times New Roman" w:hAnsi="Times New Roman" w:cs="Times New Roman"/>
          <w:sz w:val="24"/>
          <w:szCs w:val="24"/>
        </w:rPr>
        <w:t xml:space="preserve"> de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hombres,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entre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2013</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2018</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mejoras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esperanza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vida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fueron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mínimas,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por</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que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reducción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EVLTAD20</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prácticamente no se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vio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mitigada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por</w:t>
      </w:r>
      <w:r>
        <w:rPr>
          <w:rFonts w:ascii="Times New Roman" w:hAnsi="Times New Roman" w:cs="Times New Roman"/>
          <w:sz w:val="24"/>
          <w:szCs w:val="24"/>
        </w:rPr>
        <w:t xml:space="preserve"> mejoras en 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componente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mortalidad,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aportes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negativos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el</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componente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morbilidad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para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prácticamente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todos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Pero</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mayoría</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esas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contribuciones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negativas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se</w:t>
      </w:r>
      <w:r>
        <w:rPr>
          <w:rFonts w:ascii="Times New Roman" w:hAnsi="Times New Roman" w:cs="Times New Roman"/>
          <w:sz w:val="24"/>
          <w:szCs w:val="24"/>
        </w:rPr>
        <w:t xml:space="preserve"> concentraron </w:t>
      </w:r>
      <w:r w:rsidRPr="0028303B">
        <w:rPr>
          <w:rStyle w:val="ts-alignment-element"/>
          <w:rFonts w:ascii="Times New Roman" w:hAnsi="Times New Roman" w:cs="Times New Roman"/>
          <w:sz w:val="24"/>
          <w:szCs w:val="24"/>
        </w:rPr>
        <w:t>en</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los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grupos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de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edad</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más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jóvenes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y</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mayores</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w:t>
      </w:r>
      <w:r>
        <w:rPr>
          <w:rStyle w:val="ts-alignment-element"/>
          <w:rFonts w:ascii="Times New Roman" w:hAnsi="Times New Roman" w:cs="Times New Roman"/>
          <w:sz w:val="24"/>
          <w:szCs w:val="24"/>
        </w:rPr>
        <w:t xml:space="preserve">siendo además </w:t>
      </w:r>
      <w:r w:rsidRPr="0028303B">
        <w:rPr>
          <w:rStyle w:val="ts-alignment-element"/>
          <w:rFonts w:ascii="Times New Roman" w:hAnsi="Times New Roman" w:cs="Times New Roman"/>
          <w:sz w:val="24"/>
          <w:szCs w:val="24"/>
        </w:rPr>
        <w:t>este</w:t>
      </w:r>
      <w:r w:rsidRPr="0028303B">
        <w:rPr>
          <w:rFonts w:ascii="Times New Roman" w:hAnsi="Times New Roman" w:cs="Times New Roman"/>
          <w:sz w:val="24"/>
          <w:szCs w:val="24"/>
        </w:rPr>
        <w:t xml:space="preserve"> </w:t>
      </w:r>
      <w:r w:rsidRPr="0028303B">
        <w:rPr>
          <w:rStyle w:val="ts-alignment-element"/>
          <w:rFonts w:ascii="Times New Roman" w:hAnsi="Times New Roman" w:cs="Times New Roman"/>
          <w:sz w:val="24"/>
          <w:szCs w:val="24"/>
        </w:rPr>
        <w:t>último</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grupo quien presentó</w:t>
      </w:r>
      <w:r w:rsidRPr="0028303B">
        <w:rPr>
          <w:rFonts w:ascii="Times New Roman" w:hAnsi="Times New Roman" w:cs="Times New Roman"/>
          <w:sz w:val="24"/>
          <w:szCs w:val="24"/>
        </w:rPr>
        <w:t xml:space="preserve"> </w:t>
      </w:r>
      <w:r>
        <w:rPr>
          <w:rStyle w:val="ts-alignment-element"/>
          <w:rFonts w:ascii="Times New Roman" w:hAnsi="Times New Roman" w:cs="Times New Roman"/>
          <w:sz w:val="24"/>
          <w:szCs w:val="24"/>
        </w:rPr>
        <w:t xml:space="preserve">mejoras en el componente de la </w:t>
      </w:r>
      <w:r w:rsidRPr="0028303B">
        <w:rPr>
          <w:rStyle w:val="ts-alignment-element"/>
          <w:rFonts w:ascii="Times New Roman" w:hAnsi="Times New Roman" w:cs="Times New Roman"/>
          <w:sz w:val="24"/>
          <w:szCs w:val="24"/>
        </w:rPr>
        <w:t>mortalidad).</w:t>
      </w:r>
    </w:p>
    <w:p w:rsidR="009417F5" w:rsidRDefault="009417F5">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0B0737" w:rsidRPr="0028303B" w:rsidRDefault="000B0737" w:rsidP="000B0737">
      <w:pPr>
        <w:spacing w:line="256" w:lineRule="auto"/>
        <w:rPr>
          <w:rFonts w:ascii="Times New Roman" w:eastAsia="Times New Roman" w:hAnsi="Times New Roman" w:cs="Times New Roman"/>
          <w:sz w:val="24"/>
          <w:szCs w:val="24"/>
          <w:lang w:eastAsia="es-ES"/>
        </w:rPr>
      </w:pPr>
      <w:r w:rsidRPr="0028303B">
        <w:rPr>
          <w:rFonts w:ascii="Times New Roman" w:eastAsia="Times New Roman" w:hAnsi="Times New Roman" w:cs="Times New Roman"/>
          <w:sz w:val="24"/>
          <w:szCs w:val="24"/>
          <w:lang w:eastAsia="es-ES"/>
        </w:rPr>
        <w:lastRenderedPageBreak/>
        <w:t>Figura 2: Contribución específica por grupos de edad a la diferencia de EVLTAD20 según sexo, 2005-18.</w:t>
      </w:r>
    </w:p>
    <w:p w:rsidR="000B0737" w:rsidRDefault="000B0737" w:rsidP="000B0737">
      <w:pPr>
        <w:spacing w:line="256" w:lineRule="auto"/>
        <w:rPr>
          <w:rFonts w:ascii="Calibri" w:eastAsia="Times New Roman" w:hAnsi="Calibri" w:cs="Calibri"/>
          <w:lang w:eastAsia="es-ES"/>
        </w:rPr>
      </w:pPr>
      <w:r w:rsidRPr="00BA2A6D">
        <w:rPr>
          <w:noProof/>
          <w:lang w:eastAsia="es-ES"/>
        </w:rPr>
        <w:drawing>
          <wp:inline distT="0" distB="0" distL="0" distR="0" wp14:anchorId="16B44D1C" wp14:editId="1DFEEA1D">
            <wp:extent cx="5400040" cy="41192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400040" cy="4119245"/>
                    </a:xfrm>
                    <a:prstGeom prst="rect">
                      <a:avLst/>
                    </a:prstGeom>
                  </pic:spPr>
                </pic:pic>
              </a:graphicData>
            </a:graphic>
          </wp:inline>
        </w:drawing>
      </w:r>
    </w:p>
    <w:p w:rsidR="000B0737" w:rsidRPr="00116760" w:rsidRDefault="000B0737" w:rsidP="000B0737">
      <w:pPr>
        <w:spacing w:line="360" w:lineRule="auto"/>
        <w:rPr>
          <w:rFonts w:ascii="Times New Roman" w:eastAsia="Times New Roman" w:hAnsi="Times New Roman" w:cs="Times New Roman"/>
          <w:sz w:val="24"/>
          <w:szCs w:val="24"/>
          <w:lang w:eastAsia="es-ES"/>
        </w:rPr>
      </w:pPr>
      <w:r w:rsidRPr="006C39B2">
        <w:rPr>
          <w:rFonts w:ascii="Times New Roman" w:eastAsia="Times New Roman" w:hAnsi="Times New Roman" w:cs="Times New Roman"/>
          <w:i/>
          <w:iCs/>
          <w:sz w:val="24"/>
          <w:szCs w:val="24"/>
          <w:lang w:eastAsia="es-ES"/>
        </w:rPr>
        <w:t xml:space="preserve">Fuente: </w:t>
      </w:r>
      <w:r w:rsidRPr="006C39B2">
        <w:rPr>
          <w:rFonts w:ascii="Calibri" w:eastAsia="Times New Roman" w:hAnsi="Calibri" w:cs="Calibri"/>
          <w:i/>
          <w:iCs/>
          <w:lang w:eastAsia="es-ES"/>
        </w:rPr>
        <w:t xml:space="preserve"> </w:t>
      </w:r>
      <w:r w:rsidRPr="006C39B2">
        <w:rPr>
          <w:rFonts w:ascii="Times New Roman" w:eastAsia="Times New Roman" w:hAnsi="Times New Roman" w:cs="Times New Roman"/>
          <w:sz w:val="24"/>
          <w:szCs w:val="24"/>
          <w:lang w:eastAsia="es-ES"/>
        </w:rPr>
        <w:t>elaboración propia</w:t>
      </w:r>
      <w:r>
        <w:rPr>
          <w:rFonts w:ascii="Times New Roman" w:eastAsia="Times New Roman" w:hAnsi="Times New Roman" w:cs="Times New Roman"/>
          <w:sz w:val="24"/>
          <w:szCs w:val="24"/>
          <w:lang w:eastAsia="es-ES"/>
        </w:rPr>
        <w:t xml:space="preserve"> basada en DEIS, CELADE &amp; ENFR</w:t>
      </w:r>
      <w:r w:rsidRPr="006C39B2">
        <w:rPr>
          <w:rFonts w:ascii="Times New Roman" w:eastAsia="Times New Roman" w:hAnsi="Times New Roman" w:cs="Times New Roman"/>
          <w:sz w:val="24"/>
          <w:szCs w:val="24"/>
          <w:lang w:eastAsia="es-ES"/>
        </w:rPr>
        <w:t>.</w:t>
      </w:r>
    </w:p>
    <w:p w:rsidR="000B0737" w:rsidRPr="00956109" w:rsidRDefault="000B0737" w:rsidP="000B0737">
      <w:pPr>
        <w:spacing w:line="256" w:lineRule="auto"/>
        <w:rPr>
          <w:rFonts w:ascii="Calibri" w:eastAsia="Times New Roman" w:hAnsi="Calibri" w:cs="Calibri"/>
          <w:lang w:eastAsia="es-ES"/>
        </w:rPr>
      </w:pPr>
    </w:p>
    <w:p w:rsidR="000B0737" w:rsidRPr="0028303B" w:rsidRDefault="000B0737" w:rsidP="000B0737">
      <w:pPr>
        <w:shd w:val="clear" w:color="auto" w:fill="FDFDFD"/>
        <w:spacing w:after="0" w:line="360" w:lineRule="auto"/>
        <w:jc w:val="both"/>
        <w:rPr>
          <w:rFonts w:ascii="Times New Roman" w:eastAsia="Times New Roman" w:hAnsi="Times New Roman" w:cs="Times New Roman"/>
          <w:i/>
          <w:sz w:val="24"/>
          <w:szCs w:val="24"/>
        </w:rPr>
      </w:pPr>
      <w:r w:rsidRPr="0028303B">
        <w:rPr>
          <w:rFonts w:ascii="Times New Roman" w:eastAsia="Times New Roman" w:hAnsi="Times New Roman" w:cs="Times New Roman"/>
          <w:i/>
          <w:sz w:val="24"/>
          <w:szCs w:val="24"/>
        </w:rPr>
        <w:t>Discusión</w:t>
      </w:r>
      <w:r>
        <w:rPr>
          <w:rFonts w:ascii="Times New Roman" w:eastAsia="Times New Roman" w:hAnsi="Times New Roman" w:cs="Times New Roman"/>
          <w:i/>
          <w:sz w:val="24"/>
          <w:szCs w:val="24"/>
        </w:rPr>
        <w:t>:</w:t>
      </w:r>
      <w:r w:rsidRPr="0028303B">
        <w:rPr>
          <w:rFonts w:ascii="Times New Roman" w:eastAsia="Times New Roman" w:hAnsi="Times New Roman" w:cs="Times New Roman"/>
          <w:i/>
          <w:sz w:val="24"/>
          <w:szCs w:val="24"/>
        </w:rPr>
        <w:t xml:space="preserve"> </w:t>
      </w:r>
    </w:p>
    <w:p w:rsidR="000B0737" w:rsidRPr="0028303B" w:rsidRDefault="000B0737" w:rsidP="000B0737">
      <w:pPr>
        <w:shd w:val="clear" w:color="auto" w:fill="FDFDFD"/>
        <w:spacing w:after="0" w:line="360" w:lineRule="auto"/>
        <w:jc w:val="both"/>
        <w:rPr>
          <w:rFonts w:ascii="Times New Roman" w:eastAsia="Times New Roman" w:hAnsi="Times New Roman" w:cs="Times New Roman"/>
          <w:sz w:val="24"/>
          <w:szCs w:val="24"/>
        </w:rPr>
      </w:pP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8303B">
        <w:rPr>
          <w:rFonts w:ascii="Times New Roman" w:eastAsia="Times New Roman" w:hAnsi="Times New Roman" w:cs="Times New Roman"/>
          <w:sz w:val="24"/>
          <w:szCs w:val="24"/>
        </w:rPr>
        <w:t>Este estudio tuvo como objetivo cuantificar la esperanza de vida libre de trastornos de ansiedad/depresión (</w:t>
      </w:r>
      <w:r>
        <w:rPr>
          <w:rFonts w:ascii="Times New Roman" w:eastAsia="Times New Roman" w:hAnsi="Times New Roman" w:cs="Times New Roman"/>
          <w:sz w:val="24"/>
          <w:szCs w:val="24"/>
        </w:rPr>
        <w:t>EVLTAD)</w:t>
      </w:r>
      <w:r w:rsidRPr="0028303B">
        <w:rPr>
          <w:rFonts w:ascii="Times New Roman" w:eastAsia="Times New Roman" w:hAnsi="Times New Roman" w:cs="Times New Roman"/>
          <w:sz w:val="24"/>
          <w:szCs w:val="24"/>
        </w:rPr>
        <w:t xml:space="preserve"> para adultos en Argentina </w:t>
      </w:r>
      <w:r>
        <w:rPr>
          <w:rFonts w:ascii="Times New Roman" w:eastAsia="Times New Roman" w:hAnsi="Times New Roman" w:cs="Times New Roman"/>
          <w:sz w:val="24"/>
          <w:szCs w:val="24"/>
        </w:rPr>
        <w:t>y monitorear</w:t>
      </w:r>
      <w:r w:rsidRPr="0028303B">
        <w:rPr>
          <w:rFonts w:ascii="Times New Roman" w:eastAsia="Times New Roman" w:hAnsi="Times New Roman" w:cs="Times New Roman"/>
          <w:sz w:val="24"/>
          <w:szCs w:val="24"/>
        </w:rPr>
        <w:t xml:space="preserve"> sus cambios en los últimos años. Como era de esperar, durante 2005-18 el aumento de ADFLE fue acompañado por un aumento en la esperanza de vida general (LE), dado que estos indicadores están fuertemente correlacionados entre sí. Sin embargo, se identificó que durante los cinco años entre 2013 y 2018 la esperanza de vida aumentó, pero el ADFLE disminuyó para ambos sexos. A través de la aplicación de un procedimiento de descomposición matemática, se observó que durante el período 2005-2013 el aumento de ADFLE no sólo se debió a una mejora en la mortalidad, sino principalmente debido a una mejora general en la salud de la población en cuanto a la presencia de trastornos de ansiedad/depresión. Esto significa, que no sólo las </w:t>
      </w:r>
      <w:r w:rsidRPr="0028303B">
        <w:rPr>
          <w:rFonts w:ascii="Times New Roman" w:eastAsia="Times New Roman" w:hAnsi="Times New Roman" w:cs="Times New Roman"/>
          <w:sz w:val="24"/>
          <w:szCs w:val="24"/>
        </w:rPr>
        <w:lastRenderedPageBreak/>
        <w:t>personas vivieron más tiempo, sino también</w:t>
      </w:r>
      <w:r>
        <w:rPr>
          <w:rFonts w:ascii="Times New Roman" w:eastAsia="Times New Roman" w:hAnsi="Times New Roman" w:cs="Times New Roman"/>
          <w:sz w:val="24"/>
          <w:szCs w:val="24"/>
        </w:rPr>
        <w:t xml:space="preserve"> de manera</w:t>
      </w:r>
      <w:r w:rsidRPr="0028303B">
        <w:rPr>
          <w:rFonts w:ascii="Times New Roman" w:eastAsia="Times New Roman" w:hAnsi="Times New Roman" w:cs="Times New Roman"/>
          <w:sz w:val="24"/>
          <w:szCs w:val="24"/>
        </w:rPr>
        <w:t xml:space="preserve"> más saludable durante ese tiempo, particularmente las mujeres,</w:t>
      </w:r>
      <w:r>
        <w:rPr>
          <w:rFonts w:ascii="Times New Roman" w:eastAsia="Times New Roman" w:hAnsi="Times New Roman" w:cs="Times New Roman"/>
          <w:sz w:val="24"/>
          <w:szCs w:val="24"/>
        </w:rPr>
        <w:t xml:space="preserve"> en</w:t>
      </w:r>
      <w:r w:rsidRPr="0028303B">
        <w:rPr>
          <w:rFonts w:ascii="Times New Roman" w:eastAsia="Times New Roman" w:hAnsi="Times New Roman" w:cs="Times New Roman"/>
          <w:sz w:val="24"/>
          <w:szCs w:val="24"/>
        </w:rPr>
        <w:t xml:space="preserve"> donde el componente de morbilidad explicó casi la totalidad del cambio en ADFLE. </w:t>
      </w:r>
      <w:r>
        <w:rPr>
          <w:rFonts w:ascii="Times New Roman" w:eastAsia="Times New Roman" w:hAnsi="Times New Roman" w:cs="Times New Roman"/>
          <w:sz w:val="24"/>
          <w:szCs w:val="24"/>
        </w:rPr>
        <w:t xml:space="preserve">A pesar de estas mejoras, cabe señalar que la proporción del tiempo vivido con trastornos de ansiedad/depresión siguió siendo mayor para las mujeres en comparación a los hombres, reflejando dicha tensión entre longevidad y calidad de vida. </w:t>
      </w:r>
      <w:proofErr w:type="gramStart"/>
      <w:r>
        <w:rPr>
          <w:rFonts w:ascii="Times New Roman" w:eastAsia="Times New Roman" w:hAnsi="Times New Roman" w:cs="Times New Roman"/>
          <w:sz w:val="24"/>
          <w:szCs w:val="24"/>
        </w:rPr>
        <w:t>Pero</w:t>
      </w:r>
      <w:proofErr w:type="gramEnd"/>
      <w:r>
        <w:rPr>
          <w:rFonts w:ascii="Times New Roman" w:eastAsia="Times New Roman" w:hAnsi="Times New Roman" w:cs="Times New Roman"/>
          <w:sz w:val="24"/>
          <w:szCs w:val="24"/>
        </w:rPr>
        <w:t xml:space="preserve"> por otra parte, la proporción del tiempo vivido con trastornos de ansiedad/depresión ha sido menor, abriendo la puerta a un escenario en donde la morbilidad de esta clase de trastornos se ha comprimido.</w:t>
      </w:r>
    </w:p>
    <w:p w:rsidR="000B0737" w:rsidRDefault="000B0737" w:rsidP="000B0737">
      <w:pPr>
        <w:shd w:val="clear" w:color="auto" w:fill="FDFDFD"/>
        <w:spacing w:after="0" w:line="360" w:lineRule="auto"/>
        <w:jc w:val="both"/>
        <w:rPr>
          <w:rFonts w:ascii="Times New Roman" w:eastAsia="Times New Roman" w:hAnsi="Times New Roman" w:cs="Times New Roman"/>
          <w:sz w:val="24"/>
          <w:szCs w:val="24"/>
        </w:rPr>
      </w:pPr>
      <w:r w:rsidRPr="0028303B">
        <w:rPr>
          <w:rFonts w:ascii="Times New Roman" w:eastAsia="Times New Roman" w:hAnsi="Times New Roman" w:cs="Times New Roman"/>
          <w:sz w:val="24"/>
          <w:szCs w:val="24"/>
        </w:rPr>
        <w:t xml:space="preserve">Sin embargo, durante 2013-2018 hubo un aumento generalizado en la prevalencia, acompañado de una disminución en </w:t>
      </w:r>
      <w:r>
        <w:rPr>
          <w:rFonts w:ascii="Times New Roman" w:eastAsia="Times New Roman" w:hAnsi="Times New Roman" w:cs="Times New Roman"/>
          <w:sz w:val="24"/>
          <w:szCs w:val="24"/>
        </w:rPr>
        <w:t>la EVLTAD</w:t>
      </w:r>
      <w:r w:rsidRPr="0028303B">
        <w:rPr>
          <w:rFonts w:ascii="Times New Roman" w:eastAsia="Times New Roman" w:hAnsi="Times New Roman" w:cs="Times New Roman"/>
          <w:sz w:val="24"/>
          <w:szCs w:val="24"/>
        </w:rPr>
        <w:t xml:space="preserve">, que sería aún </w:t>
      </w:r>
      <w:r>
        <w:rPr>
          <w:rFonts w:ascii="Times New Roman" w:eastAsia="Times New Roman" w:hAnsi="Times New Roman" w:cs="Times New Roman"/>
          <w:sz w:val="24"/>
          <w:szCs w:val="24"/>
        </w:rPr>
        <w:t>mayor</w:t>
      </w:r>
      <w:r w:rsidRPr="0028303B">
        <w:rPr>
          <w:rFonts w:ascii="Times New Roman" w:eastAsia="Times New Roman" w:hAnsi="Times New Roman" w:cs="Times New Roman"/>
          <w:sz w:val="24"/>
          <w:szCs w:val="24"/>
        </w:rPr>
        <w:t xml:space="preserve"> si no fuera por un aumento en la LE general durante ese período. Las causas de la contracción de</w:t>
      </w:r>
      <w:r>
        <w:rPr>
          <w:rFonts w:ascii="Times New Roman" w:eastAsia="Times New Roman" w:hAnsi="Times New Roman" w:cs="Times New Roman"/>
          <w:sz w:val="24"/>
          <w:szCs w:val="24"/>
        </w:rPr>
        <w:t xml:space="preserve"> la ELVTAD</w:t>
      </w:r>
      <w:r w:rsidRPr="0028303B">
        <w:rPr>
          <w:rFonts w:ascii="Times New Roman" w:eastAsia="Times New Roman" w:hAnsi="Times New Roman" w:cs="Times New Roman"/>
          <w:sz w:val="24"/>
          <w:szCs w:val="24"/>
        </w:rPr>
        <w:t xml:space="preserve"> no están claras y no se pueden inferir de los resultados de este estudio. Sin embargo, es plausible pensar que el escenario de inestabilidad económica y social en el que la Argentina ha estado involucrada durante la última década podría estar relacionado de alguna manera. Este escenario de recesión prolongada, alto nivel de inflación, devaluación de la moneda y deterioro de las condiciones de vida en general, que se intensificó durante los últimos años, podría tener una incidencia en la salud mental de la población. Las situaciones económicas desfavorables se han asociado en el pasado con una mayor proporción de la población que presenta trastornos del estado de ánimo como la depresión o la ansiedad (Evans-</w:t>
      </w:r>
      <w:proofErr w:type="spellStart"/>
      <w:r w:rsidRPr="0028303B">
        <w:rPr>
          <w:rFonts w:ascii="Times New Roman" w:eastAsia="Times New Roman" w:hAnsi="Times New Roman" w:cs="Times New Roman"/>
          <w:sz w:val="24"/>
          <w:szCs w:val="24"/>
        </w:rPr>
        <w:t>Lacko</w:t>
      </w:r>
      <w:proofErr w:type="spellEnd"/>
      <w:r w:rsidRPr="0028303B">
        <w:rPr>
          <w:rFonts w:ascii="Times New Roman" w:eastAsia="Times New Roman" w:hAnsi="Times New Roman" w:cs="Times New Roman"/>
          <w:sz w:val="24"/>
          <w:szCs w:val="24"/>
        </w:rPr>
        <w:t xml:space="preserve"> et al., 2013; </w:t>
      </w:r>
      <w:proofErr w:type="spellStart"/>
      <w:r w:rsidRPr="0028303B">
        <w:rPr>
          <w:rFonts w:ascii="Times New Roman" w:eastAsia="Times New Roman" w:hAnsi="Times New Roman" w:cs="Times New Roman"/>
          <w:sz w:val="24"/>
          <w:szCs w:val="24"/>
        </w:rPr>
        <w:t>Frasquilho</w:t>
      </w:r>
      <w:proofErr w:type="spellEnd"/>
      <w:r w:rsidRPr="0028303B">
        <w:rPr>
          <w:rFonts w:ascii="Times New Roman" w:eastAsia="Times New Roman" w:hAnsi="Times New Roman" w:cs="Times New Roman"/>
          <w:sz w:val="24"/>
          <w:szCs w:val="24"/>
        </w:rPr>
        <w:t xml:space="preserve"> et al., 2016; Moncho et al., 2018, entre otros) y </w:t>
      </w:r>
      <w:r>
        <w:rPr>
          <w:rFonts w:ascii="Times New Roman" w:eastAsia="Times New Roman" w:hAnsi="Times New Roman" w:cs="Times New Roman"/>
          <w:sz w:val="24"/>
          <w:szCs w:val="24"/>
        </w:rPr>
        <w:t>bien podría ser el caso</w:t>
      </w:r>
      <w:r w:rsidRPr="0028303B">
        <w:rPr>
          <w:rFonts w:ascii="Times New Roman" w:eastAsia="Times New Roman" w:hAnsi="Times New Roman" w:cs="Times New Roman"/>
          <w:sz w:val="24"/>
          <w:szCs w:val="24"/>
        </w:rPr>
        <w:t xml:space="preserve">. Cabe señalar que una parte </w:t>
      </w:r>
      <w:r>
        <w:rPr>
          <w:rFonts w:ascii="Times New Roman" w:eastAsia="Times New Roman" w:hAnsi="Times New Roman" w:cs="Times New Roman"/>
          <w:sz w:val="24"/>
          <w:szCs w:val="24"/>
        </w:rPr>
        <w:t xml:space="preserve">importante </w:t>
      </w:r>
      <w:r w:rsidRPr="0028303B">
        <w:rPr>
          <w:rFonts w:ascii="Times New Roman" w:eastAsia="Times New Roman" w:hAnsi="Times New Roman" w:cs="Times New Roman"/>
          <w:sz w:val="24"/>
          <w:szCs w:val="24"/>
        </w:rPr>
        <w:t xml:space="preserve">de las contribuciones negativas en el componente de morbilidad durante </w:t>
      </w:r>
      <w:r>
        <w:rPr>
          <w:rFonts w:ascii="Times New Roman" w:eastAsia="Times New Roman" w:hAnsi="Times New Roman" w:cs="Times New Roman"/>
          <w:sz w:val="24"/>
          <w:szCs w:val="24"/>
        </w:rPr>
        <w:t>este quinquenio</w:t>
      </w:r>
      <w:r w:rsidRPr="00283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concentraron</w:t>
      </w:r>
      <w:r w:rsidRPr="0028303B">
        <w:rPr>
          <w:rFonts w:ascii="Times New Roman" w:eastAsia="Times New Roman" w:hAnsi="Times New Roman" w:cs="Times New Roman"/>
          <w:sz w:val="24"/>
          <w:szCs w:val="24"/>
        </w:rPr>
        <w:t xml:space="preserve"> en los grupos de edad más jóvenes, que suelen ser los que están</w:t>
      </w:r>
      <w:r>
        <w:rPr>
          <w:rFonts w:ascii="Times New Roman" w:eastAsia="Times New Roman" w:hAnsi="Times New Roman" w:cs="Times New Roman"/>
          <w:sz w:val="24"/>
          <w:szCs w:val="24"/>
        </w:rPr>
        <w:t xml:space="preserve"> más</w:t>
      </w:r>
      <w:r w:rsidRPr="0028303B">
        <w:rPr>
          <w:rFonts w:ascii="Times New Roman" w:eastAsia="Times New Roman" w:hAnsi="Times New Roman" w:cs="Times New Roman"/>
          <w:sz w:val="24"/>
          <w:szCs w:val="24"/>
        </w:rPr>
        <w:t xml:space="preserve"> expuestos a los eventos</w:t>
      </w:r>
      <w:r>
        <w:rPr>
          <w:rFonts w:ascii="Times New Roman" w:eastAsia="Times New Roman" w:hAnsi="Times New Roman" w:cs="Times New Roman"/>
          <w:sz w:val="24"/>
          <w:szCs w:val="24"/>
        </w:rPr>
        <w:t xml:space="preserve"> negativos</w:t>
      </w:r>
      <w:r w:rsidRPr="00283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una situación de inestabilidad</w:t>
      </w:r>
      <w:r w:rsidRPr="0028303B">
        <w:rPr>
          <w:rFonts w:ascii="Times New Roman" w:eastAsia="Times New Roman" w:hAnsi="Times New Roman" w:cs="Times New Roman"/>
          <w:sz w:val="24"/>
          <w:szCs w:val="24"/>
        </w:rPr>
        <w:t xml:space="preserve"> económica. Por lo tanto, también es posible que una vez que la situación </w:t>
      </w:r>
      <w:r>
        <w:rPr>
          <w:rFonts w:ascii="Times New Roman" w:eastAsia="Times New Roman" w:hAnsi="Times New Roman" w:cs="Times New Roman"/>
          <w:sz w:val="24"/>
          <w:szCs w:val="24"/>
        </w:rPr>
        <w:t>financiera de Argentina encuentre una nueva estabilidad</w:t>
      </w:r>
      <w:r w:rsidRPr="0028303B">
        <w:rPr>
          <w:rFonts w:ascii="Times New Roman" w:eastAsia="Times New Roman" w:hAnsi="Times New Roman" w:cs="Times New Roman"/>
          <w:sz w:val="24"/>
          <w:szCs w:val="24"/>
        </w:rPr>
        <w:t xml:space="preserve">, la prevalencia de este tipo de </w:t>
      </w:r>
      <w:r>
        <w:rPr>
          <w:rFonts w:ascii="Times New Roman" w:eastAsia="Times New Roman" w:hAnsi="Times New Roman" w:cs="Times New Roman"/>
          <w:sz w:val="24"/>
          <w:szCs w:val="24"/>
        </w:rPr>
        <w:t>trastornos de salud retome su senda descendente</w:t>
      </w:r>
      <w:r w:rsidRPr="0028303B">
        <w:rPr>
          <w:rFonts w:ascii="Times New Roman" w:eastAsia="Times New Roman" w:hAnsi="Times New Roman" w:cs="Times New Roman"/>
          <w:sz w:val="24"/>
          <w:szCs w:val="24"/>
        </w:rPr>
        <w:t>. Una hipótesis alternativa sugeriría que el proceso de envejecimiento simplemente conduce a un escenario de expansión de la morbilidad una vez que se ha alcanzado un cierto punto, donde los aumentos en la longevidad no ocurren al mismo ritmo que los aumentos en la prevalencia de una condición particular (</w:t>
      </w:r>
      <w:proofErr w:type="spellStart"/>
      <w:r w:rsidRPr="0028303B">
        <w:rPr>
          <w:rFonts w:ascii="Times New Roman" w:eastAsia="Times New Roman" w:hAnsi="Times New Roman" w:cs="Times New Roman"/>
          <w:sz w:val="24"/>
          <w:szCs w:val="24"/>
        </w:rPr>
        <w:t>Salomon</w:t>
      </w:r>
      <w:proofErr w:type="spellEnd"/>
      <w:r w:rsidRPr="0028303B">
        <w:rPr>
          <w:rFonts w:ascii="Times New Roman" w:eastAsia="Times New Roman" w:hAnsi="Times New Roman" w:cs="Times New Roman"/>
          <w:sz w:val="24"/>
          <w:szCs w:val="24"/>
        </w:rPr>
        <w:t xml:space="preserve"> et al., 2012). Sin embargo, creemos que la definición en este artículo de la presencia de ansiedad/trastornos depresivos se refiere más a una condición temporal que a una </w:t>
      </w:r>
      <w:r>
        <w:rPr>
          <w:rFonts w:ascii="Times New Roman" w:eastAsia="Times New Roman" w:hAnsi="Times New Roman" w:cs="Times New Roman"/>
          <w:sz w:val="24"/>
          <w:szCs w:val="24"/>
        </w:rPr>
        <w:t xml:space="preserve">condición necesariamente </w:t>
      </w:r>
      <w:r w:rsidRPr="0028303B">
        <w:rPr>
          <w:rFonts w:ascii="Times New Roman" w:eastAsia="Times New Roman" w:hAnsi="Times New Roman" w:cs="Times New Roman"/>
          <w:sz w:val="24"/>
          <w:szCs w:val="24"/>
        </w:rPr>
        <w:t>crónica, lo que probablemente requeriría una caracterización más</w:t>
      </w:r>
      <w:r>
        <w:rPr>
          <w:rFonts w:ascii="Times New Roman" w:eastAsia="Times New Roman" w:hAnsi="Times New Roman" w:cs="Times New Roman"/>
          <w:sz w:val="24"/>
          <w:szCs w:val="24"/>
        </w:rPr>
        <w:t xml:space="preserve"> selectiva</w:t>
      </w:r>
      <w:r w:rsidRPr="0028303B">
        <w:rPr>
          <w:rFonts w:ascii="Times New Roman" w:eastAsia="Times New Roman" w:hAnsi="Times New Roman" w:cs="Times New Roman"/>
          <w:sz w:val="24"/>
          <w:szCs w:val="24"/>
        </w:rPr>
        <w:t xml:space="preserve"> de las variables elegidas</w:t>
      </w:r>
      <w:r>
        <w:rPr>
          <w:rFonts w:ascii="Times New Roman" w:eastAsia="Times New Roman" w:hAnsi="Times New Roman" w:cs="Times New Roman"/>
          <w:sz w:val="24"/>
          <w:szCs w:val="24"/>
        </w:rPr>
        <w:t xml:space="preserve"> para caracterizar la presencia de </w:t>
      </w:r>
      <w:r>
        <w:rPr>
          <w:rFonts w:ascii="Times New Roman" w:eastAsia="Times New Roman" w:hAnsi="Times New Roman" w:cs="Times New Roman"/>
          <w:sz w:val="24"/>
          <w:szCs w:val="24"/>
        </w:rPr>
        <w:lastRenderedPageBreak/>
        <w:t>trastornos de ansieda</w:t>
      </w:r>
      <w:r w:rsidR="00127C9C">
        <w:rPr>
          <w:rFonts w:ascii="Times New Roman" w:eastAsia="Times New Roman" w:hAnsi="Times New Roman" w:cs="Times New Roman"/>
          <w:sz w:val="24"/>
          <w:szCs w:val="24"/>
        </w:rPr>
        <w:t>d</w:t>
      </w:r>
      <w:r>
        <w:rPr>
          <w:rFonts w:ascii="Times New Roman" w:eastAsia="Times New Roman" w:hAnsi="Times New Roman" w:cs="Times New Roman"/>
          <w:sz w:val="24"/>
          <w:szCs w:val="24"/>
        </w:rPr>
        <w:t>/depresión (por ejemplo, sólo considerar la depresión crónica)</w:t>
      </w:r>
      <w:r w:rsidRPr="0028303B">
        <w:rPr>
          <w:rFonts w:ascii="Times New Roman" w:eastAsia="Times New Roman" w:hAnsi="Times New Roman" w:cs="Times New Roman"/>
          <w:sz w:val="24"/>
          <w:szCs w:val="24"/>
        </w:rPr>
        <w:t>. Por lo tanto, no podemos determinar todavía si este efecto es temporal o parte de una nueva tendencia. También cabe mencionar que la imposibilidad de contar con datos de mortalidad desagregados por alguna característica individual (como el nivel de ingresos o el nivel educativo de la población) no</w:t>
      </w:r>
      <w:r>
        <w:rPr>
          <w:rFonts w:ascii="Times New Roman" w:eastAsia="Times New Roman" w:hAnsi="Times New Roman" w:cs="Times New Roman"/>
          <w:sz w:val="24"/>
          <w:szCs w:val="24"/>
        </w:rPr>
        <w:t xml:space="preserve"> ha permitido</w:t>
      </w:r>
      <w:r w:rsidRPr="0028303B">
        <w:rPr>
          <w:rFonts w:ascii="Times New Roman" w:eastAsia="Times New Roman" w:hAnsi="Times New Roman" w:cs="Times New Roman"/>
          <w:sz w:val="24"/>
          <w:szCs w:val="24"/>
        </w:rPr>
        <w:t xml:space="preserve"> visualizar si existe algún grupo socioeconómico en particular que haya contribuido </w:t>
      </w:r>
      <w:r>
        <w:rPr>
          <w:rFonts w:ascii="Times New Roman" w:eastAsia="Times New Roman" w:hAnsi="Times New Roman" w:cs="Times New Roman"/>
          <w:sz w:val="24"/>
          <w:szCs w:val="24"/>
        </w:rPr>
        <w:t>en mayor o menor medida</w:t>
      </w:r>
      <w:r w:rsidRPr="0028303B">
        <w:rPr>
          <w:rFonts w:ascii="Times New Roman" w:eastAsia="Times New Roman" w:hAnsi="Times New Roman" w:cs="Times New Roman"/>
          <w:sz w:val="24"/>
          <w:szCs w:val="24"/>
        </w:rPr>
        <w:t xml:space="preserve"> al cambio en la tendencia general de</w:t>
      </w:r>
      <w:r>
        <w:rPr>
          <w:rFonts w:ascii="Times New Roman" w:eastAsia="Times New Roman" w:hAnsi="Times New Roman" w:cs="Times New Roman"/>
          <w:sz w:val="24"/>
          <w:szCs w:val="24"/>
        </w:rPr>
        <w:t xml:space="preserve"> la EVLTAD</w:t>
      </w:r>
      <w:r w:rsidRPr="0028303B">
        <w:rPr>
          <w:rFonts w:ascii="Times New Roman" w:eastAsia="Times New Roman" w:hAnsi="Times New Roman" w:cs="Times New Roman"/>
          <w:sz w:val="24"/>
          <w:szCs w:val="24"/>
        </w:rPr>
        <w:t xml:space="preserve">. Sin embargo, </w:t>
      </w:r>
      <w:r>
        <w:rPr>
          <w:rFonts w:ascii="Times New Roman" w:eastAsia="Times New Roman" w:hAnsi="Times New Roman" w:cs="Times New Roman"/>
          <w:sz w:val="24"/>
          <w:szCs w:val="24"/>
        </w:rPr>
        <w:t>futuros</w:t>
      </w:r>
      <w:r w:rsidRPr="0028303B">
        <w:rPr>
          <w:rFonts w:ascii="Times New Roman" w:eastAsia="Times New Roman" w:hAnsi="Times New Roman" w:cs="Times New Roman"/>
          <w:sz w:val="24"/>
          <w:szCs w:val="24"/>
        </w:rPr>
        <w:t xml:space="preserve"> análisis de las diferentes ENFR nos permitirían potencialmente producir otro tipo de indicadores (Regidor, 2004a, 2004b) capaces de monitorear las desigualdades socioeconómicas en salud en Argentina</w:t>
      </w:r>
      <w:r>
        <w:rPr>
          <w:rFonts w:ascii="Times New Roman" w:eastAsia="Times New Roman" w:hAnsi="Times New Roman" w:cs="Times New Roman"/>
          <w:sz w:val="24"/>
          <w:szCs w:val="24"/>
        </w:rPr>
        <w:t xml:space="preserve"> con respecto a trastornos de tipo mental/anímico</w:t>
      </w:r>
      <w:r w:rsidRPr="0028303B">
        <w:rPr>
          <w:rFonts w:ascii="Times New Roman" w:eastAsia="Times New Roman" w:hAnsi="Times New Roman" w:cs="Times New Roman"/>
          <w:sz w:val="24"/>
          <w:szCs w:val="24"/>
        </w:rPr>
        <w:t>. A pesar de estas limitaciones, este estudio ha logrado producir estimaciones de esperanzas de vida libres de trastornos de ansiedad/depresión para adultos en Argentina, mostrando que durante 2005 y 2018 este indicador ha tendido a aumentar (a pesar de una contracción en los últimos años), que dicho aumento fue mayor para las mujeres que para los hombres, y que ocurrió en todos los grupos de edad.</w:t>
      </w:r>
      <w:r>
        <w:rPr>
          <w:rFonts w:ascii="Times New Roman" w:eastAsia="Times New Roman" w:hAnsi="Times New Roman" w:cs="Times New Roman"/>
          <w:sz w:val="24"/>
          <w:szCs w:val="24"/>
        </w:rPr>
        <w:t xml:space="preserve"> </w:t>
      </w:r>
      <w:r w:rsidRPr="0028303B">
        <w:rPr>
          <w:rFonts w:ascii="Times New Roman" w:eastAsia="Times New Roman" w:hAnsi="Times New Roman" w:cs="Times New Roman"/>
          <w:sz w:val="24"/>
          <w:szCs w:val="24"/>
        </w:rPr>
        <w:t xml:space="preserve">Además, </w:t>
      </w:r>
      <w:r>
        <w:rPr>
          <w:rFonts w:ascii="Times New Roman" w:eastAsia="Times New Roman" w:hAnsi="Times New Roman" w:cs="Times New Roman"/>
          <w:sz w:val="24"/>
          <w:szCs w:val="24"/>
        </w:rPr>
        <w:t>pese a</w:t>
      </w:r>
      <w:r w:rsidRPr="0028303B">
        <w:rPr>
          <w:rFonts w:ascii="Times New Roman" w:eastAsia="Times New Roman" w:hAnsi="Times New Roman" w:cs="Times New Roman"/>
          <w:sz w:val="24"/>
          <w:szCs w:val="24"/>
        </w:rPr>
        <w:t xml:space="preserve"> no poder proporcionar satisfactoriamente una respuesta definitiva</w:t>
      </w:r>
      <w:r>
        <w:rPr>
          <w:rFonts w:ascii="Times New Roman" w:eastAsia="Times New Roman" w:hAnsi="Times New Roman" w:cs="Times New Roman"/>
          <w:sz w:val="24"/>
          <w:szCs w:val="24"/>
        </w:rPr>
        <w:t xml:space="preserve"> a la situación presentada para Argentina</w:t>
      </w:r>
      <w:r w:rsidRPr="0028303B">
        <w:rPr>
          <w:rFonts w:ascii="Times New Roman" w:eastAsia="Times New Roman" w:hAnsi="Times New Roman" w:cs="Times New Roman"/>
          <w:sz w:val="24"/>
          <w:szCs w:val="24"/>
        </w:rPr>
        <w:t xml:space="preserve">, la introducción de la cuestión de la expansión/compresión de la morbilidad en los trastornos mentales </w:t>
      </w:r>
      <w:r>
        <w:rPr>
          <w:rFonts w:ascii="Times New Roman" w:eastAsia="Times New Roman" w:hAnsi="Times New Roman" w:cs="Times New Roman"/>
          <w:sz w:val="24"/>
          <w:szCs w:val="24"/>
        </w:rPr>
        <w:t>merece consideración como herramienta teórica.</w:t>
      </w:r>
      <w:r w:rsidRPr="0028303B">
        <w:rPr>
          <w:rFonts w:ascii="Times New Roman" w:eastAsia="Times New Roman" w:hAnsi="Times New Roman" w:cs="Times New Roman"/>
          <w:sz w:val="24"/>
          <w:szCs w:val="24"/>
        </w:rPr>
        <w:t xml:space="preserve"> No solo porque, se espera que </w:t>
      </w:r>
      <w:r>
        <w:rPr>
          <w:rFonts w:ascii="Times New Roman" w:eastAsia="Times New Roman" w:hAnsi="Times New Roman" w:cs="Times New Roman"/>
          <w:sz w:val="24"/>
          <w:szCs w:val="24"/>
        </w:rPr>
        <w:t xml:space="preserve">los trastornos mentales/anímicos </w:t>
      </w:r>
      <w:r w:rsidRPr="0028303B">
        <w:rPr>
          <w:rFonts w:ascii="Times New Roman" w:eastAsia="Times New Roman" w:hAnsi="Times New Roman" w:cs="Times New Roman"/>
          <w:sz w:val="24"/>
          <w:szCs w:val="24"/>
        </w:rPr>
        <w:t>sean de los principales impulsores de la discapacidad en el futuro, sino también porque</w:t>
      </w:r>
      <w:r>
        <w:rPr>
          <w:rFonts w:ascii="Times New Roman" w:eastAsia="Times New Roman" w:hAnsi="Times New Roman" w:cs="Times New Roman"/>
          <w:sz w:val="24"/>
          <w:szCs w:val="24"/>
        </w:rPr>
        <w:t>, pese a ello, suelen ser pasados por alto en el análisis demográfico haciendo lugar a</w:t>
      </w:r>
      <w:r w:rsidRPr="0028303B">
        <w:rPr>
          <w:rFonts w:ascii="Times New Roman" w:eastAsia="Times New Roman" w:hAnsi="Times New Roman" w:cs="Times New Roman"/>
          <w:sz w:val="24"/>
          <w:szCs w:val="24"/>
        </w:rPr>
        <w:t xml:space="preserve"> otros indicadores más generales de limitaciones físicas como GALI (</w:t>
      </w:r>
      <w:proofErr w:type="spellStart"/>
      <w:r w:rsidRPr="0028303B">
        <w:rPr>
          <w:rFonts w:ascii="Times New Roman" w:eastAsia="Times New Roman" w:hAnsi="Times New Roman" w:cs="Times New Roman"/>
          <w:sz w:val="24"/>
          <w:szCs w:val="24"/>
        </w:rPr>
        <w:t>Bogaert</w:t>
      </w:r>
      <w:proofErr w:type="spellEnd"/>
      <w:r w:rsidRPr="0028303B">
        <w:rPr>
          <w:rFonts w:ascii="Times New Roman" w:eastAsia="Times New Roman" w:hAnsi="Times New Roman" w:cs="Times New Roman"/>
          <w:sz w:val="24"/>
          <w:szCs w:val="24"/>
        </w:rPr>
        <w:t xml:space="preserve"> et al., 2018; Jagger et al., 2010; Van Oyen et al., 2018). La primera aproximación presentada en este trabajo</w:t>
      </w:r>
      <w:r w:rsidR="002410F4">
        <w:rPr>
          <w:rFonts w:ascii="Times New Roman" w:eastAsia="Times New Roman" w:hAnsi="Times New Roman" w:cs="Times New Roman"/>
          <w:sz w:val="24"/>
          <w:szCs w:val="24"/>
        </w:rPr>
        <w:t>, desde una perspectiva demográfica,</w:t>
      </w:r>
      <w:r w:rsidRPr="0028303B">
        <w:rPr>
          <w:rFonts w:ascii="Times New Roman" w:eastAsia="Times New Roman" w:hAnsi="Times New Roman" w:cs="Times New Roman"/>
          <w:sz w:val="24"/>
          <w:szCs w:val="24"/>
        </w:rPr>
        <w:t xml:space="preserve"> con respecto a </w:t>
      </w:r>
      <w:r>
        <w:rPr>
          <w:rFonts w:ascii="Times New Roman" w:eastAsia="Times New Roman" w:hAnsi="Times New Roman" w:cs="Times New Roman"/>
          <w:sz w:val="24"/>
          <w:szCs w:val="24"/>
        </w:rPr>
        <w:t>la prevalencia</w:t>
      </w:r>
      <w:r w:rsidRPr="0028303B">
        <w:rPr>
          <w:rFonts w:ascii="Times New Roman" w:eastAsia="Times New Roman" w:hAnsi="Times New Roman" w:cs="Times New Roman"/>
          <w:sz w:val="24"/>
          <w:szCs w:val="24"/>
        </w:rPr>
        <w:t xml:space="preserve"> de salud mental de Argentina</w:t>
      </w:r>
      <w:r w:rsidR="002410F4">
        <w:rPr>
          <w:rFonts w:ascii="Times New Roman" w:eastAsia="Times New Roman" w:hAnsi="Times New Roman" w:cs="Times New Roman"/>
          <w:sz w:val="24"/>
          <w:szCs w:val="24"/>
        </w:rPr>
        <w:t>,</w:t>
      </w:r>
      <w:r w:rsidRPr="0028303B">
        <w:rPr>
          <w:rFonts w:ascii="Times New Roman" w:eastAsia="Times New Roman" w:hAnsi="Times New Roman" w:cs="Times New Roman"/>
          <w:sz w:val="24"/>
          <w:szCs w:val="24"/>
        </w:rPr>
        <w:t xml:space="preserve"> nos </w:t>
      </w:r>
      <w:r>
        <w:rPr>
          <w:rFonts w:ascii="Times New Roman" w:eastAsia="Times New Roman" w:hAnsi="Times New Roman" w:cs="Times New Roman"/>
          <w:sz w:val="24"/>
          <w:szCs w:val="24"/>
        </w:rPr>
        <w:t>ha dejado</w:t>
      </w:r>
      <w:r w:rsidRPr="0028303B">
        <w:rPr>
          <w:rFonts w:ascii="Times New Roman" w:eastAsia="Times New Roman" w:hAnsi="Times New Roman" w:cs="Times New Roman"/>
          <w:sz w:val="24"/>
          <w:szCs w:val="24"/>
        </w:rPr>
        <w:t xml:space="preserve"> con más preguntas que respuestas en comparación con el momento en que</w:t>
      </w:r>
      <w:r>
        <w:rPr>
          <w:rFonts w:ascii="Times New Roman" w:eastAsia="Times New Roman" w:hAnsi="Times New Roman" w:cs="Times New Roman"/>
          <w:sz w:val="24"/>
          <w:szCs w:val="24"/>
        </w:rPr>
        <w:t xml:space="preserve"> comenzamos</w:t>
      </w:r>
      <w:r w:rsidRPr="0028303B">
        <w:rPr>
          <w:rFonts w:ascii="Times New Roman" w:eastAsia="Times New Roman" w:hAnsi="Times New Roman" w:cs="Times New Roman"/>
          <w:sz w:val="24"/>
          <w:szCs w:val="24"/>
        </w:rPr>
        <w:t xml:space="preserve"> a escribir</w:t>
      </w:r>
      <w:r>
        <w:rPr>
          <w:rFonts w:ascii="Times New Roman" w:eastAsia="Times New Roman" w:hAnsi="Times New Roman" w:cs="Times New Roman"/>
          <w:sz w:val="24"/>
          <w:szCs w:val="24"/>
        </w:rPr>
        <w:t xml:space="preserve"> este artículo</w:t>
      </w:r>
      <w:r w:rsidRPr="0028303B">
        <w:rPr>
          <w:rFonts w:ascii="Times New Roman" w:eastAsia="Times New Roman" w:hAnsi="Times New Roman" w:cs="Times New Roman"/>
          <w:sz w:val="24"/>
          <w:szCs w:val="24"/>
        </w:rPr>
        <w:t>, y que esas preguntas merecen ser perseguidas</w:t>
      </w:r>
      <w:r>
        <w:rPr>
          <w:rFonts w:ascii="Times New Roman" w:eastAsia="Times New Roman" w:hAnsi="Times New Roman" w:cs="Times New Roman"/>
          <w:sz w:val="24"/>
          <w:szCs w:val="24"/>
        </w:rPr>
        <w:t xml:space="preserve"> con mayor intensidad y detalle</w:t>
      </w:r>
      <w:r w:rsidRPr="0028303B">
        <w:rPr>
          <w:rFonts w:ascii="Times New Roman" w:eastAsia="Times New Roman" w:hAnsi="Times New Roman" w:cs="Times New Roman"/>
          <w:sz w:val="24"/>
          <w:szCs w:val="24"/>
        </w:rPr>
        <w:t xml:space="preserve"> en futuras investigaciones. </w:t>
      </w:r>
    </w:p>
    <w:p w:rsidR="009417F5" w:rsidRDefault="009417F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7061C" w:rsidRPr="00C06904" w:rsidRDefault="00D3168A" w:rsidP="00BA399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w:t>
      </w:r>
      <w:r w:rsidR="00272099">
        <w:rPr>
          <w:rFonts w:ascii="Times New Roman" w:hAnsi="Times New Roman" w:cs="Times New Roman"/>
          <w:b/>
          <w:sz w:val="24"/>
          <w:szCs w:val="24"/>
        </w:rPr>
        <w:t>eferencias bibliográficas:</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eastAsia="Times New Roman" w:hAnsi="Times New Roman" w:cs="Times New Roman"/>
          <w:lang w:eastAsia="es-ES"/>
        </w:rPr>
        <w:fldChar w:fldCharType="begin" w:fldLock="1"/>
      </w:r>
      <w:r w:rsidRPr="00272099">
        <w:rPr>
          <w:rFonts w:ascii="Times New Roman" w:eastAsia="Times New Roman" w:hAnsi="Times New Roman" w:cs="Times New Roman"/>
          <w:lang w:val="pt-BR" w:eastAsia="es-ES"/>
        </w:rPr>
        <w:instrText xml:space="preserve">ADDIN Mendeley Bibliography CSL_BIBLIOGRAPHY </w:instrText>
      </w:r>
      <w:r w:rsidRPr="00272099">
        <w:rPr>
          <w:rFonts w:ascii="Times New Roman" w:eastAsia="Times New Roman" w:hAnsi="Times New Roman" w:cs="Times New Roman"/>
          <w:lang w:eastAsia="es-ES"/>
        </w:rPr>
        <w:fldChar w:fldCharType="separate"/>
      </w:r>
      <w:r w:rsidRPr="00272099">
        <w:rPr>
          <w:rFonts w:ascii="Times New Roman" w:hAnsi="Times New Roman" w:cs="Times New Roman"/>
          <w:noProof/>
          <w:lang w:val="es-ES"/>
        </w:rPr>
        <w:t xml:space="preserve">Alves, L. C., &amp; Pereira, C. C. (2018). </w:t>
      </w:r>
      <w:r w:rsidRPr="00272099">
        <w:rPr>
          <w:rFonts w:ascii="Times New Roman" w:hAnsi="Times New Roman" w:cs="Times New Roman"/>
          <w:noProof/>
          <w:lang w:val="en-US"/>
        </w:rPr>
        <w:t xml:space="preserve">Race, sex and depression-free life expectancy in Brazil, 1998–2013. </w:t>
      </w:r>
      <w:r w:rsidRPr="00272099">
        <w:rPr>
          <w:rFonts w:ascii="Times New Roman" w:hAnsi="Times New Roman" w:cs="Times New Roman"/>
          <w:i/>
          <w:iCs/>
          <w:noProof/>
          <w:lang w:val="en-US"/>
        </w:rPr>
        <w:t>International Journal of Population Studies</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4</w:t>
      </w:r>
      <w:r w:rsidRPr="00272099">
        <w:rPr>
          <w:rFonts w:ascii="Times New Roman" w:hAnsi="Times New Roman" w:cs="Times New Roman"/>
          <w:noProof/>
          <w:lang w:val="en-US"/>
        </w:rPr>
        <w:t>(1), 1. https://doi.org/10.18063/ijps.v4i1.412</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Andrade, F. C. D., Wu, F., Lebrão, M. L., &amp; Duarte, Y. A. de O. (2016). </w:t>
      </w:r>
      <w:r w:rsidRPr="00272099">
        <w:rPr>
          <w:rFonts w:ascii="Times New Roman" w:hAnsi="Times New Roman" w:cs="Times New Roman"/>
          <w:noProof/>
          <w:lang w:val="en-US"/>
        </w:rPr>
        <w:t xml:space="preserve">Life expectancy without depression increases among Brazilian older adults. </w:t>
      </w:r>
      <w:r w:rsidRPr="00272099">
        <w:rPr>
          <w:rFonts w:ascii="Times New Roman" w:hAnsi="Times New Roman" w:cs="Times New Roman"/>
          <w:i/>
          <w:iCs/>
          <w:noProof/>
          <w:lang w:val="en-US"/>
        </w:rPr>
        <w:t>Revista de Saude Publica</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50</w:t>
      </w:r>
      <w:r w:rsidRPr="00272099">
        <w:rPr>
          <w:rFonts w:ascii="Times New Roman" w:hAnsi="Times New Roman" w:cs="Times New Roman"/>
          <w:noProof/>
          <w:lang w:val="en-US"/>
        </w:rPr>
        <w:t>, 12. https://doi.org/10.1590/S1518-8787.2016050005900</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Andreev, E. M., Shkolnikov, V. M., &amp; Begun, A. Z. (2002). Algorithm for decomposition of differences between aggregate demographic measures and its application to life expectancies, healthy life expectancies, parity-progression ratios and total fertility rates. </w:t>
      </w:r>
      <w:r w:rsidRPr="00272099">
        <w:rPr>
          <w:rFonts w:ascii="Times New Roman" w:hAnsi="Times New Roman" w:cs="Times New Roman"/>
          <w:i/>
          <w:iCs/>
          <w:noProof/>
          <w:lang w:val="en-US"/>
        </w:rPr>
        <w:t>Demographic Research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7</w:t>
      </w:r>
      <w:r w:rsidRPr="00272099">
        <w:rPr>
          <w:rFonts w:ascii="Times New Roman" w:hAnsi="Times New Roman" w:cs="Times New Roman"/>
          <w:noProof/>
          <w:lang w:val="en-US"/>
        </w:rPr>
        <w:t>(article 14), 499–521. https://doi.org/10.4054/demres.2002.7.14</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Annequin, M., Weill, A., Thomas, F., &amp; Chaix, B. (2015). Environmental and individual characteristics associated with depressive disorders and mental health care use. </w:t>
      </w:r>
      <w:r w:rsidRPr="00272099">
        <w:rPr>
          <w:rFonts w:ascii="Times New Roman" w:hAnsi="Times New Roman" w:cs="Times New Roman"/>
          <w:i/>
          <w:iCs/>
          <w:noProof/>
          <w:lang w:val="en-US"/>
        </w:rPr>
        <w:t>Annals of Epidemiology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25</w:t>
      </w:r>
      <w:r w:rsidRPr="00272099">
        <w:rPr>
          <w:rFonts w:ascii="Times New Roman" w:hAnsi="Times New Roman" w:cs="Times New Roman"/>
          <w:noProof/>
          <w:lang w:val="en-US"/>
        </w:rPr>
        <w:t>(8), 605–612. https://doi.org/10.1016/j.annepidem.2015.02.002</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Arriaga, E. E. (1984). Measuring and explaining the change in life expectancies. </w:t>
      </w:r>
      <w:r w:rsidRPr="00272099">
        <w:rPr>
          <w:rFonts w:ascii="Times New Roman" w:hAnsi="Times New Roman" w:cs="Times New Roman"/>
          <w:i/>
          <w:iCs/>
          <w:noProof/>
          <w:lang w:val="en-US"/>
        </w:rPr>
        <w:t>Demography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21</w:t>
      </w:r>
      <w:r w:rsidRPr="00272099">
        <w:rPr>
          <w:rFonts w:ascii="Times New Roman" w:hAnsi="Times New Roman" w:cs="Times New Roman"/>
          <w:noProof/>
          <w:lang w:val="en-US"/>
        </w:rPr>
        <w:t>(1), 83–96. https://doi.org/10.2307/2061029</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Augustovski, F., Rey-Ares, L., &amp; Gibbons, L. (2013). </w:t>
      </w:r>
      <w:r w:rsidRPr="00272099">
        <w:rPr>
          <w:rFonts w:ascii="Times New Roman" w:hAnsi="Times New Roman" w:cs="Times New Roman"/>
          <w:noProof/>
        </w:rPr>
        <w:t xml:space="preserve">Atlas Argentino de Calidad de Vida Relacionada con la Salud: Análisis de los datos de la Encuesta Nacional de Factores de Riesgo por Provincias. </w:t>
      </w:r>
      <w:r w:rsidRPr="00272099">
        <w:rPr>
          <w:rFonts w:ascii="Times New Roman" w:hAnsi="Times New Roman" w:cs="Times New Roman"/>
          <w:i/>
          <w:iCs/>
          <w:noProof/>
          <w:lang w:val="en-US"/>
        </w:rPr>
        <w:t>Value in Health Regional Issues</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2</w:t>
      </w:r>
      <w:r w:rsidRPr="00272099">
        <w:rPr>
          <w:rFonts w:ascii="Times New Roman" w:hAnsi="Times New Roman" w:cs="Times New Roman"/>
          <w:noProof/>
          <w:lang w:val="en-US"/>
        </w:rPr>
        <w:t>(3), 398–404. https://doi.org/10.1016/j.vhri.2013.10.006</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Aziz, R., &amp; Steffens, D. C. (2013). What Are the Causes of Late-Life Depression? In </w:t>
      </w:r>
      <w:r w:rsidRPr="00272099">
        <w:rPr>
          <w:rFonts w:ascii="Times New Roman" w:hAnsi="Times New Roman" w:cs="Times New Roman"/>
          <w:i/>
          <w:iCs/>
          <w:noProof/>
          <w:lang w:val="en-US"/>
        </w:rPr>
        <w:t>Psychiatric Clinics of North America</w:t>
      </w:r>
      <w:r w:rsidRPr="00272099">
        <w:rPr>
          <w:rFonts w:ascii="Times New Roman" w:hAnsi="Times New Roman" w:cs="Times New Roman"/>
          <w:noProof/>
          <w:lang w:val="en-US"/>
        </w:rPr>
        <w:t xml:space="preserve"> (Vol. 36, Issue 4, pp. 497–516). Psychiatr Clin North Am. https://doi.org/10.1016/j.psc.2013.08.001</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Beltrán-Sánchez, H., Soneji, S., &amp; Crimmins, E. M. (2015). Past, present, and future of healthy life expectancy. </w:t>
      </w:r>
      <w:r w:rsidRPr="00272099">
        <w:rPr>
          <w:rFonts w:ascii="Times New Roman" w:hAnsi="Times New Roman" w:cs="Times New Roman"/>
          <w:i/>
          <w:iCs/>
          <w:noProof/>
          <w:lang w:val="en-US"/>
        </w:rPr>
        <w:t>Cold Spring Harbor Perspectives in Medicine</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5</w:t>
      </w:r>
      <w:r w:rsidRPr="00272099">
        <w:rPr>
          <w:rFonts w:ascii="Times New Roman" w:hAnsi="Times New Roman" w:cs="Times New Roman"/>
          <w:noProof/>
          <w:lang w:val="en-US"/>
        </w:rPr>
        <w:t>(11). https://doi.org/10.1101/cshperspect.a025957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Blazer, D. G., &amp; Hybels, C. F. (2005). Origins of depression in later life. In </w:t>
      </w:r>
      <w:r w:rsidRPr="00272099">
        <w:rPr>
          <w:rFonts w:ascii="Times New Roman" w:hAnsi="Times New Roman" w:cs="Times New Roman"/>
          <w:i/>
          <w:iCs/>
          <w:noProof/>
          <w:lang w:val="en-US"/>
        </w:rPr>
        <w:t>Psychological Medicine</w:t>
      </w:r>
      <w:r w:rsidRPr="00272099">
        <w:rPr>
          <w:rFonts w:ascii="Times New Roman" w:hAnsi="Times New Roman" w:cs="Times New Roman"/>
          <w:noProof/>
          <w:lang w:val="en-US"/>
        </w:rPr>
        <w:t xml:space="preserve"> (Vol. 35, Issue 9, pp. 1241–1252). Psychol Med. https://doi.org/10.1017/S0033291705004411</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Bogaert, P., Van Oyen, H., Beluche, I., Cambois, E., &amp; Robine, J.-M. (2018). </w:t>
      </w:r>
      <w:r w:rsidRPr="00272099">
        <w:rPr>
          <w:rFonts w:ascii="Times New Roman" w:hAnsi="Times New Roman" w:cs="Times New Roman"/>
          <w:noProof/>
          <w:lang w:val="en-US"/>
        </w:rPr>
        <w:t xml:space="preserve">The use of the global activity limitation Indicator and healthy life years by member states and the European Commission. </w:t>
      </w:r>
      <w:r w:rsidRPr="00272099">
        <w:rPr>
          <w:rFonts w:ascii="Times New Roman" w:hAnsi="Times New Roman" w:cs="Times New Roman"/>
          <w:i/>
          <w:iCs/>
          <w:noProof/>
          <w:lang w:val="en-US"/>
        </w:rPr>
        <w:t>Archives of Public Health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76</w:t>
      </w:r>
      <w:r w:rsidRPr="00272099">
        <w:rPr>
          <w:rFonts w:ascii="Times New Roman" w:hAnsi="Times New Roman" w:cs="Times New Roman"/>
          <w:noProof/>
          <w:lang w:val="en-US"/>
        </w:rPr>
        <w:t>(1), 30. https://doi.org/10.1186/s13690-018-0279-z</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Camargos, M. C. S., Machado, C. J., &amp; Rodrigues, R. N. (2008). Sex differences in healthy life expectancy from self-perceived assessments of health in the City of São Paulo, Brazil. </w:t>
      </w:r>
      <w:r w:rsidRPr="00272099">
        <w:rPr>
          <w:rFonts w:ascii="Times New Roman" w:hAnsi="Times New Roman" w:cs="Times New Roman"/>
          <w:i/>
          <w:iCs/>
          <w:noProof/>
          <w:lang w:val="en-US"/>
        </w:rPr>
        <w:t>Ageing and Society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28</w:t>
      </w:r>
      <w:r w:rsidRPr="00272099">
        <w:rPr>
          <w:rFonts w:ascii="Times New Roman" w:hAnsi="Times New Roman" w:cs="Times New Roman"/>
          <w:noProof/>
          <w:lang w:val="en-US"/>
        </w:rPr>
        <w:t>(1), 35–48. https://doi.org/10.1017/S0144686X07006277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Cambois, E., Brønnum-Hansen, H., Hayward, M., &amp; Nusselder, W. J. (2020). Monitoring Social Differentials in Health Expectancies. </w:t>
      </w:r>
      <w:r w:rsidRPr="00272099">
        <w:rPr>
          <w:rFonts w:ascii="Times New Roman" w:hAnsi="Times New Roman" w:cs="Times New Roman"/>
          <w:i/>
          <w:iCs/>
          <w:noProof/>
          <w:lang w:val="en-US"/>
        </w:rPr>
        <w:t>International Handbooks of Population</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9</w:t>
      </w:r>
      <w:r w:rsidRPr="00272099">
        <w:rPr>
          <w:rFonts w:ascii="Times New Roman" w:hAnsi="Times New Roman" w:cs="Times New Roman"/>
          <w:noProof/>
          <w:lang w:val="en-US"/>
        </w:rPr>
        <w:t>, 45–66. https://doi.org/10.1007/978-3-030-37668-0_4</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Evans-Lacko, S., Knapp, M., McCrone, P., Thornicroft, G., &amp; Mojtabai, R. (2013). The Mental Health Consequences of the Recession: Economic Hardship and Employment of People with Mental Health Problems in 27 European Countries. </w:t>
      </w:r>
      <w:r w:rsidRPr="00272099">
        <w:rPr>
          <w:rFonts w:ascii="Times New Roman" w:hAnsi="Times New Roman" w:cs="Times New Roman"/>
          <w:i/>
          <w:iCs/>
          <w:noProof/>
          <w:lang w:val="en-US"/>
        </w:rPr>
        <w:t>PLoS ONE</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8</w:t>
      </w:r>
      <w:r w:rsidRPr="00272099">
        <w:rPr>
          <w:rFonts w:ascii="Times New Roman" w:hAnsi="Times New Roman" w:cs="Times New Roman"/>
          <w:noProof/>
          <w:lang w:val="en-US"/>
        </w:rPr>
        <w:t>(7). https://doi.org/10.1371/journal.pone.0069792</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rPr>
      </w:pPr>
      <w:r w:rsidRPr="00272099">
        <w:rPr>
          <w:rFonts w:ascii="Times New Roman" w:hAnsi="Times New Roman" w:cs="Times New Roman"/>
          <w:noProof/>
          <w:lang w:val="en-US"/>
        </w:rPr>
        <w:t xml:space="preserve">Ferrari, A. J., Charlson, F. J., Norman, R. E., Patten, S. B., Freedman, G., Murray, C. J. L., Vos, T., &amp; Whiteford, H. A. (2013). Burden of Depressive Disorders by Country, Sex, Age, and Year: Findings from the Global Burden of Disease Study 2010. </w:t>
      </w:r>
      <w:r w:rsidRPr="00272099">
        <w:rPr>
          <w:rFonts w:ascii="Times New Roman" w:hAnsi="Times New Roman" w:cs="Times New Roman"/>
          <w:i/>
          <w:iCs/>
          <w:noProof/>
        </w:rPr>
        <w:t>PLoS Medicine</w:t>
      </w:r>
      <w:r w:rsidRPr="00272099">
        <w:rPr>
          <w:rFonts w:ascii="Times New Roman" w:hAnsi="Times New Roman" w:cs="Times New Roman"/>
          <w:noProof/>
        </w:rPr>
        <w:t xml:space="preserve">, </w:t>
      </w:r>
      <w:r w:rsidRPr="00272099">
        <w:rPr>
          <w:rFonts w:ascii="Times New Roman" w:hAnsi="Times New Roman" w:cs="Times New Roman"/>
          <w:i/>
          <w:iCs/>
          <w:noProof/>
        </w:rPr>
        <w:t>10</w:t>
      </w:r>
      <w:r w:rsidRPr="00272099">
        <w:rPr>
          <w:rFonts w:ascii="Times New Roman" w:hAnsi="Times New Roman" w:cs="Times New Roman"/>
          <w:noProof/>
        </w:rPr>
        <w:t xml:space="preserve">(11). </w:t>
      </w:r>
      <w:r w:rsidRPr="00272099">
        <w:rPr>
          <w:rFonts w:ascii="Times New Roman" w:hAnsi="Times New Roman" w:cs="Times New Roman"/>
          <w:noProof/>
        </w:rPr>
        <w:lastRenderedPageBreak/>
        <w:t>https://doi.org/10.1371/journal.pmed.1001547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Frasquilho, D., Matos, M. G., Salonna, F., Guerreiro, D., Storti, C. C., Gaspar, T., &amp; Caldas-De-Almeida, J. M. (2016). </w:t>
      </w:r>
      <w:r w:rsidRPr="00272099">
        <w:rPr>
          <w:rFonts w:ascii="Times New Roman" w:hAnsi="Times New Roman" w:cs="Times New Roman"/>
          <w:noProof/>
          <w:lang w:val="en-US"/>
        </w:rPr>
        <w:t xml:space="preserve">Mental health outcomes in times of economic recession: A systematic literature review Health behavior, health promotion and society. In </w:t>
      </w:r>
      <w:r w:rsidRPr="00272099">
        <w:rPr>
          <w:rFonts w:ascii="Times New Roman" w:hAnsi="Times New Roman" w:cs="Times New Roman"/>
          <w:i/>
          <w:iCs/>
          <w:noProof/>
          <w:lang w:val="en-US"/>
        </w:rPr>
        <w:t>BMC Public Health</w:t>
      </w:r>
      <w:r w:rsidRPr="00272099">
        <w:rPr>
          <w:rFonts w:ascii="Times New Roman" w:hAnsi="Times New Roman" w:cs="Times New Roman"/>
          <w:noProof/>
          <w:lang w:val="en-US"/>
        </w:rPr>
        <w:t xml:space="preserve"> (Vol. 16, Issue 1). BioMed Central Ltd. https://doi.org/10.1186/s12889-016-2720-y</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Fries, J. F. (1984). The compression of morbidity: Miscellaneous comments about a theme. </w:t>
      </w:r>
      <w:r w:rsidRPr="00272099">
        <w:rPr>
          <w:rFonts w:ascii="Times New Roman" w:hAnsi="Times New Roman" w:cs="Times New Roman"/>
          <w:i/>
          <w:iCs/>
          <w:noProof/>
          <w:lang w:val="en-US"/>
        </w:rPr>
        <w:t>Gerontologist</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24</w:t>
      </w:r>
      <w:r w:rsidRPr="00272099">
        <w:rPr>
          <w:rFonts w:ascii="Times New Roman" w:hAnsi="Times New Roman" w:cs="Times New Roman"/>
          <w:noProof/>
          <w:lang w:val="en-US"/>
        </w:rPr>
        <w:t>(4), 354–359. https://doi.org/10.1093/geront/24.4.354</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Gruenberg, E. M. (2005). The failures of success. In </w:t>
      </w:r>
      <w:r w:rsidRPr="00272099">
        <w:rPr>
          <w:rFonts w:ascii="Times New Roman" w:hAnsi="Times New Roman" w:cs="Times New Roman"/>
          <w:i/>
          <w:iCs/>
          <w:noProof/>
          <w:lang w:val="en-US"/>
        </w:rPr>
        <w:t>Milbank Quarterly</w:t>
      </w:r>
      <w:r w:rsidRPr="00272099">
        <w:rPr>
          <w:rFonts w:ascii="Times New Roman" w:hAnsi="Times New Roman" w:cs="Times New Roman"/>
          <w:noProof/>
          <w:lang w:val="en-US"/>
        </w:rPr>
        <w:t xml:space="preserve"> (Vol. 83, Issue 4, pp. 779–800). Blackwell Publishing Inc. https://doi.org/10.1111/j.1468-0009.2005.00400.x</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Jagger, C., Cox, B., &amp; Le Roy, S. (2006). Health expectancy calculation by the Sullivan method. </w:t>
      </w:r>
      <w:r w:rsidRPr="00272099">
        <w:rPr>
          <w:rFonts w:ascii="Times New Roman" w:hAnsi="Times New Roman" w:cs="Times New Roman"/>
          <w:i/>
          <w:iCs/>
          <w:noProof/>
          <w:lang w:val="en-US"/>
        </w:rPr>
        <w:t>EHEMU Technical Report</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June</w:t>
      </w:r>
      <w:r w:rsidRPr="00272099">
        <w:rPr>
          <w:rFonts w:ascii="Times New Roman" w:hAnsi="Times New Roman" w:cs="Times New Roman"/>
          <w:noProof/>
          <w:lang w:val="en-US"/>
        </w:rPr>
        <w:t>.</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Jagger, C., Gillies, C., Cambois, E., Van Oyen, H., Nusselder, W., &amp; Robine, J. M. (2010). The Global Activity Limitation Index measured function and disability similarly across European countries. </w:t>
      </w:r>
      <w:r w:rsidRPr="00272099">
        <w:rPr>
          <w:rFonts w:ascii="Times New Roman" w:hAnsi="Times New Roman" w:cs="Times New Roman"/>
          <w:i/>
          <w:iCs/>
          <w:noProof/>
          <w:lang w:val="en-US"/>
        </w:rPr>
        <w:t>Journal of Clinical Epidemiology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63</w:t>
      </w:r>
      <w:r w:rsidRPr="00272099">
        <w:rPr>
          <w:rFonts w:ascii="Times New Roman" w:hAnsi="Times New Roman" w:cs="Times New Roman"/>
          <w:noProof/>
          <w:lang w:val="en-US"/>
        </w:rPr>
        <w:t>(8), 892–899. https://doi.org/10.1016/j.jclinepi.2009.11.002</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rPr>
      </w:pPr>
      <w:r w:rsidRPr="00272099">
        <w:rPr>
          <w:rFonts w:ascii="Times New Roman" w:hAnsi="Times New Roman" w:cs="Times New Roman"/>
          <w:noProof/>
          <w:lang w:val="en-US"/>
        </w:rPr>
        <w:t xml:space="preserve">Lindau, S. T., &amp; Gavrilova, N. (2010). Sex, health, and years of sexually active life gained due to good health: Evidence from two US population based cross sectional surveys of ageing. </w:t>
      </w:r>
      <w:r w:rsidRPr="00272099">
        <w:rPr>
          <w:rFonts w:ascii="Times New Roman" w:hAnsi="Times New Roman" w:cs="Times New Roman"/>
          <w:i/>
          <w:iCs/>
          <w:noProof/>
        </w:rPr>
        <w:t>BMJ (Online)</w:t>
      </w:r>
      <w:r w:rsidRPr="00272099">
        <w:rPr>
          <w:rFonts w:ascii="Times New Roman" w:hAnsi="Times New Roman" w:cs="Times New Roman"/>
          <w:noProof/>
        </w:rPr>
        <w:t xml:space="preserve">, </w:t>
      </w:r>
      <w:r w:rsidRPr="00272099">
        <w:rPr>
          <w:rFonts w:ascii="Times New Roman" w:hAnsi="Times New Roman" w:cs="Times New Roman"/>
          <w:i/>
          <w:iCs/>
          <w:noProof/>
        </w:rPr>
        <w:t>340</w:t>
      </w:r>
      <w:r w:rsidRPr="00272099">
        <w:rPr>
          <w:rFonts w:ascii="Times New Roman" w:hAnsi="Times New Roman" w:cs="Times New Roman"/>
          <w:noProof/>
        </w:rPr>
        <w:t>(7746), 580. https://doi.org/10.1136/bmj.c810</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Llorente, J. M., Oliván-Blázquez, B., Zuñiga-Antón, M., Masluk, B., Andrés, E., García-Campayo, J., &amp; Magallón-Botaya, R. (2018). </w:t>
      </w:r>
      <w:r w:rsidRPr="00272099">
        <w:rPr>
          <w:rFonts w:ascii="Times New Roman" w:hAnsi="Times New Roman" w:cs="Times New Roman"/>
          <w:noProof/>
          <w:lang w:val="en-US"/>
        </w:rPr>
        <w:t xml:space="preserve">Variability of the prevalence of depression in function of sociodemographic and environmental factors: Ecological model. </w:t>
      </w:r>
      <w:r w:rsidRPr="00272099">
        <w:rPr>
          <w:rFonts w:ascii="Times New Roman" w:hAnsi="Times New Roman" w:cs="Times New Roman"/>
          <w:i/>
          <w:iCs/>
          <w:noProof/>
          <w:lang w:val="en-US"/>
        </w:rPr>
        <w:t>Frontiers in Psychology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9</w:t>
      </w:r>
      <w:r w:rsidRPr="00272099">
        <w:rPr>
          <w:rFonts w:ascii="Times New Roman" w:hAnsi="Times New Roman" w:cs="Times New Roman"/>
          <w:noProof/>
          <w:lang w:val="en-US"/>
        </w:rPr>
        <w:t>(NOV). https://doi.org/10.3389/fpsyg.2018.02182</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Manton, K. G. (1982). Changing concepts of morbidity and mortality in the elderly population. </w:t>
      </w:r>
      <w:r w:rsidRPr="00272099">
        <w:rPr>
          <w:rFonts w:ascii="Times New Roman" w:hAnsi="Times New Roman" w:cs="Times New Roman"/>
          <w:i/>
          <w:iCs/>
          <w:noProof/>
          <w:lang w:val="en-US"/>
        </w:rPr>
        <w:t>The Milbank Memorial Fund Quarterly. Health and Society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60</w:t>
      </w:r>
      <w:r w:rsidRPr="00272099">
        <w:rPr>
          <w:rFonts w:ascii="Times New Roman" w:hAnsi="Times New Roman" w:cs="Times New Roman"/>
          <w:noProof/>
          <w:lang w:val="en-US"/>
        </w:rPr>
        <w:t>(2), 183–244. https://doi.org/10.2307/3349767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McMichael, A. J., McKee, M., Shkolnikov, V., &amp; Valkonen, T. (2004). Mortality trends and setbacks: Global convergence or divergence? </w:t>
      </w:r>
      <w:r w:rsidRPr="00272099">
        <w:rPr>
          <w:rFonts w:ascii="Times New Roman" w:hAnsi="Times New Roman" w:cs="Times New Roman"/>
          <w:i/>
          <w:iCs/>
          <w:noProof/>
          <w:lang w:val="en-US"/>
        </w:rPr>
        <w:t>Lancet</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363</w:t>
      </w:r>
      <w:r w:rsidRPr="00272099">
        <w:rPr>
          <w:rFonts w:ascii="Times New Roman" w:hAnsi="Times New Roman" w:cs="Times New Roman"/>
          <w:noProof/>
          <w:lang w:val="en-US"/>
        </w:rPr>
        <w:t>(9415), 1155–1159. https://doi.org/10.1016/S0140-6736(04)15902-3</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Moncho, J., Pereyra-Zamora, P., Tamayo-Fonseca, N., Giron, M., Gómez-Beneyto, M., &amp; Nolasco, A. (2018). </w:t>
      </w:r>
      <w:r w:rsidRPr="00272099">
        <w:rPr>
          <w:rFonts w:ascii="Times New Roman" w:hAnsi="Times New Roman" w:cs="Times New Roman"/>
          <w:noProof/>
          <w:lang w:val="en-US"/>
        </w:rPr>
        <w:t xml:space="preserve">Is recession bad for your mental health? the answer could be complex: Evidence from the 2008 crisis in Spain. </w:t>
      </w:r>
      <w:r w:rsidRPr="00272099">
        <w:rPr>
          <w:rFonts w:ascii="Times New Roman" w:hAnsi="Times New Roman" w:cs="Times New Roman"/>
          <w:i/>
          <w:iCs/>
          <w:noProof/>
          <w:lang w:val="en-US"/>
        </w:rPr>
        <w:t>BMC Medical Research Methodology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18</w:t>
      </w:r>
      <w:r w:rsidRPr="00272099">
        <w:rPr>
          <w:rFonts w:ascii="Times New Roman" w:hAnsi="Times New Roman" w:cs="Times New Roman"/>
          <w:noProof/>
          <w:lang w:val="en-US"/>
        </w:rPr>
        <w:t>(1). https://doi.org/10.1186/s12874-018-0538-2</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rPr>
      </w:pPr>
      <w:r w:rsidRPr="00272099">
        <w:rPr>
          <w:rFonts w:ascii="Times New Roman" w:hAnsi="Times New Roman" w:cs="Times New Roman"/>
          <w:noProof/>
          <w:lang w:val="en-US"/>
        </w:rPr>
        <w:t xml:space="preserve">Myers, G. C., &amp; Manton, K. G. (1984). Compression of mortality: Myth or reality? </w:t>
      </w:r>
      <w:r w:rsidRPr="00272099">
        <w:rPr>
          <w:rFonts w:ascii="Times New Roman" w:hAnsi="Times New Roman" w:cs="Times New Roman"/>
          <w:i/>
          <w:iCs/>
          <w:noProof/>
        </w:rPr>
        <w:t>Gerontologist</w:t>
      </w:r>
      <w:r w:rsidRPr="00272099">
        <w:rPr>
          <w:rFonts w:ascii="Times New Roman" w:hAnsi="Times New Roman" w:cs="Times New Roman"/>
          <w:noProof/>
        </w:rPr>
        <w:t xml:space="preserve">, </w:t>
      </w:r>
      <w:r w:rsidRPr="00272099">
        <w:rPr>
          <w:rFonts w:ascii="Times New Roman" w:hAnsi="Times New Roman" w:cs="Times New Roman"/>
          <w:i/>
          <w:iCs/>
          <w:noProof/>
        </w:rPr>
        <w:t>24</w:t>
      </w:r>
      <w:r w:rsidRPr="00272099">
        <w:rPr>
          <w:rFonts w:ascii="Times New Roman" w:hAnsi="Times New Roman" w:cs="Times New Roman"/>
          <w:noProof/>
        </w:rPr>
        <w:t>(4), 346–353. https://doi.org/10.1093/geront/24.4.346</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s-ES"/>
        </w:rPr>
        <w:t xml:space="preserve">Nepomuceno, Marília R, Di Lego, V., &amp; Turra, C. M. (2021). </w:t>
      </w:r>
      <w:r w:rsidRPr="00272099">
        <w:rPr>
          <w:rFonts w:ascii="Times New Roman" w:hAnsi="Times New Roman" w:cs="Times New Roman"/>
          <w:noProof/>
          <w:lang w:val="en-US"/>
        </w:rPr>
        <w:t xml:space="preserve">Gender disparities in health at older ages and their consequences for well-being in Latin America and the Caribbean. </w:t>
      </w:r>
      <w:r w:rsidRPr="00272099">
        <w:rPr>
          <w:rFonts w:ascii="Times New Roman" w:hAnsi="Times New Roman" w:cs="Times New Roman"/>
          <w:i/>
          <w:iCs/>
          <w:noProof/>
          <w:lang w:val="en-US"/>
        </w:rPr>
        <w:t>Vienna Yearbook of Population Research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19</w:t>
      </w:r>
      <w:r w:rsidRPr="00272099">
        <w:rPr>
          <w:rFonts w:ascii="Times New Roman" w:hAnsi="Times New Roman" w:cs="Times New Roman"/>
          <w:noProof/>
          <w:lang w:val="en-US"/>
        </w:rPr>
        <w:t>, 1–23. https://doi.org/10.1553/populationyearbook2021.res2.1</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Nusselder, W. J., &amp; Looman, C. W. N. (2004). Decomposition of differences in health expectancy by cause. </w:t>
      </w:r>
      <w:r w:rsidRPr="00272099">
        <w:rPr>
          <w:rFonts w:ascii="Times New Roman" w:hAnsi="Times New Roman" w:cs="Times New Roman"/>
          <w:i/>
          <w:iCs/>
          <w:noProof/>
          <w:lang w:val="en-US"/>
        </w:rPr>
        <w:t>Demography</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41</w:t>
      </w:r>
      <w:r w:rsidRPr="00272099">
        <w:rPr>
          <w:rFonts w:ascii="Times New Roman" w:hAnsi="Times New Roman" w:cs="Times New Roman"/>
          <w:noProof/>
          <w:lang w:val="en-US"/>
        </w:rPr>
        <w:t>(2), 315–334. https://doi.org/10.1353/dem.2004.0017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Nusselder, W. J., Looman, C. W. N., Mackenbach, J. P., Huisman, M., Van Oyen, H., Deboosere, P., Gadeyne, S., &amp; Kunst, A. E. (2005). The contribution of specific diseases to educational disparities in disability-free life expectancy. In </w:t>
      </w:r>
      <w:r w:rsidRPr="00272099">
        <w:rPr>
          <w:rFonts w:ascii="Times New Roman" w:hAnsi="Times New Roman" w:cs="Times New Roman"/>
          <w:i/>
          <w:iCs/>
          <w:noProof/>
          <w:lang w:val="en-US"/>
        </w:rPr>
        <w:t>American Journal of Public Health</w:t>
      </w:r>
      <w:r w:rsidRPr="00272099">
        <w:rPr>
          <w:rFonts w:ascii="Times New Roman" w:hAnsi="Times New Roman" w:cs="Times New Roman"/>
          <w:noProof/>
          <w:lang w:val="en-US"/>
        </w:rPr>
        <w:t xml:space="preserve"> (Vol. 95, Issue 11, pp. 2035–2041). American Public Health Association. https://doi.org/10.2105/AJPH.2004.054700</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lastRenderedPageBreak/>
        <w:t xml:space="preserve">Oeppen, J., &amp; Vaupel, J. W. (2002). </w:t>
      </w:r>
      <w:r w:rsidRPr="00272099">
        <w:rPr>
          <w:rFonts w:ascii="Times New Roman" w:hAnsi="Times New Roman" w:cs="Times New Roman"/>
          <w:noProof/>
          <w:lang w:val="en-US"/>
        </w:rPr>
        <w:t xml:space="preserve">Demography: Broken limits to life expectancy. In </w:t>
      </w:r>
      <w:r w:rsidRPr="00272099">
        <w:rPr>
          <w:rFonts w:ascii="Times New Roman" w:hAnsi="Times New Roman" w:cs="Times New Roman"/>
          <w:i/>
          <w:iCs/>
          <w:noProof/>
          <w:lang w:val="en-US"/>
        </w:rPr>
        <w:t>Science</w:t>
      </w:r>
      <w:r w:rsidRPr="00272099">
        <w:rPr>
          <w:rFonts w:ascii="Times New Roman" w:hAnsi="Times New Roman" w:cs="Times New Roman"/>
          <w:noProof/>
          <w:lang w:val="en-US"/>
        </w:rPr>
        <w:t xml:space="preserve"> (Vol. 296, Issue 5570, pp. 1029–1031). https://doi.org/10.1126/science.1069675</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Preston, Samuel H; Heuveline, P. G. M. (2001). </w:t>
      </w:r>
      <w:r w:rsidRPr="00272099">
        <w:rPr>
          <w:rFonts w:ascii="Times New Roman" w:hAnsi="Times New Roman" w:cs="Times New Roman"/>
          <w:i/>
          <w:iCs/>
          <w:noProof/>
          <w:lang w:val="en-US"/>
        </w:rPr>
        <w:t>Demography, Measuring and Modelling Population Processes</w:t>
      </w:r>
      <w:r w:rsidRPr="00272099">
        <w:rPr>
          <w:rFonts w:ascii="Times New Roman" w:hAnsi="Times New Roman" w:cs="Times New Roman"/>
          <w:noProof/>
          <w:lang w:val="en-US"/>
        </w:rPr>
        <w:t>. Oxford: Blackwell Publishers Ltd.</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Regidor, E. (2004a). Measures of health inequalities: Part 1. In </w:t>
      </w:r>
      <w:r w:rsidRPr="00272099">
        <w:rPr>
          <w:rFonts w:ascii="Times New Roman" w:hAnsi="Times New Roman" w:cs="Times New Roman"/>
          <w:i/>
          <w:iCs/>
          <w:noProof/>
          <w:lang w:val="en-US"/>
        </w:rPr>
        <w:t>Journal of Epidemiology and Community Health</w:t>
      </w:r>
      <w:r w:rsidRPr="00272099">
        <w:rPr>
          <w:rFonts w:ascii="Times New Roman" w:hAnsi="Times New Roman" w:cs="Times New Roman"/>
          <w:noProof/>
          <w:lang w:val="en-US"/>
        </w:rPr>
        <w:t xml:space="preserve"> (Vol. 58, Issue 10, pp. 858–861). BMJ Publishing Group Ltd. https://doi.org/10.1136/jech.2003.015347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Regidor, E. (2004b). Measures of health inequalities: Part 2. In </w:t>
      </w:r>
      <w:r w:rsidRPr="00272099">
        <w:rPr>
          <w:rFonts w:ascii="Times New Roman" w:hAnsi="Times New Roman" w:cs="Times New Roman"/>
          <w:i/>
          <w:iCs/>
          <w:noProof/>
          <w:lang w:val="en-US"/>
        </w:rPr>
        <w:t>Journal of Epidemiology and Community Health</w:t>
      </w:r>
      <w:r w:rsidRPr="00272099">
        <w:rPr>
          <w:rFonts w:ascii="Times New Roman" w:hAnsi="Times New Roman" w:cs="Times New Roman"/>
          <w:noProof/>
          <w:lang w:val="en-US"/>
        </w:rPr>
        <w:t xml:space="preserve"> (Vol. 58, Issue 11, pp. 900–903). BMJ Publishing Group Ltd. https://doi.org/10.1136/jech.2004.023036</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D3168A">
        <w:rPr>
          <w:rFonts w:ascii="Times New Roman" w:hAnsi="Times New Roman" w:cs="Times New Roman"/>
          <w:noProof/>
          <w:lang w:val="en-US"/>
        </w:rPr>
        <w:t xml:space="preserve">Ribotta, B. S. (2016). </w:t>
      </w:r>
      <w:r w:rsidRPr="00272099">
        <w:rPr>
          <w:rFonts w:ascii="Times New Roman" w:hAnsi="Times New Roman" w:cs="Times New Roman"/>
          <w:noProof/>
        </w:rPr>
        <w:t xml:space="preserve">Causas de defunción mal definidas en las provincias de Argentina, 2001-2013. </w:t>
      </w:r>
      <w:r w:rsidRPr="00272099">
        <w:rPr>
          <w:rFonts w:ascii="Times New Roman" w:hAnsi="Times New Roman" w:cs="Times New Roman"/>
          <w:i/>
          <w:iCs/>
          <w:noProof/>
          <w:lang w:val="en-US"/>
        </w:rPr>
        <w:t>Mem. Inst. Investig. Cienc. Salud</w:t>
      </w:r>
      <w:r w:rsidRPr="00272099">
        <w:rPr>
          <w:rFonts w:ascii="Times New Roman" w:hAnsi="Times New Roman" w:cs="Times New Roman"/>
          <w:noProof/>
          <w:lang w:val="en-US"/>
        </w:rPr>
        <w:t>, 78–87. https://ri.conicet.gov.ar/bitstream/handle/11336/76837/CONICET_Digital_Nro.6c513373-3f77-4237-981a-b7da18a44d00_A.pdf?sequence=2&amp;isAllowed=y</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Riffe, T. (2018). </w:t>
      </w:r>
      <w:r w:rsidRPr="00272099">
        <w:rPr>
          <w:rFonts w:ascii="Times New Roman" w:hAnsi="Times New Roman" w:cs="Times New Roman"/>
          <w:i/>
          <w:iCs/>
          <w:noProof/>
          <w:lang w:val="en-US"/>
        </w:rPr>
        <w:t>DemoDecomp: Decompose Demographic Functions version 1.0.1 from CRAN</w:t>
      </w:r>
      <w:r w:rsidRPr="00272099">
        <w:rPr>
          <w:rFonts w:ascii="Times New Roman" w:hAnsi="Times New Roman" w:cs="Times New Roman"/>
          <w:noProof/>
          <w:lang w:val="en-US"/>
        </w:rPr>
        <w:t>. https://rdrr.io/cran/DemoDecomp/</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rPr>
      </w:pPr>
      <w:r w:rsidRPr="00272099">
        <w:rPr>
          <w:rFonts w:ascii="Times New Roman" w:hAnsi="Times New Roman" w:cs="Times New Roman"/>
          <w:noProof/>
        </w:rPr>
        <w:t xml:space="preserve">Sacco, N. (2016). La calidad de los datos de mortalidad del Censo 2010 de Argentina. </w:t>
      </w:r>
      <w:r w:rsidRPr="00272099">
        <w:rPr>
          <w:rFonts w:ascii="Times New Roman" w:hAnsi="Times New Roman" w:cs="Times New Roman"/>
          <w:i/>
          <w:iCs/>
          <w:noProof/>
        </w:rPr>
        <w:t>Población y Salud En Mesoamérica</w:t>
      </w:r>
      <w:r w:rsidRPr="00272099">
        <w:rPr>
          <w:rFonts w:ascii="Times New Roman" w:hAnsi="Times New Roman" w:cs="Times New Roman"/>
          <w:noProof/>
        </w:rPr>
        <w:t xml:space="preserve">, </w:t>
      </w:r>
      <w:r w:rsidRPr="00272099">
        <w:rPr>
          <w:rFonts w:ascii="Times New Roman" w:hAnsi="Times New Roman" w:cs="Times New Roman"/>
          <w:i/>
          <w:iCs/>
          <w:noProof/>
        </w:rPr>
        <w:t>14</w:t>
      </w:r>
      <w:r w:rsidRPr="00272099">
        <w:rPr>
          <w:rFonts w:ascii="Times New Roman" w:hAnsi="Times New Roman" w:cs="Times New Roman"/>
          <w:noProof/>
        </w:rPr>
        <w:t>(1). https://doi.org/10.15517/PSM.V14I1.25306</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Salomon, J. A., Wang, H., Freeman, M. K., Vos, T., Flaxman, A. D., Lopez, A. D., &amp; Murray, C. J. L. (2012). Healthy life expectancy for 187 countries, 1990-2010: A systematic analysis for the Global Burden Disease Study 2010. </w:t>
      </w:r>
      <w:r w:rsidRPr="00272099">
        <w:rPr>
          <w:rFonts w:ascii="Times New Roman" w:hAnsi="Times New Roman" w:cs="Times New Roman"/>
          <w:i/>
          <w:iCs/>
          <w:noProof/>
          <w:lang w:val="en-US"/>
        </w:rPr>
        <w:t>The Lancet</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380</w:t>
      </w:r>
      <w:r w:rsidRPr="00272099">
        <w:rPr>
          <w:rFonts w:ascii="Times New Roman" w:hAnsi="Times New Roman" w:cs="Times New Roman"/>
          <w:noProof/>
          <w:lang w:val="en-US"/>
        </w:rPr>
        <w:t>(9859), 2144–2162. https://doi.org/10.1016/S0140-6736(12)61690-0</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Sauerberg, M. (2021). The impact of population’s educational composition on Healthy Life Years: An empirical illustration of 16 European countries. </w:t>
      </w:r>
      <w:r w:rsidRPr="00272099">
        <w:rPr>
          <w:rFonts w:ascii="Times New Roman" w:hAnsi="Times New Roman" w:cs="Times New Roman"/>
          <w:i/>
          <w:iCs/>
          <w:noProof/>
          <w:lang w:val="en-US"/>
        </w:rPr>
        <w:t>SSM - Population Health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15</w:t>
      </w:r>
      <w:r w:rsidRPr="00272099">
        <w:rPr>
          <w:rFonts w:ascii="Times New Roman" w:hAnsi="Times New Roman" w:cs="Times New Roman"/>
          <w:noProof/>
          <w:lang w:val="en-US"/>
        </w:rPr>
        <w:t>, 100857. https://doi.org/10.1016/j.ssmph.2021.100857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Shkolnikov, V. M., &amp; Andreev, E. M. (2017). </w:t>
      </w:r>
      <w:r w:rsidRPr="00272099">
        <w:rPr>
          <w:rFonts w:ascii="Times New Roman" w:hAnsi="Times New Roman" w:cs="Times New Roman"/>
          <w:i/>
          <w:iCs/>
          <w:noProof/>
          <w:lang w:val="en-US"/>
        </w:rPr>
        <w:t>The decomposition of the difference between two healthy life expectancies. Which formula is right?</w:t>
      </w:r>
      <w:r w:rsidRPr="00272099">
        <w:rPr>
          <w:rFonts w:ascii="Times New Roman" w:hAnsi="Times New Roman" w:cs="Times New Roman"/>
          <w:noProof/>
          <w:lang w:val="en-US"/>
        </w:rPr>
        <w:t xml:space="preserve"> Max Planck Institute of Demographic Research WP 2017-016. Retrieved August 26, 2021, from www.demogr.mpg.de</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Short, H., Al Sayah, F., Ohinmaa, A., &amp; Johnson, J. A. (2021). The performance of the EQ-5D-3L in screening for anxiety and depressive symptoms in hospital and community settings. </w:t>
      </w:r>
      <w:r w:rsidRPr="00272099">
        <w:rPr>
          <w:rFonts w:ascii="Times New Roman" w:hAnsi="Times New Roman" w:cs="Times New Roman"/>
          <w:i/>
          <w:iCs/>
          <w:noProof/>
          <w:lang w:val="en-US"/>
        </w:rPr>
        <w:t>Health and Quality of Life Outcomes</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19</w:t>
      </w:r>
      <w:r w:rsidRPr="00272099">
        <w:rPr>
          <w:rFonts w:ascii="Times New Roman" w:hAnsi="Times New Roman" w:cs="Times New Roman"/>
          <w:noProof/>
          <w:lang w:val="en-US"/>
        </w:rPr>
        <w:t>(1), 1–12. https://doi.org/10.1186/s12955-021-01731-x</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Solé-Auró, A., &amp; Lozano, M. (2019). </w:t>
      </w:r>
      <w:r w:rsidRPr="00272099">
        <w:rPr>
          <w:rFonts w:ascii="Times New Roman" w:hAnsi="Times New Roman" w:cs="Times New Roman"/>
          <w:noProof/>
          <w:lang w:val="en-US"/>
        </w:rPr>
        <w:t xml:space="preserve">Inequalities in Longevity by Education Level in Spain: A Life Satisfaction Approach. </w:t>
      </w:r>
      <w:r w:rsidRPr="00272099">
        <w:rPr>
          <w:rFonts w:ascii="Times New Roman" w:hAnsi="Times New Roman" w:cs="Times New Roman"/>
          <w:i/>
          <w:iCs/>
          <w:noProof/>
          <w:lang w:val="en-US"/>
        </w:rPr>
        <w:t>Social Indicators Research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144</w:t>
      </w:r>
      <w:r w:rsidRPr="00272099">
        <w:rPr>
          <w:rFonts w:ascii="Times New Roman" w:hAnsi="Times New Roman" w:cs="Times New Roman"/>
          <w:noProof/>
          <w:lang w:val="en-US"/>
        </w:rPr>
        <w:t>(2), 729–744. https://doi.org/10.1007/s11205-018-02057-w</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rPr>
      </w:pPr>
      <w:r w:rsidRPr="00272099">
        <w:rPr>
          <w:rFonts w:ascii="Times New Roman" w:hAnsi="Times New Roman" w:cs="Times New Roman"/>
          <w:noProof/>
          <w:lang w:val="en-US"/>
        </w:rPr>
        <w:t xml:space="preserve">Stagnaro, J. C., Cía, A., Vázquez, N., Vommaro, H., Nemirovsky, M., Serfaty, E., Sustas, S. E., Medina Mora, M. E., Benjet, C., Aguilar-Gaxiola, S., &amp; Kessler, R. (2018). </w:t>
      </w:r>
      <w:r w:rsidRPr="00272099">
        <w:rPr>
          <w:rFonts w:ascii="Times New Roman" w:hAnsi="Times New Roman" w:cs="Times New Roman"/>
          <w:noProof/>
        </w:rPr>
        <w:t xml:space="preserve">Estudio epidemiológico de salud mental en población general de la República Argentina. </w:t>
      </w:r>
      <w:r w:rsidRPr="00272099">
        <w:rPr>
          <w:rFonts w:ascii="Times New Roman" w:hAnsi="Times New Roman" w:cs="Times New Roman"/>
          <w:i/>
          <w:iCs/>
          <w:noProof/>
        </w:rPr>
        <w:t>VERTEX - Revista Argentina de Psiquiatría</w:t>
      </w:r>
      <w:r w:rsidRPr="00272099">
        <w:rPr>
          <w:rFonts w:ascii="Times New Roman" w:hAnsi="Times New Roman" w:cs="Times New Roman"/>
          <w:noProof/>
        </w:rPr>
        <w:t xml:space="preserve">, </w:t>
      </w:r>
      <w:r w:rsidRPr="00272099">
        <w:rPr>
          <w:rFonts w:ascii="Times New Roman" w:hAnsi="Times New Roman" w:cs="Times New Roman"/>
          <w:i/>
          <w:iCs/>
          <w:noProof/>
        </w:rPr>
        <w:t>XXIX</w:t>
      </w:r>
      <w:r w:rsidRPr="00272099">
        <w:rPr>
          <w:rFonts w:ascii="Times New Roman" w:hAnsi="Times New Roman" w:cs="Times New Roman"/>
          <w:noProof/>
        </w:rPr>
        <w:t>(142), 275–299. http://www.polemos.com.ar/docs/vertex/vertex142.pdf</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Steensma, C., Loukine, L., Orpana, H., McRae, L., Vachon, J., Mo, F., Boileau-Falardeau, M., Reid, C., &amp; Choi, B. C. (2016). </w:t>
      </w:r>
      <w:r w:rsidRPr="00272099">
        <w:rPr>
          <w:rFonts w:ascii="Times New Roman" w:hAnsi="Times New Roman" w:cs="Times New Roman"/>
          <w:noProof/>
          <w:lang w:val="en-US"/>
        </w:rPr>
        <w:t xml:space="preserve">Describing the population health burden of depression: Health-adjusted life expectancy by depression status in Canada. </w:t>
      </w:r>
      <w:r w:rsidRPr="00272099">
        <w:rPr>
          <w:rFonts w:ascii="Times New Roman" w:hAnsi="Times New Roman" w:cs="Times New Roman"/>
          <w:i/>
          <w:iCs/>
          <w:noProof/>
          <w:lang w:val="en-US"/>
        </w:rPr>
        <w:t>Health Promotion and Chronic Disease Prevention in Canada</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36</w:t>
      </w:r>
      <w:r w:rsidRPr="00272099">
        <w:rPr>
          <w:rFonts w:ascii="Times New Roman" w:hAnsi="Times New Roman" w:cs="Times New Roman"/>
          <w:noProof/>
          <w:lang w:val="en-US"/>
        </w:rPr>
        <w:t>(10), 205–213. https://doi.org/10.24095/HPCDP.36.10.01</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Strine, T. W., Chapman, D. P., Balluz, L. S., Moriarty, D. G., &amp; Mokdad, A. H. (2008). The </w:t>
      </w:r>
      <w:r w:rsidRPr="00272099">
        <w:rPr>
          <w:rFonts w:ascii="Times New Roman" w:hAnsi="Times New Roman" w:cs="Times New Roman"/>
          <w:noProof/>
          <w:lang w:val="en-US"/>
        </w:rPr>
        <w:lastRenderedPageBreak/>
        <w:t xml:space="preserve">associations between life satisfaction and health-related quality of life, chronic illness, and health behaviors among U.S. community-dwelling adults. </w:t>
      </w:r>
      <w:r w:rsidRPr="00272099">
        <w:rPr>
          <w:rFonts w:ascii="Times New Roman" w:hAnsi="Times New Roman" w:cs="Times New Roman"/>
          <w:i/>
          <w:iCs/>
          <w:noProof/>
          <w:lang w:val="en-US"/>
        </w:rPr>
        <w:t>Journal of Community Health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33</w:t>
      </w:r>
      <w:r w:rsidRPr="00272099">
        <w:rPr>
          <w:rFonts w:ascii="Times New Roman" w:hAnsi="Times New Roman" w:cs="Times New Roman"/>
          <w:noProof/>
          <w:lang w:val="en-US"/>
        </w:rPr>
        <w:t>(1), 40–50. https://doi.org/10.1007/s10900-007-9066-4</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Sullivan, D. F. (1971). A single index of mortality and morbidity. </w:t>
      </w:r>
      <w:r w:rsidRPr="00272099">
        <w:rPr>
          <w:rFonts w:ascii="Times New Roman" w:hAnsi="Times New Roman" w:cs="Times New Roman"/>
          <w:i/>
          <w:iCs/>
          <w:noProof/>
          <w:lang w:val="en-US"/>
        </w:rPr>
        <w:t>HSMHA Health Reports</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86</w:t>
      </w:r>
      <w:r w:rsidRPr="00272099">
        <w:rPr>
          <w:rFonts w:ascii="Times New Roman" w:hAnsi="Times New Roman" w:cs="Times New Roman"/>
          <w:noProof/>
          <w:lang w:val="en-US"/>
        </w:rPr>
        <w:t>(4), 347–354. https://doi.org/10.2307/4594169</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Supina, A. L., Johnson, J. A., Patten, S. B., Williams, J. V. A., &amp; Maxwell, C. J. (2007). The usefulness of the EQ-5D in differentiating among persons with major depressive episode and anxiety. </w:t>
      </w:r>
      <w:r w:rsidRPr="00272099">
        <w:rPr>
          <w:rFonts w:ascii="Times New Roman" w:hAnsi="Times New Roman" w:cs="Times New Roman"/>
          <w:i/>
          <w:iCs/>
          <w:noProof/>
          <w:lang w:val="en-US"/>
        </w:rPr>
        <w:t>Quality of Life Research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16</w:t>
      </w:r>
      <w:r w:rsidRPr="00272099">
        <w:rPr>
          <w:rFonts w:ascii="Times New Roman" w:hAnsi="Times New Roman" w:cs="Times New Roman"/>
          <w:noProof/>
          <w:lang w:val="en-US"/>
        </w:rPr>
        <w:t>(5), 749–754. https://doi.org/10.1007/s11136-006-9159-z</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Van Oyen, H., Bogaert, P., Yokota, R. T. C., &amp; Berger, N. (2018). Measuring disability: A systematic review of the validity and reliability of the Global Activity Limitations Indicator (GALI). In </w:t>
      </w:r>
      <w:r w:rsidRPr="00272099">
        <w:rPr>
          <w:rFonts w:ascii="Times New Roman" w:hAnsi="Times New Roman" w:cs="Times New Roman"/>
          <w:i/>
          <w:iCs/>
          <w:noProof/>
          <w:lang w:val="en-US"/>
        </w:rPr>
        <w:t>Archives of Public Health</w:t>
      </w:r>
      <w:r w:rsidRPr="00272099">
        <w:rPr>
          <w:rFonts w:ascii="Times New Roman" w:hAnsi="Times New Roman" w:cs="Times New Roman"/>
          <w:noProof/>
          <w:lang w:val="en-US"/>
        </w:rPr>
        <w:t xml:space="preserve"> (Vol. 76, Issue 1). BioMed Central Ltd. https://doi.org/10.1186/s13690-018-0270-8</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Van Oyen, H., Nusselder, W., Jagger, C., Kolip, P., Cambois, E., &amp; Robine, J. M. (2013). Gender differences in healthy life years within the EU: An exploration of the “health-survival” paradox. </w:t>
      </w:r>
      <w:r w:rsidRPr="00272099">
        <w:rPr>
          <w:rFonts w:ascii="Times New Roman" w:hAnsi="Times New Roman" w:cs="Times New Roman"/>
          <w:i/>
          <w:iCs/>
          <w:noProof/>
          <w:lang w:val="en-US"/>
        </w:rPr>
        <w:t>International Journal of Public Health</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58</w:t>
      </w:r>
      <w:r w:rsidRPr="00272099">
        <w:rPr>
          <w:rFonts w:ascii="Times New Roman" w:hAnsi="Times New Roman" w:cs="Times New Roman"/>
          <w:noProof/>
          <w:lang w:val="en-US"/>
        </w:rPr>
        <w:t>(1), 143–155. https://doi.org/10.1007/s00038-012-0361-1</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van Raalte, A. A., &amp; Nepomuceno, M. R. (2020). Decomposing Gaps in Healthy Life Expectancy. In </w:t>
      </w:r>
      <w:r w:rsidRPr="00272099">
        <w:rPr>
          <w:rFonts w:ascii="Times New Roman" w:hAnsi="Times New Roman" w:cs="Times New Roman"/>
          <w:i/>
          <w:iCs/>
          <w:noProof/>
          <w:lang w:val="en-US"/>
        </w:rPr>
        <w:t>International Handbooks of Population</w:t>
      </w:r>
      <w:r w:rsidRPr="00272099">
        <w:rPr>
          <w:rFonts w:ascii="Times New Roman" w:hAnsi="Times New Roman" w:cs="Times New Roman"/>
          <w:noProof/>
          <w:lang w:val="en-US"/>
        </w:rPr>
        <w:t xml:space="preserve"> (Vol. 9, pp. 107–122). Springer, Cham. https://doi.org/10.1007/978-3-030-37668-0_7</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rPr>
        <w:t xml:space="preserve">Voigt, M., Daza, S., Ordanovich, D., &amp; Palloni, A. (2020). </w:t>
      </w:r>
      <w:r w:rsidRPr="00272099">
        <w:rPr>
          <w:rFonts w:ascii="Times New Roman" w:hAnsi="Times New Roman" w:cs="Times New Roman"/>
          <w:noProof/>
          <w:lang w:val="en-US"/>
        </w:rPr>
        <w:t xml:space="preserve">Trends in Education-specific Differences in Disability-Free Life Expectancy in Spain, 2008-2017. </w:t>
      </w:r>
      <w:r w:rsidRPr="00272099">
        <w:rPr>
          <w:rFonts w:ascii="Times New Roman" w:hAnsi="Times New Roman" w:cs="Times New Roman"/>
          <w:i/>
          <w:iCs/>
          <w:noProof/>
          <w:lang w:val="en-US"/>
        </w:rPr>
        <w:t>Socrxiv Papers</w:t>
      </w:r>
      <w:r w:rsidRPr="00272099">
        <w:rPr>
          <w:rFonts w:ascii="Times New Roman" w:hAnsi="Times New Roman" w:cs="Times New Roman"/>
          <w:noProof/>
          <w:lang w:val="en-US"/>
        </w:rPr>
        <w:t>. https://doi.org/10.31235/OSF.IO/MF6N8</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Vos, T., Barber, R. M., Bell, B., Bertozzi-Villa, A., Biryukov, S., Bolliger, I., Charlson, F., Davis, A., Degenhardt, L., Dicker, D., Duan, L., Erskine, H., Feigin, V. L., Ferrari, A. J., Fitzmaurice, C., Fleming, T., Graetz, N., Guinovart, C., Haagsma, J., … Murray, C. J. L. (2015). Global, regional, and national incidence, prevalence, and years lived with disability for 301 acute and chronic diseases and injuries in 188 countries, 1990-2013: A systematic analysis for the Global Burden of Disease Study 2013. </w:t>
      </w:r>
      <w:r w:rsidRPr="00272099">
        <w:rPr>
          <w:rFonts w:ascii="Times New Roman" w:hAnsi="Times New Roman" w:cs="Times New Roman"/>
          <w:i/>
          <w:iCs/>
          <w:noProof/>
          <w:lang w:val="en-US"/>
        </w:rPr>
        <w:t>The Lancet</w:t>
      </w:r>
      <w:r w:rsidRPr="00272099">
        <w:rPr>
          <w:rFonts w:ascii="Times New Roman" w:hAnsi="Times New Roman" w:cs="Times New Roman"/>
          <w:noProof/>
          <w:lang w:val="en-US"/>
        </w:rPr>
        <w:t xml:space="preserve">, </w:t>
      </w:r>
      <w:r w:rsidRPr="00272099">
        <w:rPr>
          <w:rFonts w:ascii="Times New Roman" w:hAnsi="Times New Roman" w:cs="Times New Roman"/>
          <w:i/>
          <w:iCs/>
          <w:noProof/>
          <w:lang w:val="en-US"/>
        </w:rPr>
        <w:t>386</w:t>
      </w:r>
      <w:r w:rsidRPr="00272099">
        <w:rPr>
          <w:rFonts w:ascii="Times New Roman" w:hAnsi="Times New Roman" w:cs="Times New Roman"/>
          <w:noProof/>
          <w:lang w:val="en-US"/>
        </w:rPr>
        <w:t>(9995), 743–800. https://doi.org/10.1016/S0140-6736(15)60692-4</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Wickham, H. (2016). </w:t>
      </w:r>
      <w:r w:rsidRPr="00272099">
        <w:rPr>
          <w:rFonts w:ascii="Times New Roman" w:hAnsi="Times New Roman" w:cs="Times New Roman"/>
          <w:i/>
          <w:iCs/>
          <w:noProof/>
          <w:lang w:val="en-US"/>
        </w:rPr>
        <w:t>ggplot2: Elegant Graphics for Data Analysis.</w:t>
      </w:r>
      <w:r w:rsidRPr="00272099">
        <w:rPr>
          <w:rFonts w:ascii="Times New Roman" w:hAnsi="Times New Roman" w:cs="Times New Roman"/>
          <w:noProof/>
          <w:lang w:val="en-US"/>
        </w:rPr>
        <w:t xml:space="preserve"> Springer-Verlag New York. https://ggplot2-book.org/</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hAnsi="Times New Roman" w:cs="Times New Roman"/>
          <w:noProof/>
          <w:lang w:val="en-US"/>
        </w:rPr>
        <w:t xml:space="preserve">World Health Organization. (2017). </w:t>
      </w:r>
      <w:r w:rsidRPr="00272099">
        <w:rPr>
          <w:rFonts w:ascii="Times New Roman" w:hAnsi="Times New Roman" w:cs="Times New Roman"/>
          <w:i/>
          <w:iCs/>
          <w:noProof/>
          <w:lang w:val="en-US"/>
        </w:rPr>
        <w:t>Depression and Other Common Mental Disorders. Global Health Estimates</w:t>
      </w:r>
      <w:r w:rsidRPr="00272099">
        <w:rPr>
          <w:rFonts w:ascii="Times New Roman" w:hAnsi="Times New Roman" w:cs="Times New Roman"/>
          <w:noProof/>
          <w:lang w:val="en-US"/>
        </w:rPr>
        <w:t>. https://iris.paho.org/bitstream/handle/10665.2/34006/PAHONMH17005-spa.pdf</w:t>
      </w:r>
    </w:p>
    <w:p w:rsidR="00272099" w:rsidRPr="00272099" w:rsidRDefault="00272099" w:rsidP="00272099">
      <w:pPr>
        <w:widowControl w:val="0"/>
        <w:autoSpaceDE w:val="0"/>
        <w:autoSpaceDN w:val="0"/>
        <w:adjustRightInd w:val="0"/>
        <w:spacing w:line="240" w:lineRule="auto"/>
        <w:ind w:left="480" w:hanging="480"/>
        <w:rPr>
          <w:rFonts w:ascii="Times New Roman" w:hAnsi="Times New Roman" w:cs="Times New Roman"/>
          <w:noProof/>
          <w:lang w:val="en-US"/>
        </w:rPr>
      </w:pPr>
      <w:r w:rsidRPr="00272099">
        <w:rPr>
          <w:rFonts w:ascii="Times New Roman" w:eastAsia="Times New Roman" w:hAnsi="Times New Roman" w:cs="Times New Roman"/>
          <w:lang w:eastAsia="es-ES"/>
        </w:rPr>
        <w:fldChar w:fldCharType="end"/>
      </w:r>
      <w:r w:rsidRPr="00272099">
        <w:rPr>
          <w:rFonts w:ascii="Times New Roman" w:hAnsi="Times New Roman" w:cs="Times New Roman"/>
          <w:lang w:val="en-US"/>
        </w:rPr>
        <w:t xml:space="preserve"> World Health Organization (2014). Demographic and socioeconomic statistics. Census and civil registration coverage by country: global health observatory data repository. p. 1–2. Available on: http://apps.who.int/gho/data/node.main.12 1?lang=</w:t>
      </w:r>
      <w:proofErr w:type="spellStart"/>
      <w:r w:rsidRPr="00272099">
        <w:rPr>
          <w:rFonts w:ascii="Times New Roman" w:hAnsi="Times New Roman" w:cs="Times New Roman"/>
          <w:lang w:val="en-US"/>
        </w:rPr>
        <w:t>en</w:t>
      </w:r>
      <w:proofErr w:type="spellEnd"/>
      <w:r w:rsidRPr="00272099">
        <w:rPr>
          <w:rFonts w:ascii="Times New Roman" w:hAnsi="Times New Roman" w:cs="Times New Roman"/>
          <w:lang w:val="en-US"/>
        </w:rPr>
        <w:t xml:space="preserve"> </w:t>
      </w:r>
    </w:p>
    <w:p w:rsidR="000B0737" w:rsidRPr="00143CEE" w:rsidRDefault="000B0737" w:rsidP="00416E15">
      <w:pPr>
        <w:widowControl w:val="0"/>
        <w:autoSpaceDE w:val="0"/>
        <w:autoSpaceDN w:val="0"/>
        <w:adjustRightInd w:val="0"/>
        <w:spacing w:line="240" w:lineRule="auto"/>
        <w:ind w:left="480" w:hanging="480"/>
        <w:rPr>
          <w:rFonts w:ascii="Arial" w:eastAsia="Times New Roman" w:hAnsi="Arial" w:cs="Arial"/>
          <w:vanish/>
          <w:color w:val="000000"/>
          <w:sz w:val="24"/>
          <w:szCs w:val="24"/>
          <w:lang w:val="en-US" w:eastAsia="es-ES"/>
        </w:rPr>
      </w:pPr>
    </w:p>
    <w:p w:rsidR="000B0737" w:rsidRPr="000B0737" w:rsidRDefault="000B0737" w:rsidP="000B0737">
      <w:pPr>
        <w:rPr>
          <w:sz w:val="24"/>
          <w:szCs w:val="24"/>
          <w:lang w:val="en-US"/>
        </w:rPr>
      </w:pPr>
    </w:p>
    <w:p w:rsidR="00280AF5" w:rsidRPr="00280AF5" w:rsidRDefault="00C0577F" w:rsidP="00BA3050">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br w:type="page"/>
      </w:r>
    </w:p>
    <w:p w:rsidR="00F06BA3" w:rsidRDefault="00A82328" w:rsidP="000B0737">
      <w:pPr>
        <w:spacing w:line="360" w:lineRule="auto"/>
        <w:jc w:val="both"/>
        <w:rPr>
          <w:rFonts w:ascii="Times New Roman" w:hAnsi="Times New Roman" w:cs="Times New Roman"/>
          <w:color w:val="FF0000"/>
          <w:sz w:val="24"/>
          <w:szCs w:val="24"/>
          <w:lang w:val="es-ES"/>
        </w:rPr>
      </w:pPr>
      <w:r w:rsidRPr="00A82328">
        <w:rPr>
          <w:rFonts w:ascii="Times New Roman" w:hAnsi="Times New Roman" w:cs="Times New Roman"/>
          <w:color w:val="FF0000"/>
          <w:sz w:val="24"/>
          <w:szCs w:val="24"/>
          <w:lang w:val="es-ES"/>
        </w:rPr>
        <w:lastRenderedPageBreak/>
        <w:t>Documentación adicional para confirm</w:t>
      </w:r>
      <w:r>
        <w:rPr>
          <w:rFonts w:ascii="Times New Roman" w:hAnsi="Times New Roman" w:cs="Times New Roman"/>
          <w:color w:val="FF0000"/>
          <w:sz w:val="24"/>
          <w:szCs w:val="24"/>
          <w:lang w:val="es-ES"/>
        </w:rPr>
        <w:t>ar la postulación al premio Jorge Somoza de jóvenes investigadores/as</w:t>
      </w:r>
      <w:r w:rsidR="00F06BA3">
        <w:rPr>
          <w:rFonts w:ascii="Times New Roman" w:hAnsi="Times New Roman" w:cs="Times New Roman"/>
          <w:color w:val="FF0000"/>
          <w:sz w:val="24"/>
          <w:szCs w:val="24"/>
          <w:lang w:val="es-ES"/>
        </w:rPr>
        <w:t xml:space="preserve"> (remover del texto principal)</w:t>
      </w:r>
      <w:r>
        <w:rPr>
          <w:rFonts w:ascii="Times New Roman" w:hAnsi="Times New Roman" w:cs="Times New Roman"/>
          <w:color w:val="FF0000"/>
          <w:sz w:val="24"/>
          <w:szCs w:val="24"/>
          <w:lang w:val="es-ES"/>
        </w:rPr>
        <w:t>:</w:t>
      </w:r>
    </w:p>
    <w:p w:rsidR="00DC70FB" w:rsidRDefault="00F06BA3" w:rsidP="000B0737">
      <w:pPr>
        <w:spacing w:line="360" w:lineRule="auto"/>
        <w:jc w:val="both"/>
        <w:rPr>
          <w:rFonts w:ascii="Times New Roman" w:hAnsi="Times New Roman" w:cs="Times New Roman"/>
          <w:noProof/>
          <w:color w:val="FF0000"/>
          <w:sz w:val="24"/>
          <w:szCs w:val="24"/>
          <w:lang w:val="es-ES"/>
        </w:rPr>
      </w:pPr>
      <w:r w:rsidRPr="00F06BA3">
        <w:rPr>
          <w:rFonts w:ascii="Times New Roman" w:hAnsi="Times New Roman" w:cs="Times New Roman"/>
          <w:noProof/>
          <w:color w:val="FF0000"/>
          <w:sz w:val="24"/>
          <w:szCs w:val="24"/>
          <w:lang w:val="es-ES"/>
        </w:rPr>
        <w:drawing>
          <wp:inline distT="0" distB="0" distL="0" distR="0" wp14:anchorId="0C3EE3FE" wp14:editId="63BD50DA">
            <wp:extent cx="3629025" cy="26128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2588" cy="2637065"/>
                    </a:xfrm>
                    <a:prstGeom prst="rect">
                      <a:avLst/>
                    </a:prstGeom>
                    <a:noFill/>
                    <a:ln>
                      <a:noFill/>
                    </a:ln>
                  </pic:spPr>
                </pic:pic>
              </a:graphicData>
            </a:graphic>
          </wp:inline>
        </w:drawing>
      </w:r>
    </w:p>
    <w:p w:rsidR="00F06BA3" w:rsidRPr="00F06BA3" w:rsidRDefault="00F06BA3" w:rsidP="000B0737">
      <w:pPr>
        <w:spacing w:line="360" w:lineRule="auto"/>
        <w:jc w:val="both"/>
        <w:rPr>
          <w:rFonts w:ascii="Times New Roman" w:hAnsi="Times New Roman" w:cs="Times New Roman"/>
          <w:color w:val="FF0000"/>
          <w:sz w:val="24"/>
          <w:szCs w:val="24"/>
          <w:lang w:val="es-ES"/>
        </w:rPr>
      </w:pPr>
      <w:r w:rsidRPr="00F06BA3">
        <w:rPr>
          <w:rFonts w:ascii="Times New Roman" w:hAnsi="Times New Roman" w:cs="Times New Roman"/>
          <w:noProof/>
          <w:color w:val="FF0000"/>
          <w:sz w:val="24"/>
          <w:szCs w:val="24"/>
          <w:lang w:val="es-ES"/>
        </w:rPr>
        <w:drawing>
          <wp:inline distT="0" distB="0" distL="0" distR="0">
            <wp:extent cx="3686175" cy="233602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427" cy="2346959"/>
                    </a:xfrm>
                    <a:prstGeom prst="rect">
                      <a:avLst/>
                    </a:prstGeom>
                    <a:noFill/>
                    <a:ln>
                      <a:noFill/>
                    </a:ln>
                  </pic:spPr>
                </pic:pic>
              </a:graphicData>
            </a:graphic>
          </wp:inline>
        </w:drawing>
      </w:r>
    </w:p>
    <w:sectPr w:rsidR="00F06BA3" w:rsidRPr="00F06BA3" w:rsidSect="0012426B">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ECB" w:rsidRDefault="00AA0ECB" w:rsidP="00843D5D">
      <w:pPr>
        <w:spacing w:after="0" w:line="240" w:lineRule="auto"/>
      </w:pPr>
      <w:r>
        <w:separator/>
      </w:r>
    </w:p>
  </w:endnote>
  <w:endnote w:type="continuationSeparator" w:id="0">
    <w:p w:rsidR="00AA0ECB" w:rsidRDefault="00AA0ECB" w:rsidP="00843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06851"/>
      <w:docPartObj>
        <w:docPartGallery w:val="Page Numbers (Bottom of Page)"/>
        <w:docPartUnique/>
      </w:docPartObj>
    </w:sdtPr>
    <w:sdtContent>
      <w:p w:rsidR="00127C9C" w:rsidRDefault="00127C9C">
        <w:pPr>
          <w:pStyle w:val="Piedepgina"/>
          <w:jc w:val="right"/>
        </w:pPr>
        <w:r>
          <w:fldChar w:fldCharType="begin"/>
        </w:r>
        <w:r>
          <w:instrText>PAGE   \* MERGEFORMAT</w:instrText>
        </w:r>
        <w:r>
          <w:fldChar w:fldCharType="separate"/>
        </w:r>
        <w:r w:rsidRPr="003D610F">
          <w:rPr>
            <w:noProof/>
            <w:lang w:val="es-ES"/>
          </w:rPr>
          <w:t>1</w:t>
        </w:r>
        <w:r>
          <w:fldChar w:fldCharType="end"/>
        </w:r>
      </w:p>
    </w:sdtContent>
  </w:sdt>
  <w:p w:rsidR="00127C9C" w:rsidRDefault="00127C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ECB" w:rsidRDefault="00AA0ECB" w:rsidP="00843D5D">
      <w:pPr>
        <w:spacing w:after="0" w:line="240" w:lineRule="auto"/>
      </w:pPr>
      <w:r>
        <w:separator/>
      </w:r>
    </w:p>
  </w:footnote>
  <w:footnote w:type="continuationSeparator" w:id="0">
    <w:p w:rsidR="00AA0ECB" w:rsidRDefault="00AA0ECB" w:rsidP="00843D5D">
      <w:pPr>
        <w:spacing w:after="0" w:line="240" w:lineRule="auto"/>
      </w:pPr>
      <w:r>
        <w:continuationSeparator/>
      </w:r>
    </w:p>
  </w:footnote>
  <w:footnote w:id="1">
    <w:p w:rsidR="00127C9C" w:rsidRPr="000B0737" w:rsidRDefault="00127C9C">
      <w:pPr>
        <w:pStyle w:val="Textonotapie"/>
      </w:pPr>
      <w:r>
        <w:rPr>
          <w:rStyle w:val="Refdenotaalpie"/>
        </w:rPr>
        <w:footnoteRef/>
      </w:r>
      <w:r>
        <w:t xml:space="preserve"> Parte de los resultados presentados en este artículo pueden forman parte de la Tesis de Octavio Nicolas Bramajo, en el programa de Doctorado en Demografía de la </w:t>
      </w:r>
      <w:proofErr w:type="spellStart"/>
      <w:r>
        <w:t>Universitat</w:t>
      </w:r>
      <w:proofErr w:type="spellEnd"/>
      <w:r>
        <w:t xml:space="preserve"> </w:t>
      </w:r>
      <w:proofErr w:type="spellStart"/>
      <w:r>
        <w:t>Autònoma</w:t>
      </w:r>
      <w:proofErr w:type="spellEnd"/>
      <w:r>
        <w:t xml:space="preserve"> de Barcelona.</w:t>
      </w:r>
    </w:p>
  </w:footnote>
  <w:footnote w:id="2">
    <w:p w:rsidR="00127C9C" w:rsidRDefault="00127C9C" w:rsidP="000B0737">
      <w:pPr>
        <w:pStyle w:val="Textonotapie"/>
      </w:pPr>
      <w:r>
        <w:rPr>
          <w:rStyle w:val="Refdenotaalpie"/>
        </w:rPr>
        <w:footnoteRef/>
      </w:r>
      <w:r>
        <w:t xml:space="preserve"> El autor del trabajo cumple con las condiciones requeridas para postularse al premio Jorge Somoza para jóvenes investigadores/as.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C9C" w:rsidRDefault="00127C9C">
    <w:pPr>
      <w:pStyle w:val="Encabezado"/>
    </w:pPr>
    <w:r w:rsidRPr="00843D5D">
      <w:rPr>
        <w:noProof/>
        <w:lang w:eastAsia="es-AR"/>
      </w:rPr>
      <w:drawing>
        <wp:inline distT="0" distB="0" distL="0" distR="0">
          <wp:extent cx="5400040" cy="786998"/>
          <wp:effectExtent l="0" t="0" r="0" b="0"/>
          <wp:docPr id="3" name="Imagen 3" descr="C:\Users\laude\Desktop\trabajo\AEPA CD 2020\boletín\Banner2-XVI-jornada-AE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de\Desktop\trabajo\AEPA CD 2020\boletín\Banner2-XVI-jornada-AEP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78699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NbM0MDazNLewtDRT0lEKTi0uzszPAykwqgUAqqmJ4ywAAAA="/>
  </w:docVars>
  <w:rsids>
    <w:rsidRoot w:val="00FD7B2D"/>
    <w:rsid w:val="00044771"/>
    <w:rsid w:val="00047D6C"/>
    <w:rsid w:val="00096724"/>
    <w:rsid w:val="000B0737"/>
    <w:rsid w:val="0012426B"/>
    <w:rsid w:val="00127C9C"/>
    <w:rsid w:val="001F604E"/>
    <w:rsid w:val="002410F4"/>
    <w:rsid w:val="0027061C"/>
    <w:rsid w:val="00272099"/>
    <w:rsid w:val="00280AF5"/>
    <w:rsid w:val="002E1D57"/>
    <w:rsid w:val="0039227C"/>
    <w:rsid w:val="003D610F"/>
    <w:rsid w:val="003E7BA9"/>
    <w:rsid w:val="00416E15"/>
    <w:rsid w:val="004351E3"/>
    <w:rsid w:val="00490201"/>
    <w:rsid w:val="005F51F8"/>
    <w:rsid w:val="006D5D6C"/>
    <w:rsid w:val="006E6CCC"/>
    <w:rsid w:val="00701195"/>
    <w:rsid w:val="00843D5D"/>
    <w:rsid w:val="008F64E6"/>
    <w:rsid w:val="009417F5"/>
    <w:rsid w:val="00A81A32"/>
    <w:rsid w:val="00A82328"/>
    <w:rsid w:val="00AA0ECB"/>
    <w:rsid w:val="00AF3990"/>
    <w:rsid w:val="00B068ED"/>
    <w:rsid w:val="00BA3050"/>
    <w:rsid w:val="00BA3991"/>
    <w:rsid w:val="00BE3C6A"/>
    <w:rsid w:val="00C0577F"/>
    <w:rsid w:val="00C06904"/>
    <w:rsid w:val="00CE61C0"/>
    <w:rsid w:val="00D2022B"/>
    <w:rsid w:val="00D3168A"/>
    <w:rsid w:val="00D502A6"/>
    <w:rsid w:val="00D50C51"/>
    <w:rsid w:val="00DC70FB"/>
    <w:rsid w:val="00DD2808"/>
    <w:rsid w:val="00E04C79"/>
    <w:rsid w:val="00EE08D0"/>
    <w:rsid w:val="00F06BA3"/>
    <w:rsid w:val="00F47498"/>
    <w:rsid w:val="00F56375"/>
    <w:rsid w:val="00FD7B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04597"/>
  <w15:chartTrackingRefBased/>
  <w15:docId w15:val="{4423C50A-F2AF-4A53-A067-867DBEE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3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3D5D"/>
  </w:style>
  <w:style w:type="paragraph" w:styleId="Piedepgina">
    <w:name w:val="footer"/>
    <w:basedOn w:val="Normal"/>
    <w:link w:val="PiedepginaCar"/>
    <w:uiPriority w:val="99"/>
    <w:unhideWhenUsed/>
    <w:rsid w:val="00843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3D5D"/>
  </w:style>
  <w:style w:type="paragraph" w:styleId="Textonotapie">
    <w:name w:val="footnote text"/>
    <w:basedOn w:val="Normal"/>
    <w:link w:val="TextonotapieCar"/>
    <w:uiPriority w:val="99"/>
    <w:semiHidden/>
    <w:unhideWhenUsed/>
    <w:rsid w:val="0027061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061C"/>
    <w:rPr>
      <w:sz w:val="20"/>
      <w:szCs w:val="20"/>
    </w:rPr>
  </w:style>
  <w:style w:type="character" w:styleId="Refdenotaalpie">
    <w:name w:val="footnote reference"/>
    <w:basedOn w:val="Fuentedeprrafopredeter"/>
    <w:uiPriority w:val="99"/>
    <w:semiHidden/>
    <w:unhideWhenUsed/>
    <w:rsid w:val="0027061C"/>
    <w:rPr>
      <w:vertAlign w:val="superscript"/>
    </w:rPr>
  </w:style>
  <w:style w:type="character" w:styleId="Hipervnculo">
    <w:name w:val="Hyperlink"/>
    <w:basedOn w:val="Fuentedeprrafopredeter"/>
    <w:uiPriority w:val="99"/>
    <w:semiHidden/>
    <w:unhideWhenUsed/>
    <w:rsid w:val="000B0737"/>
    <w:rPr>
      <w:color w:val="0563C1"/>
      <w:u w:val="single"/>
    </w:rPr>
  </w:style>
  <w:style w:type="paragraph" w:styleId="Textodeglobo">
    <w:name w:val="Balloon Text"/>
    <w:basedOn w:val="Normal"/>
    <w:link w:val="TextodegloboCar"/>
    <w:uiPriority w:val="99"/>
    <w:semiHidden/>
    <w:unhideWhenUsed/>
    <w:rsid w:val="000B0737"/>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0B0737"/>
    <w:rPr>
      <w:rFonts w:ascii="Tahoma" w:hAnsi="Tahoma" w:cs="Tahoma"/>
      <w:sz w:val="16"/>
      <w:szCs w:val="16"/>
      <w:lang w:val="es-ES"/>
    </w:rPr>
  </w:style>
  <w:style w:type="table" w:styleId="Tablaconcuadrcula">
    <w:name w:val="Table Grid"/>
    <w:basedOn w:val="Tablanormal"/>
    <w:uiPriority w:val="39"/>
    <w:rsid w:val="000B07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B0737"/>
    <w:rPr>
      <w:sz w:val="16"/>
      <w:szCs w:val="16"/>
    </w:rPr>
  </w:style>
  <w:style w:type="paragraph" w:styleId="Textocomentario">
    <w:name w:val="annotation text"/>
    <w:basedOn w:val="Normal"/>
    <w:link w:val="TextocomentarioCar"/>
    <w:uiPriority w:val="99"/>
    <w:semiHidden/>
    <w:unhideWhenUsed/>
    <w:rsid w:val="000B0737"/>
    <w:pPr>
      <w:spacing w:after="200"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0B0737"/>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0B0737"/>
    <w:rPr>
      <w:b/>
      <w:bCs/>
    </w:rPr>
  </w:style>
  <w:style w:type="character" w:customStyle="1" w:styleId="AsuntodelcomentarioCar">
    <w:name w:val="Asunto del comentario Car"/>
    <w:basedOn w:val="TextocomentarioCar"/>
    <w:link w:val="Asuntodelcomentario"/>
    <w:uiPriority w:val="99"/>
    <w:semiHidden/>
    <w:rsid w:val="000B0737"/>
    <w:rPr>
      <w:b/>
      <w:bCs/>
      <w:sz w:val="20"/>
      <w:szCs w:val="20"/>
      <w:lang w:val="es-ES"/>
    </w:rPr>
  </w:style>
  <w:style w:type="character" w:customStyle="1" w:styleId="ts-alignment-element">
    <w:name w:val="ts-alignment-element"/>
    <w:basedOn w:val="Fuentedeprrafopredeter"/>
    <w:rsid w:val="000B0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bramajo@ced.uab.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B211F-1D63-484A-ABE7-0AA355B4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24</Pages>
  <Words>11204</Words>
  <Characters>63868</Characters>
  <Application>Microsoft Office Word</Application>
  <DocSecurity>0</DocSecurity>
  <Lines>532</Lines>
  <Paragraphs>149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Acosta</dc:creator>
  <cp:keywords/>
  <dc:description/>
  <cp:lastModifiedBy>Octavio Bramajo</cp:lastModifiedBy>
  <cp:revision>8</cp:revision>
  <dcterms:created xsi:type="dcterms:W3CDTF">2021-08-27T12:18:00Z</dcterms:created>
  <dcterms:modified xsi:type="dcterms:W3CDTF">2021-09-09T15:15:00Z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ae84b7b9-63fa-37d9-9013-b3b79a164599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