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41E1" w14:textId="70596023" w:rsidR="002D5AEF" w:rsidRDefault="7D4FDF97" w:rsidP="67C8E18F">
      <w:pPr>
        <w:spacing w:line="257" w:lineRule="auto"/>
        <w:rPr>
          <w:rFonts w:ascii="Times New Roman" w:eastAsia="Times New Roman" w:hAnsi="Times New Roman" w:cs="Times New Roman"/>
        </w:rPr>
      </w:pPr>
      <w:r w:rsidRPr="67C8E18F">
        <w:rPr>
          <w:rFonts w:ascii="Times New Roman" w:eastAsia="Times New Roman" w:hAnsi="Times New Roman" w:cs="Times New Roman"/>
        </w:rPr>
        <w:t xml:space="preserve">A tale of two halves: </w:t>
      </w:r>
      <w:r w:rsidR="001F646C">
        <w:rPr>
          <w:rFonts w:ascii="Times New Roman" w:eastAsia="Times New Roman" w:hAnsi="Times New Roman" w:cs="Times New Roman"/>
        </w:rPr>
        <w:t>A</w:t>
      </w:r>
      <w:r w:rsidRPr="67C8E18F">
        <w:rPr>
          <w:rFonts w:ascii="Times New Roman" w:eastAsia="Times New Roman" w:hAnsi="Times New Roman" w:cs="Times New Roman"/>
        </w:rPr>
        <w:t xml:space="preserve">ge-specific trends in limitations to daily activities in older Americans by race and ethnicity </w:t>
      </w:r>
      <w:r w:rsidR="00690EBC">
        <w:rPr>
          <w:rFonts w:ascii="Times New Roman" w:eastAsia="Times New Roman" w:hAnsi="Times New Roman" w:cs="Times New Roman"/>
        </w:rPr>
        <w:t>2000-2009</w:t>
      </w:r>
      <w:r w:rsidR="001F646C">
        <w:rPr>
          <w:rFonts w:ascii="Times New Roman" w:eastAsia="Times New Roman" w:hAnsi="Times New Roman" w:cs="Times New Roman"/>
        </w:rPr>
        <w:t xml:space="preserve"> </w:t>
      </w:r>
      <w:r w:rsidR="00690EBC">
        <w:rPr>
          <w:rFonts w:ascii="Times New Roman" w:eastAsia="Times New Roman" w:hAnsi="Times New Roman" w:cs="Times New Roman"/>
        </w:rPr>
        <w:t>and 2010-</w:t>
      </w:r>
      <w:r w:rsidR="001F646C">
        <w:rPr>
          <w:rFonts w:ascii="Times New Roman" w:eastAsia="Times New Roman" w:hAnsi="Times New Roman" w:cs="Times New Roman"/>
        </w:rPr>
        <w:t>20</w:t>
      </w:r>
      <w:r w:rsidRPr="67C8E18F">
        <w:rPr>
          <w:rFonts w:ascii="Times New Roman" w:eastAsia="Times New Roman" w:hAnsi="Times New Roman" w:cs="Times New Roman"/>
        </w:rPr>
        <w:t>18</w:t>
      </w:r>
    </w:p>
    <w:p w14:paraId="6E1C3674" w14:textId="3E96E8A6" w:rsidR="002D5AEF" w:rsidRDefault="7D4FDF97" w:rsidP="67C8E18F">
      <w:pPr>
        <w:spacing w:line="257" w:lineRule="auto"/>
      </w:pPr>
      <w:r w:rsidRPr="67C8E18F">
        <w:rPr>
          <w:rFonts w:ascii="Times New Roman" w:eastAsia="Times New Roman" w:hAnsi="Times New Roman" w:cs="Times New Roman"/>
        </w:rPr>
        <w:t xml:space="preserve"> </w:t>
      </w:r>
    </w:p>
    <w:p w14:paraId="1FC9673F" w14:textId="1BFF0602" w:rsidR="002D5AEF" w:rsidRPr="00593C4B" w:rsidRDefault="7D4FDF97" w:rsidP="67C8E18F">
      <w:pPr>
        <w:spacing w:line="257" w:lineRule="auto"/>
      </w:pPr>
      <w:r w:rsidRPr="00593C4B">
        <w:rPr>
          <w:rFonts w:ascii="Times New Roman" w:eastAsia="Times New Roman" w:hAnsi="Times New Roman" w:cs="Times New Roman"/>
        </w:rPr>
        <w:t>Octavio Bramajo, Ph.D.</w:t>
      </w:r>
    </w:p>
    <w:p w14:paraId="4D46EA6E" w14:textId="7867B6A7" w:rsidR="002D5AEF" w:rsidRDefault="7D4FDF97" w:rsidP="67C8E18F">
      <w:pPr>
        <w:spacing w:line="257" w:lineRule="auto"/>
        <w:rPr>
          <w:rFonts w:ascii="Times New Roman" w:eastAsia="Times New Roman" w:hAnsi="Times New Roman" w:cs="Times New Roman"/>
        </w:rPr>
      </w:pPr>
      <w:r w:rsidRPr="67C8E18F">
        <w:rPr>
          <w:rFonts w:ascii="Times New Roman" w:eastAsia="Times New Roman" w:hAnsi="Times New Roman" w:cs="Times New Roman"/>
        </w:rPr>
        <w:t>Brandon O’Grady, M.S.</w:t>
      </w:r>
    </w:p>
    <w:p w14:paraId="17B94B71" w14:textId="5BE02E6A" w:rsidR="00494EF0" w:rsidRDefault="00494EF0" w:rsidP="67C8E18F">
      <w:pPr>
        <w:spacing w:line="257" w:lineRule="auto"/>
      </w:pPr>
      <w:r>
        <w:rPr>
          <w:rFonts w:ascii="Times New Roman" w:eastAsia="Times New Roman" w:hAnsi="Times New Roman" w:cs="Times New Roman"/>
        </w:rPr>
        <w:t>Moumita Chakraborty, Ph.D.</w:t>
      </w:r>
    </w:p>
    <w:p w14:paraId="49F7557B" w14:textId="41D8E793" w:rsidR="00587556" w:rsidRPr="00593C4B" w:rsidRDefault="00587556" w:rsidP="00587556">
      <w:pPr>
        <w:spacing w:line="257" w:lineRule="auto"/>
      </w:pPr>
      <w:r w:rsidRPr="00593C4B">
        <w:rPr>
          <w:rFonts w:ascii="Times New Roman" w:eastAsia="Times New Roman" w:hAnsi="Times New Roman" w:cs="Times New Roman"/>
        </w:rPr>
        <w:t>Neil Mehta, Ph.D.</w:t>
      </w:r>
    </w:p>
    <w:p w14:paraId="77A61944" w14:textId="30973F54" w:rsidR="002D5AEF" w:rsidRDefault="002D5AEF" w:rsidP="67C8E18F">
      <w:pPr>
        <w:spacing w:line="257" w:lineRule="auto"/>
      </w:pPr>
    </w:p>
    <w:p w14:paraId="32A283D2" w14:textId="77777777" w:rsidR="001F646C" w:rsidRDefault="001F646C">
      <w:pPr>
        <w:rPr>
          <w:rFonts w:ascii="Times New Roman" w:eastAsia="Times New Roman" w:hAnsi="Times New Roman" w:cs="Times New Roman"/>
          <w:b/>
          <w:bCs/>
        </w:rPr>
      </w:pPr>
      <w:r>
        <w:rPr>
          <w:rFonts w:ascii="Times New Roman" w:eastAsia="Times New Roman" w:hAnsi="Times New Roman" w:cs="Times New Roman"/>
          <w:b/>
          <w:bCs/>
        </w:rPr>
        <w:br w:type="page"/>
      </w:r>
    </w:p>
    <w:p w14:paraId="4AB1B141" w14:textId="7BF2F4B3" w:rsidR="002D5AEF" w:rsidRPr="00A12CF5" w:rsidRDefault="7D4FDF97" w:rsidP="67C8E18F">
      <w:pPr>
        <w:spacing w:line="257" w:lineRule="auto"/>
        <w:jc w:val="both"/>
        <w:rPr>
          <w:sz w:val="28"/>
          <w:szCs w:val="28"/>
        </w:rPr>
      </w:pPr>
      <w:r w:rsidRPr="00A12CF5">
        <w:rPr>
          <w:rFonts w:ascii="Times New Roman" w:eastAsia="Times New Roman" w:hAnsi="Times New Roman" w:cs="Times New Roman"/>
          <w:b/>
          <w:bCs/>
          <w:sz w:val="28"/>
          <w:szCs w:val="28"/>
        </w:rPr>
        <w:lastRenderedPageBreak/>
        <w:t>Abstract</w:t>
      </w:r>
    </w:p>
    <w:p w14:paraId="7014E438" w14:textId="77777777" w:rsidR="00690EBC" w:rsidRDefault="00690EBC" w:rsidP="00642CDA">
      <w:pPr>
        <w:spacing w:line="257" w:lineRule="auto"/>
        <w:jc w:val="both"/>
        <w:rPr>
          <w:rFonts w:ascii="Times New Roman" w:eastAsia="Times New Roman" w:hAnsi="Times New Roman" w:cs="Times New Roman"/>
        </w:rPr>
      </w:pPr>
    </w:p>
    <w:p w14:paraId="26EBFA4B" w14:textId="462C1822" w:rsidR="00642CDA" w:rsidRDefault="00642CDA" w:rsidP="00642CDA">
      <w:pPr>
        <w:spacing w:line="257" w:lineRule="auto"/>
        <w:jc w:val="both"/>
      </w:pPr>
      <w:r w:rsidRPr="67C8E18F">
        <w:rPr>
          <w:rFonts w:ascii="Times New Roman" w:eastAsia="Times New Roman" w:hAnsi="Times New Roman" w:cs="Times New Roman"/>
        </w:rPr>
        <w:t>Background. During the first decade of the 2000s</w:t>
      </w:r>
      <w:r>
        <w:rPr>
          <w:rFonts w:ascii="Times New Roman" w:eastAsia="Times New Roman" w:hAnsi="Times New Roman" w:cs="Times New Roman"/>
        </w:rPr>
        <w:t>,</w:t>
      </w:r>
      <w:r w:rsidRPr="67C8E18F">
        <w:rPr>
          <w:rFonts w:ascii="Times New Roman" w:eastAsia="Times New Roman" w:hAnsi="Times New Roman" w:cs="Times New Roman"/>
        </w:rPr>
        <w:t xml:space="preserve"> the prevalence of limitations </w:t>
      </w:r>
      <w:r w:rsidR="00EF60F4">
        <w:rPr>
          <w:rFonts w:ascii="Times New Roman" w:eastAsia="Times New Roman" w:hAnsi="Times New Roman" w:cs="Times New Roman"/>
        </w:rPr>
        <w:t>in</w:t>
      </w:r>
      <w:r w:rsidRPr="67C8E18F">
        <w:rPr>
          <w:rFonts w:ascii="Times New Roman" w:eastAsia="Times New Roman" w:hAnsi="Times New Roman" w:cs="Times New Roman"/>
        </w:rPr>
        <w:t xml:space="preserve"> daily activities increased</w:t>
      </w:r>
      <w:r>
        <w:rPr>
          <w:rFonts w:ascii="Times New Roman" w:eastAsia="Times New Roman" w:hAnsi="Times New Roman" w:cs="Times New Roman"/>
        </w:rPr>
        <w:t xml:space="preserve"> </w:t>
      </w:r>
      <w:r w:rsidR="00EF60F4">
        <w:rPr>
          <w:rFonts w:ascii="Times New Roman" w:eastAsia="Times New Roman" w:hAnsi="Times New Roman" w:cs="Times New Roman"/>
        </w:rPr>
        <w:t xml:space="preserve">among </w:t>
      </w:r>
      <w:r w:rsidRPr="67C8E18F">
        <w:rPr>
          <w:rFonts w:ascii="Times New Roman" w:eastAsia="Times New Roman" w:hAnsi="Times New Roman" w:cs="Times New Roman"/>
        </w:rPr>
        <w:t>older Americans. It</w:t>
      </w:r>
      <w:r>
        <w:rPr>
          <w:rFonts w:ascii="Times New Roman" w:eastAsia="Times New Roman" w:hAnsi="Times New Roman" w:cs="Times New Roman"/>
        </w:rPr>
        <w:t xml:space="preserve"> is</w:t>
      </w:r>
      <w:r w:rsidRPr="67C8E18F">
        <w:rPr>
          <w:rFonts w:ascii="Times New Roman" w:eastAsia="Times New Roman" w:hAnsi="Times New Roman" w:cs="Times New Roman"/>
        </w:rPr>
        <w:t xml:space="preserve"> </w:t>
      </w:r>
      <w:r>
        <w:rPr>
          <w:rFonts w:ascii="Times New Roman" w:eastAsia="Times New Roman" w:hAnsi="Times New Roman" w:cs="Times New Roman"/>
        </w:rPr>
        <w:t>unclear</w:t>
      </w:r>
      <w:r w:rsidRPr="67C8E18F">
        <w:rPr>
          <w:rFonts w:ascii="Times New Roman" w:eastAsia="Times New Roman" w:hAnsi="Times New Roman" w:cs="Times New Roman"/>
        </w:rPr>
        <w:t xml:space="preserve"> </w:t>
      </w:r>
      <w:r w:rsidR="00EF60F4">
        <w:rPr>
          <w:rFonts w:ascii="Times New Roman" w:eastAsia="Times New Roman" w:hAnsi="Times New Roman" w:cs="Times New Roman"/>
        </w:rPr>
        <w:t xml:space="preserve">whether these adverse have continued </w:t>
      </w:r>
      <w:r w:rsidR="00F60D64">
        <w:rPr>
          <w:rFonts w:ascii="Times New Roman" w:eastAsia="Times New Roman" w:hAnsi="Times New Roman" w:cs="Times New Roman"/>
        </w:rPr>
        <w:t xml:space="preserve">after 2010, </w:t>
      </w:r>
      <w:r w:rsidRPr="67C8E18F">
        <w:rPr>
          <w:rFonts w:ascii="Times New Roman" w:eastAsia="Times New Roman" w:hAnsi="Times New Roman" w:cs="Times New Roman"/>
        </w:rPr>
        <w:t>and how</w:t>
      </w:r>
      <w:r w:rsidR="00F60D64">
        <w:rPr>
          <w:rFonts w:ascii="Times New Roman" w:eastAsia="Times New Roman" w:hAnsi="Times New Roman" w:cs="Times New Roman"/>
        </w:rPr>
        <w:t xml:space="preserve"> </w:t>
      </w:r>
      <w:r w:rsidR="00E63C66">
        <w:rPr>
          <w:rFonts w:ascii="Times New Roman" w:eastAsia="Times New Roman" w:hAnsi="Times New Roman" w:cs="Times New Roman"/>
        </w:rPr>
        <w:t xml:space="preserve">trends differ </w:t>
      </w:r>
      <w:r w:rsidRPr="67C8E18F">
        <w:rPr>
          <w:rFonts w:ascii="Times New Roman" w:eastAsia="Times New Roman" w:hAnsi="Times New Roman" w:cs="Times New Roman"/>
        </w:rPr>
        <w:t xml:space="preserve">by </w:t>
      </w:r>
      <w:r w:rsidR="00E63C66">
        <w:rPr>
          <w:rFonts w:ascii="Times New Roman" w:eastAsia="Times New Roman" w:hAnsi="Times New Roman" w:cs="Times New Roman"/>
        </w:rPr>
        <w:t xml:space="preserve">age group, </w:t>
      </w:r>
      <w:r w:rsidRPr="67C8E18F">
        <w:rPr>
          <w:rFonts w:ascii="Times New Roman" w:eastAsia="Times New Roman" w:hAnsi="Times New Roman" w:cs="Times New Roman"/>
        </w:rPr>
        <w:t xml:space="preserve">sex, </w:t>
      </w:r>
      <w:r w:rsidR="00E63C66">
        <w:rPr>
          <w:rFonts w:ascii="Times New Roman" w:eastAsia="Times New Roman" w:hAnsi="Times New Roman" w:cs="Times New Roman"/>
        </w:rPr>
        <w:t xml:space="preserve">and </w:t>
      </w:r>
      <w:r w:rsidRPr="67C8E18F">
        <w:rPr>
          <w:rFonts w:ascii="Times New Roman" w:eastAsia="Times New Roman" w:hAnsi="Times New Roman" w:cs="Times New Roman"/>
        </w:rPr>
        <w:t>race</w:t>
      </w:r>
      <w:r w:rsidR="00E63C66">
        <w:rPr>
          <w:rFonts w:ascii="Times New Roman" w:eastAsia="Times New Roman" w:hAnsi="Times New Roman" w:cs="Times New Roman"/>
        </w:rPr>
        <w:t>/</w:t>
      </w:r>
      <w:r w:rsidRPr="67C8E18F">
        <w:rPr>
          <w:rFonts w:ascii="Times New Roman" w:eastAsia="Times New Roman" w:hAnsi="Times New Roman" w:cs="Times New Roman"/>
        </w:rPr>
        <w:t xml:space="preserve">ethnicity. </w:t>
      </w:r>
    </w:p>
    <w:p w14:paraId="45EDD1EF" w14:textId="35E58F90" w:rsidR="00642CDA" w:rsidRPr="00593C4B" w:rsidRDefault="00642CDA" w:rsidP="00642CDA">
      <w:pPr>
        <w:spacing w:line="257" w:lineRule="auto"/>
        <w:rPr>
          <w:rFonts w:ascii="Times New Roman" w:eastAsia="Times New Roman" w:hAnsi="Times New Roman" w:cs="Times New Roman"/>
        </w:rPr>
      </w:pPr>
      <w:r w:rsidRPr="67C8E18F">
        <w:rPr>
          <w:rFonts w:ascii="Times New Roman" w:eastAsia="Times New Roman" w:hAnsi="Times New Roman" w:cs="Times New Roman"/>
        </w:rPr>
        <w:t xml:space="preserve">Data and Methods: </w:t>
      </w:r>
      <w:r>
        <w:rPr>
          <w:rFonts w:ascii="Times New Roman" w:eastAsia="Times New Roman" w:hAnsi="Times New Roman" w:cs="Times New Roman"/>
        </w:rPr>
        <w:t>Using data</w:t>
      </w:r>
      <w:r w:rsidRPr="67C8E18F">
        <w:rPr>
          <w:rFonts w:ascii="Times New Roman" w:eastAsia="Times New Roman" w:hAnsi="Times New Roman" w:cs="Times New Roman"/>
        </w:rPr>
        <w:t xml:space="preserve"> from the National </w:t>
      </w:r>
      <w:r w:rsidR="00F60D64">
        <w:rPr>
          <w:rFonts w:ascii="Times New Roman" w:eastAsia="Times New Roman" w:hAnsi="Times New Roman" w:cs="Times New Roman"/>
        </w:rPr>
        <w:t xml:space="preserve">Health </w:t>
      </w:r>
      <w:r w:rsidRPr="67C8E18F">
        <w:rPr>
          <w:rFonts w:ascii="Times New Roman" w:eastAsia="Times New Roman" w:hAnsi="Times New Roman" w:cs="Times New Roman"/>
        </w:rPr>
        <w:t xml:space="preserve">Interview Survey (NHIS), from 2000 to 2018, we </w:t>
      </w:r>
      <w:r>
        <w:rPr>
          <w:rFonts w:ascii="Times New Roman" w:eastAsia="Times New Roman" w:hAnsi="Times New Roman" w:cs="Times New Roman"/>
        </w:rPr>
        <w:t>modeled</w:t>
      </w:r>
      <w:r w:rsidRPr="67C8E18F">
        <w:rPr>
          <w:rFonts w:ascii="Times New Roman" w:eastAsia="Times New Roman" w:hAnsi="Times New Roman" w:cs="Times New Roman"/>
        </w:rPr>
        <w:t xml:space="preserve"> </w:t>
      </w:r>
      <w:r w:rsidR="00D37FE6">
        <w:rPr>
          <w:rFonts w:ascii="Times New Roman" w:eastAsia="Times New Roman" w:hAnsi="Times New Roman" w:cs="Times New Roman"/>
        </w:rPr>
        <w:t xml:space="preserve">the </w:t>
      </w:r>
      <w:r w:rsidRPr="67C8E18F">
        <w:rPr>
          <w:rFonts w:ascii="Times New Roman" w:eastAsia="Times New Roman" w:hAnsi="Times New Roman" w:cs="Times New Roman"/>
        </w:rPr>
        <w:t xml:space="preserve">age-specific </w:t>
      </w:r>
      <w:r>
        <w:rPr>
          <w:rFonts w:ascii="Times New Roman" w:eastAsia="Times New Roman" w:hAnsi="Times New Roman" w:cs="Times New Roman"/>
        </w:rPr>
        <w:t>prevalences</w:t>
      </w:r>
      <w:r w:rsidRPr="67C8E18F">
        <w:rPr>
          <w:rFonts w:ascii="Times New Roman" w:eastAsia="Times New Roman" w:hAnsi="Times New Roman" w:cs="Times New Roman"/>
        </w:rPr>
        <w:t xml:space="preserve"> </w:t>
      </w:r>
      <w:r w:rsidR="001855CD">
        <w:rPr>
          <w:rFonts w:ascii="Times New Roman" w:eastAsia="Times New Roman" w:hAnsi="Times New Roman" w:cs="Times New Roman"/>
        </w:rPr>
        <w:t>of</w:t>
      </w:r>
      <w:r w:rsidR="000E2250">
        <w:rPr>
          <w:rFonts w:ascii="Times New Roman" w:eastAsia="Times New Roman" w:hAnsi="Times New Roman" w:cs="Times New Roman"/>
        </w:rPr>
        <w:t xml:space="preserve"> limitations to</w:t>
      </w:r>
      <w:r w:rsidR="001855CD">
        <w:rPr>
          <w:rFonts w:ascii="Times New Roman" w:eastAsia="Times New Roman" w:hAnsi="Times New Roman" w:cs="Times New Roman"/>
        </w:rPr>
        <w:t xml:space="preserve"> </w:t>
      </w:r>
      <w:r w:rsidR="00BA5ABF">
        <w:rPr>
          <w:rFonts w:ascii="Times New Roman" w:eastAsia="Times New Roman" w:hAnsi="Times New Roman" w:cs="Times New Roman"/>
        </w:rPr>
        <w:t xml:space="preserve">activities of daily living (ADL) and </w:t>
      </w:r>
      <w:r w:rsidR="000E2250">
        <w:rPr>
          <w:rFonts w:ascii="Times New Roman" w:eastAsia="Times New Roman" w:hAnsi="Times New Roman" w:cs="Times New Roman"/>
        </w:rPr>
        <w:t xml:space="preserve">limitations on </w:t>
      </w:r>
      <w:r w:rsidR="00BA5ABF">
        <w:rPr>
          <w:rFonts w:ascii="Times New Roman" w:eastAsia="Times New Roman" w:hAnsi="Times New Roman" w:cs="Times New Roman"/>
        </w:rPr>
        <w:t>instrumental activities of daily living (IADL)</w:t>
      </w:r>
      <w:r w:rsidR="00642756">
        <w:rPr>
          <w:rFonts w:ascii="Times New Roman" w:eastAsia="Times New Roman" w:hAnsi="Times New Roman" w:cs="Times New Roman"/>
        </w:rPr>
        <w:t xml:space="preserve"> </w:t>
      </w:r>
      <w:r w:rsidR="00BA5ABF">
        <w:rPr>
          <w:rFonts w:ascii="Times New Roman" w:eastAsia="Times New Roman" w:hAnsi="Times New Roman" w:cs="Times New Roman"/>
        </w:rPr>
        <w:t>by decade, sex, age group</w:t>
      </w:r>
      <w:r w:rsidR="00333260">
        <w:rPr>
          <w:rFonts w:ascii="Times New Roman" w:eastAsia="Times New Roman" w:hAnsi="Times New Roman" w:cs="Times New Roman"/>
        </w:rPr>
        <w:t xml:space="preserve"> </w:t>
      </w:r>
      <w:r w:rsidR="00BA5ABF">
        <w:rPr>
          <w:rFonts w:ascii="Times New Roman" w:eastAsia="Times New Roman" w:hAnsi="Times New Roman" w:cs="Times New Roman"/>
        </w:rPr>
        <w:t>and race/ethnicity.</w:t>
      </w:r>
      <w:r w:rsidR="006B7D17">
        <w:rPr>
          <w:rFonts w:ascii="Times New Roman" w:eastAsia="Times New Roman" w:hAnsi="Times New Roman" w:cs="Times New Roman"/>
        </w:rPr>
        <w:t xml:space="preserve"> We assessed differences in trends between 2000-2</w:t>
      </w:r>
      <w:r w:rsidR="000E2250">
        <w:rPr>
          <w:rFonts w:ascii="Times New Roman" w:eastAsia="Times New Roman" w:hAnsi="Times New Roman" w:cs="Times New Roman"/>
        </w:rPr>
        <w:t>010</w:t>
      </w:r>
      <w:r w:rsidR="006B7D17">
        <w:rPr>
          <w:rFonts w:ascii="Times New Roman" w:eastAsia="Times New Roman" w:hAnsi="Times New Roman" w:cs="Times New Roman"/>
        </w:rPr>
        <w:t xml:space="preserve"> and 2010-2018</w:t>
      </w:r>
      <w:r w:rsidR="00451DFC">
        <w:rPr>
          <w:rFonts w:ascii="Times New Roman" w:eastAsia="Times New Roman" w:hAnsi="Times New Roman" w:cs="Times New Roman"/>
        </w:rPr>
        <w:t xml:space="preserve"> for adults aged 50 plus</w:t>
      </w:r>
      <w:r w:rsidR="006B7D17">
        <w:rPr>
          <w:rFonts w:ascii="Times New Roman" w:eastAsia="Times New Roman" w:hAnsi="Times New Roman" w:cs="Times New Roman"/>
        </w:rPr>
        <w:t xml:space="preserve">. </w:t>
      </w:r>
      <w:r w:rsidR="00BA5ABF">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4F9B8AA0" w14:textId="52230981" w:rsidR="00642CDA" w:rsidRPr="002D6998" w:rsidRDefault="00642CDA" w:rsidP="00642CDA">
      <w:pPr>
        <w:spacing w:line="257" w:lineRule="auto"/>
      </w:pPr>
      <w:r w:rsidRPr="002D6998">
        <w:rPr>
          <w:rFonts w:ascii="Times New Roman" w:eastAsia="Times New Roman" w:hAnsi="Times New Roman" w:cs="Times New Roman"/>
        </w:rPr>
        <w:t xml:space="preserve">Results: </w:t>
      </w:r>
      <w:r>
        <w:rPr>
          <w:rFonts w:ascii="Times New Roman" w:eastAsia="Times New Roman" w:hAnsi="Times New Roman" w:cs="Times New Roman"/>
        </w:rPr>
        <w:t>Between 2000-</w:t>
      </w:r>
      <w:r w:rsidRPr="002D6998">
        <w:rPr>
          <w:rFonts w:ascii="Times New Roman" w:eastAsia="Times New Roman" w:hAnsi="Times New Roman" w:cs="Times New Roman"/>
        </w:rPr>
        <w:t xml:space="preserve">2018 </w:t>
      </w:r>
      <w:r w:rsidR="00A45AD3">
        <w:rPr>
          <w:rFonts w:ascii="Times New Roman" w:eastAsia="Times New Roman" w:hAnsi="Times New Roman" w:cs="Times New Roman"/>
        </w:rPr>
        <w:t xml:space="preserve">the </w:t>
      </w:r>
      <w:r w:rsidRPr="002D6998">
        <w:rPr>
          <w:rFonts w:ascii="Times New Roman" w:eastAsia="Times New Roman" w:hAnsi="Times New Roman" w:cs="Times New Roman"/>
        </w:rPr>
        <w:t>average prevalence of limitations to daily activities and instrumental limitations</w:t>
      </w:r>
      <w:r w:rsidR="00451DFC">
        <w:rPr>
          <w:rFonts w:ascii="Times New Roman" w:eastAsia="Times New Roman" w:hAnsi="Times New Roman" w:cs="Times New Roman"/>
        </w:rPr>
        <w:t xml:space="preserve"> </w:t>
      </w:r>
      <w:r w:rsidR="00415A4E">
        <w:rPr>
          <w:rFonts w:ascii="Times New Roman" w:eastAsia="Times New Roman" w:hAnsi="Times New Roman" w:cs="Times New Roman"/>
        </w:rPr>
        <w:t>remained stable</w:t>
      </w:r>
      <w:r w:rsidR="0092362E">
        <w:rPr>
          <w:rFonts w:ascii="Times New Roman" w:eastAsia="Times New Roman" w:hAnsi="Times New Roman" w:cs="Times New Roman"/>
        </w:rPr>
        <w:t>,</w:t>
      </w:r>
      <w:r w:rsidR="00F52AD9">
        <w:rPr>
          <w:rFonts w:ascii="Times New Roman" w:eastAsia="Times New Roman" w:hAnsi="Times New Roman" w:cs="Times New Roman"/>
        </w:rPr>
        <w:t xml:space="preserve"> but with substantive age-specific differences,</w:t>
      </w:r>
      <w:r w:rsidR="00415A4E">
        <w:rPr>
          <w:rFonts w:ascii="Times New Roman" w:eastAsia="Times New Roman" w:hAnsi="Times New Roman" w:cs="Times New Roman"/>
        </w:rPr>
        <w:t xml:space="preserve"> </w:t>
      </w:r>
      <w:r w:rsidR="007D76AF">
        <w:rPr>
          <w:rFonts w:ascii="Times New Roman" w:eastAsia="Times New Roman" w:hAnsi="Times New Roman" w:cs="Times New Roman"/>
        </w:rPr>
        <w:t xml:space="preserve">with non-Hispanic </w:t>
      </w:r>
      <w:r w:rsidR="007D76AF" w:rsidRPr="002D6998">
        <w:rPr>
          <w:rFonts w:ascii="Times New Roman" w:eastAsia="Times New Roman" w:hAnsi="Times New Roman" w:cs="Times New Roman"/>
        </w:rPr>
        <w:t>Blacks and Hispanics</w:t>
      </w:r>
      <w:r w:rsidR="007D76AF">
        <w:rPr>
          <w:rFonts w:ascii="Times New Roman" w:eastAsia="Times New Roman" w:hAnsi="Times New Roman" w:cs="Times New Roman"/>
        </w:rPr>
        <w:t xml:space="preserve"> having higher </w:t>
      </w:r>
      <w:r w:rsidR="00563E1E">
        <w:rPr>
          <w:rFonts w:ascii="Times New Roman" w:eastAsia="Times New Roman" w:hAnsi="Times New Roman" w:cs="Times New Roman"/>
        </w:rPr>
        <w:t>ADL and IADL prevalence</w:t>
      </w:r>
      <w:r w:rsidRPr="002D6998">
        <w:rPr>
          <w:rFonts w:ascii="Times New Roman" w:eastAsia="Times New Roman" w:hAnsi="Times New Roman" w:cs="Times New Roman"/>
        </w:rPr>
        <w:t xml:space="preserve">. </w:t>
      </w:r>
      <w:r>
        <w:rPr>
          <w:rFonts w:ascii="Times New Roman" w:eastAsia="Times New Roman" w:hAnsi="Times New Roman" w:cs="Times New Roman"/>
        </w:rPr>
        <w:t>We</w:t>
      </w:r>
      <w:r w:rsidRPr="002D6998">
        <w:rPr>
          <w:rFonts w:ascii="Times New Roman" w:eastAsia="Times New Roman" w:hAnsi="Times New Roman" w:cs="Times New Roman"/>
        </w:rPr>
        <w:t xml:space="preserve"> identified an increa</w:t>
      </w:r>
      <w:r w:rsidR="00A45AD3">
        <w:rPr>
          <w:rFonts w:ascii="Times New Roman" w:eastAsia="Times New Roman" w:hAnsi="Times New Roman" w:cs="Times New Roman"/>
        </w:rPr>
        <w:t xml:space="preserve">sing trend </w:t>
      </w:r>
      <w:r w:rsidR="00B500D8">
        <w:rPr>
          <w:rFonts w:ascii="Times New Roman" w:eastAsia="Times New Roman" w:hAnsi="Times New Roman" w:cs="Times New Roman"/>
        </w:rPr>
        <w:t>over time</w:t>
      </w:r>
      <w:r w:rsidR="00563E1E">
        <w:rPr>
          <w:rFonts w:ascii="Times New Roman" w:eastAsia="Times New Roman" w:hAnsi="Times New Roman" w:cs="Times New Roman"/>
        </w:rPr>
        <w:t xml:space="preserve"> </w:t>
      </w:r>
      <w:r>
        <w:rPr>
          <w:rFonts w:ascii="Times New Roman" w:eastAsia="Times New Roman" w:hAnsi="Times New Roman" w:cs="Times New Roman"/>
        </w:rPr>
        <w:t>in most</w:t>
      </w:r>
      <w:r w:rsidRPr="002D6998">
        <w:rPr>
          <w:rFonts w:ascii="Times New Roman" w:eastAsia="Times New Roman" w:hAnsi="Times New Roman" w:cs="Times New Roman"/>
        </w:rPr>
        <w:t xml:space="preserve"> limitations for the 50-64</w:t>
      </w:r>
      <w:r>
        <w:rPr>
          <w:rFonts w:ascii="Times New Roman" w:eastAsia="Times New Roman" w:hAnsi="Times New Roman" w:cs="Times New Roman"/>
        </w:rPr>
        <w:t xml:space="preserve"> </w:t>
      </w:r>
      <w:r w:rsidRPr="002D6998">
        <w:rPr>
          <w:rFonts w:ascii="Times New Roman" w:eastAsia="Times New Roman" w:hAnsi="Times New Roman" w:cs="Times New Roman"/>
        </w:rPr>
        <w:t xml:space="preserve">age </w:t>
      </w:r>
      <w:r>
        <w:rPr>
          <w:rFonts w:ascii="Times New Roman" w:eastAsia="Times New Roman" w:hAnsi="Times New Roman" w:cs="Times New Roman"/>
        </w:rPr>
        <w:t xml:space="preserve">group, </w:t>
      </w:r>
      <w:r w:rsidR="00A84951">
        <w:rPr>
          <w:rFonts w:ascii="Times New Roman" w:eastAsia="Times New Roman" w:hAnsi="Times New Roman" w:cs="Times New Roman"/>
        </w:rPr>
        <w:t>affecting mostly</w:t>
      </w:r>
      <w:r w:rsidRPr="002D6998">
        <w:rPr>
          <w:rFonts w:ascii="Times New Roman" w:eastAsia="Times New Roman" w:hAnsi="Times New Roman" w:cs="Times New Roman"/>
        </w:rPr>
        <w:t xml:space="preserve"> </w:t>
      </w:r>
      <w:r>
        <w:rPr>
          <w:rFonts w:ascii="Times New Roman" w:eastAsia="Times New Roman" w:hAnsi="Times New Roman" w:cs="Times New Roman"/>
        </w:rPr>
        <w:t>non-Hispanic</w:t>
      </w:r>
      <w:r w:rsidR="00624E35">
        <w:rPr>
          <w:rFonts w:ascii="Times New Roman" w:eastAsia="Times New Roman" w:hAnsi="Times New Roman" w:cs="Times New Roman"/>
        </w:rPr>
        <w:t xml:space="preserve"> Whites (with prevalence increases across the decade ranging between 2</w:t>
      </w:r>
      <w:r w:rsidR="00846AE3">
        <w:rPr>
          <w:rFonts w:ascii="Times New Roman" w:eastAsia="Times New Roman" w:hAnsi="Times New Roman" w:cs="Times New Roman"/>
        </w:rPr>
        <w:t>7</w:t>
      </w:r>
      <w:r w:rsidR="00624E35">
        <w:rPr>
          <w:rFonts w:ascii="Times New Roman" w:eastAsia="Times New Roman" w:hAnsi="Times New Roman" w:cs="Times New Roman"/>
        </w:rPr>
        <w:t>.</w:t>
      </w:r>
      <w:r w:rsidR="00846AE3">
        <w:rPr>
          <w:rFonts w:ascii="Times New Roman" w:eastAsia="Times New Roman" w:hAnsi="Times New Roman" w:cs="Times New Roman"/>
        </w:rPr>
        <w:t>6</w:t>
      </w:r>
      <w:r w:rsidR="00624E35">
        <w:rPr>
          <w:rFonts w:ascii="Times New Roman" w:eastAsia="Times New Roman" w:hAnsi="Times New Roman" w:cs="Times New Roman"/>
        </w:rPr>
        <w:t xml:space="preserve">% and </w:t>
      </w:r>
      <w:r w:rsidR="00846AE3">
        <w:rPr>
          <w:rFonts w:ascii="Times New Roman" w:eastAsia="Times New Roman" w:hAnsi="Times New Roman" w:cs="Times New Roman"/>
        </w:rPr>
        <w:t>51</w:t>
      </w:r>
      <w:r w:rsidR="00624E35">
        <w:rPr>
          <w:rFonts w:ascii="Times New Roman" w:eastAsia="Times New Roman" w:hAnsi="Times New Roman" w:cs="Times New Roman"/>
        </w:rPr>
        <w:t>.</w:t>
      </w:r>
      <w:r w:rsidR="00846AE3">
        <w:rPr>
          <w:rFonts w:ascii="Times New Roman" w:eastAsia="Times New Roman" w:hAnsi="Times New Roman" w:cs="Times New Roman"/>
        </w:rPr>
        <w:t>3</w:t>
      </w:r>
      <w:proofErr w:type="gramStart"/>
      <w:r w:rsidR="00624E35">
        <w:rPr>
          <w:rFonts w:ascii="Times New Roman" w:eastAsia="Times New Roman" w:hAnsi="Times New Roman" w:cs="Times New Roman"/>
        </w:rPr>
        <w:t>%)  and</w:t>
      </w:r>
      <w:proofErr w:type="gramEnd"/>
      <w:r w:rsidR="00624E35">
        <w:rPr>
          <w:rFonts w:ascii="Times New Roman" w:eastAsia="Times New Roman" w:hAnsi="Times New Roman" w:cs="Times New Roman"/>
        </w:rPr>
        <w:t xml:space="preserve"> Non-Hispanic</w:t>
      </w:r>
      <w:r>
        <w:rPr>
          <w:rFonts w:ascii="Times New Roman" w:eastAsia="Times New Roman" w:hAnsi="Times New Roman" w:cs="Times New Roman"/>
        </w:rPr>
        <w:t xml:space="preserve"> </w:t>
      </w:r>
      <w:r w:rsidRPr="002D6998">
        <w:rPr>
          <w:rFonts w:ascii="Times New Roman" w:eastAsia="Times New Roman" w:hAnsi="Times New Roman" w:cs="Times New Roman"/>
        </w:rPr>
        <w:t xml:space="preserve">Blacks </w:t>
      </w:r>
      <w:r w:rsidR="00B500D8">
        <w:rPr>
          <w:rFonts w:ascii="Times New Roman" w:eastAsia="Times New Roman" w:hAnsi="Times New Roman" w:cs="Times New Roman"/>
        </w:rPr>
        <w:t>in 2000-20</w:t>
      </w:r>
      <w:r w:rsidR="00642756">
        <w:rPr>
          <w:rFonts w:ascii="Times New Roman" w:eastAsia="Times New Roman" w:hAnsi="Times New Roman" w:cs="Times New Roman"/>
        </w:rPr>
        <w:t>10</w:t>
      </w:r>
      <w:r w:rsidR="006401E9">
        <w:rPr>
          <w:rFonts w:ascii="Times New Roman" w:eastAsia="Times New Roman" w:hAnsi="Times New Roman" w:cs="Times New Roman"/>
        </w:rPr>
        <w:t xml:space="preserve"> (with prevalence increases</w:t>
      </w:r>
      <w:r w:rsidR="007C2126">
        <w:rPr>
          <w:rFonts w:ascii="Times New Roman" w:eastAsia="Times New Roman" w:hAnsi="Times New Roman" w:cs="Times New Roman"/>
        </w:rPr>
        <w:t xml:space="preserve"> across the decade</w:t>
      </w:r>
      <w:r w:rsidR="00356687">
        <w:rPr>
          <w:rFonts w:ascii="Times New Roman" w:eastAsia="Times New Roman" w:hAnsi="Times New Roman" w:cs="Times New Roman"/>
        </w:rPr>
        <w:t xml:space="preserve"> ranging between</w:t>
      </w:r>
      <w:r w:rsidR="006401E9">
        <w:rPr>
          <w:rFonts w:ascii="Times New Roman" w:eastAsia="Times New Roman" w:hAnsi="Times New Roman" w:cs="Times New Roman"/>
        </w:rPr>
        <w:t xml:space="preserve"> </w:t>
      </w:r>
      <w:r w:rsidR="00624E35">
        <w:rPr>
          <w:rFonts w:ascii="Times New Roman" w:eastAsia="Times New Roman" w:hAnsi="Times New Roman" w:cs="Times New Roman"/>
        </w:rPr>
        <w:t>29</w:t>
      </w:r>
      <w:r w:rsidR="00356687">
        <w:rPr>
          <w:rFonts w:ascii="Times New Roman" w:eastAsia="Times New Roman" w:hAnsi="Times New Roman" w:cs="Times New Roman"/>
        </w:rPr>
        <w:t>.</w:t>
      </w:r>
      <w:r w:rsidR="00624E35">
        <w:rPr>
          <w:rFonts w:ascii="Times New Roman" w:eastAsia="Times New Roman" w:hAnsi="Times New Roman" w:cs="Times New Roman"/>
        </w:rPr>
        <w:t>3</w:t>
      </w:r>
      <w:r w:rsidR="00356687">
        <w:rPr>
          <w:rFonts w:ascii="Times New Roman" w:eastAsia="Times New Roman" w:hAnsi="Times New Roman" w:cs="Times New Roman"/>
        </w:rPr>
        <w:t>%</w:t>
      </w:r>
      <w:r w:rsidR="00B500D8">
        <w:rPr>
          <w:rFonts w:ascii="Times New Roman" w:eastAsia="Times New Roman" w:hAnsi="Times New Roman" w:cs="Times New Roman"/>
        </w:rPr>
        <w:t xml:space="preserve"> </w:t>
      </w:r>
      <w:r w:rsidR="00356687">
        <w:rPr>
          <w:rFonts w:ascii="Times New Roman" w:eastAsia="Times New Roman" w:hAnsi="Times New Roman" w:cs="Times New Roman"/>
        </w:rPr>
        <w:t xml:space="preserve">and </w:t>
      </w:r>
      <w:r w:rsidR="007C2126">
        <w:rPr>
          <w:rFonts w:ascii="Times New Roman" w:eastAsia="Times New Roman" w:hAnsi="Times New Roman" w:cs="Times New Roman"/>
        </w:rPr>
        <w:t>72</w:t>
      </w:r>
      <w:r w:rsidR="00356687">
        <w:rPr>
          <w:rFonts w:ascii="Times New Roman" w:eastAsia="Times New Roman" w:hAnsi="Times New Roman" w:cs="Times New Roman"/>
        </w:rPr>
        <w:t>.</w:t>
      </w:r>
      <w:r w:rsidR="007C2126">
        <w:rPr>
          <w:rFonts w:ascii="Times New Roman" w:eastAsia="Times New Roman" w:hAnsi="Times New Roman" w:cs="Times New Roman"/>
        </w:rPr>
        <w:t>6</w:t>
      </w:r>
      <w:r w:rsidR="00356687">
        <w:rPr>
          <w:rFonts w:ascii="Times New Roman" w:eastAsia="Times New Roman" w:hAnsi="Times New Roman" w:cs="Times New Roman"/>
        </w:rPr>
        <w:t xml:space="preserve">%) </w:t>
      </w:r>
      <w:r w:rsidRPr="002D6998">
        <w:rPr>
          <w:rFonts w:ascii="Times New Roman" w:eastAsia="Times New Roman" w:hAnsi="Times New Roman" w:cs="Times New Roman"/>
        </w:rPr>
        <w:t>and Hispanics</w:t>
      </w:r>
      <w:r w:rsidR="00B500D8">
        <w:rPr>
          <w:rFonts w:ascii="Times New Roman" w:eastAsia="Times New Roman" w:hAnsi="Times New Roman" w:cs="Times New Roman"/>
        </w:rPr>
        <w:t xml:space="preserve"> in 2010-2018</w:t>
      </w:r>
      <w:r w:rsidR="00356687">
        <w:rPr>
          <w:rFonts w:ascii="Times New Roman" w:eastAsia="Times New Roman" w:hAnsi="Times New Roman" w:cs="Times New Roman"/>
        </w:rPr>
        <w:t xml:space="preserve"> (</w:t>
      </w:r>
      <w:r w:rsidR="00611262">
        <w:rPr>
          <w:rFonts w:ascii="Times New Roman" w:eastAsia="Times New Roman" w:hAnsi="Times New Roman" w:cs="Times New Roman"/>
        </w:rPr>
        <w:t xml:space="preserve">with relative increases ranging between </w:t>
      </w:r>
      <w:r w:rsidR="00F002C8">
        <w:rPr>
          <w:rFonts w:ascii="Times New Roman" w:eastAsia="Times New Roman" w:hAnsi="Times New Roman" w:cs="Times New Roman"/>
        </w:rPr>
        <w:t>21.6</w:t>
      </w:r>
      <w:r w:rsidR="00682F61">
        <w:rPr>
          <w:rFonts w:ascii="Times New Roman" w:eastAsia="Times New Roman" w:hAnsi="Times New Roman" w:cs="Times New Roman"/>
        </w:rPr>
        <w:t xml:space="preserve">% and </w:t>
      </w:r>
      <w:r w:rsidR="00F52AD9">
        <w:rPr>
          <w:rFonts w:ascii="Times New Roman" w:eastAsia="Times New Roman" w:hAnsi="Times New Roman" w:cs="Times New Roman"/>
        </w:rPr>
        <w:t>5</w:t>
      </w:r>
      <w:r w:rsidR="00F002C8">
        <w:rPr>
          <w:rFonts w:ascii="Times New Roman" w:eastAsia="Times New Roman" w:hAnsi="Times New Roman" w:cs="Times New Roman"/>
        </w:rPr>
        <w:t>9</w:t>
      </w:r>
      <w:r w:rsidR="00682F61">
        <w:rPr>
          <w:rFonts w:ascii="Times New Roman" w:eastAsia="Times New Roman" w:hAnsi="Times New Roman" w:cs="Times New Roman"/>
        </w:rPr>
        <w:t>.</w:t>
      </w:r>
      <w:r w:rsidR="00F002C8">
        <w:rPr>
          <w:rFonts w:ascii="Times New Roman" w:eastAsia="Times New Roman" w:hAnsi="Times New Roman" w:cs="Times New Roman"/>
        </w:rPr>
        <w:t>4</w:t>
      </w:r>
      <w:r w:rsidR="00682F61">
        <w:rPr>
          <w:rFonts w:ascii="Times New Roman" w:eastAsia="Times New Roman" w:hAnsi="Times New Roman" w:cs="Times New Roman"/>
        </w:rPr>
        <w:t>%)</w:t>
      </w:r>
      <w:r w:rsidR="00D00D4C">
        <w:rPr>
          <w:rFonts w:ascii="Times New Roman" w:eastAsia="Times New Roman" w:hAnsi="Times New Roman" w:cs="Times New Roman"/>
        </w:rPr>
        <w:t>, with the latter group</w:t>
      </w:r>
      <w:r w:rsidR="00E353AD">
        <w:rPr>
          <w:rFonts w:ascii="Times New Roman" w:eastAsia="Times New Roman" w:hAnsi="Times New Roman" w:cs="Times New Roman"/>
        </w:rPr>
        <w:t>s presenting largest overall prevalence increases</w:t>
      </w:r>
      <w:r>
        <w:rPr>
          <w:rFonts w:ascii="Times New Roman" w:eastAsia="Times New Roman" w:hAnsi="Times New Roman" w:cs="Times New Roman"/>
        </w:rPr>
        <w:t xml:space="preserve">. </w:t>
      </w:r>
      <w:r w:rsidRPr="002D6998">
        <w:rPr>
          <w:rFonts w:ascii="Times New Roman" w:eastAsia="Times New Roman" w:hAnsi="Times New Roman" w:cs="Times New Roman"/>
        </w:rPr>
        <w:t>Fo</w:t>
      </w:r>
      <w:r>
        <w:rPr>
          <w:rFonts w:ascii="Times New Roman" w:eastAsia="Times New Roman" w:hAnsi="Times New Roman" w:cs="Times New Roman"/>
        </w:rPr>
        <w:t xml:space="preserve">r other </w:t>
      </w:r>
      <w:r w:rsidR="00A84951">
        <w:rPr>
          <w:rFonts w:ascii="Times New Roman" w:eastAsia="Times New Roman" w:hAnsi="Times New Roman" w:cs="Times New Roman"/>
        </w:rPr>
        <w:t>age groups</w:t>
      </w:r>
      <w:r w:rsidR="00A45AD3">
        <w:rPr>
          <w:rFonts w:ascii="Times New Roman" w:eastAsia="Times New Roman" w:hAnsi="Times New Roman" w:cs="Times New Roman"/>
        </w:rPr>
        <w:t>,</w:t>
      </w:r>
      <w:r>
        <w:rPr>
          <w:rFonts w:ascii="Times New Roman" w:eastAsia="Times New Roman" w:hAnsi="Times New Roman" w:cs="Times New Roman"/>
        </w:rPr>
        <w:t xml:space="preserve"> we could not identify </w:t>
      </w:r>
      <w:r w:rsidRPr="002D6998">
        <w:rPr>
          <w:rFonts w:ascii="Times New Roman" w:eastAsia="Times New Roman" w:hAnsi="Times New Roman" w:cs="Times New Roman"/>
        </w:rPr>
        <w:t xml:space="preserve">a clear </w:t>
      </w:r>
      <w:r>
        <w:rPr>
          <w:rFonts w:ascii="Times New Roman" w:eastAsia="Times New Roman" w:hAnsi="Times New Roman" w:cs="Times New Roman"/>
        </w:rPr>
        <w:t>trend</w:t>
      </w:r>
      <w:r w:rsidR="006401E9">
        <w:rPr>
          <w:rFonts w:ascii="Times New Roman" w:eastAsia="Times New Roman" w:hAnsi="Times New Roman" w:cs="Times New Roman"/>
        </w:rPr>
        <w:t>, but</w:t>
      </w:r>
      <w:r w:rsidR="00305270">
        <w:rPr>
          <w:rFonts w:ascii="Times New Roman" w:eastAsia="Times New Roman" w:hAnsi="Times New Roman" w:cs="Times New Roman"/>
        </w:rPr>
        <w:t xml:space="preserve"> </w:t>
      </w:r>
      <w:r w:rsidR="0008263D">
        <w:rPr>
          <w:rFonts w:ascii="Times New Roman" w:eastAsia="Times New Roman" w:hAnsi="Times New Roman" w:cs="Times New Roman"/>
        </w:rPr>
        <w:t>increases were observed in some cases for non-Hispanic Blacks and Hispanics</w:t>
      </w:r>
      <w:r w:rsidR="00305270">
        <w:rPr>
          <w:rFonts w:ascii="Times New Roman" w:eastAsia="Times New Roman" w:hAnsi="Times New Roman" w:cs="Times New Roman"/>
        </w:rPr>
        <w:t xml:space="preserve">, widening the gap with non-Hispanic Whites. </w:t>
      </w:r>
    </w:p>
    <w:p w14:paraId="1D21FCEF" w14:textId="77777777" w:rsidR="00642CDA" w:rsidRDefault="00642CDA" w:rsidP="00642CDA">
      <w:pPr>
        <w:spacing w:line="257" w:lineRule="auto"/>
      </w:pPr>
      <w:r w:rsidRPr="67C8E18F">
        <w:rPr>
          <w:rFonts w:ascii="Times New Roman" w:eastAsia="Times New Roman" w:hAnsi="Times New Roman" w:cs="Times New Roman"/>
        </w:rPr>
        <w:t xml:space="preserve">Conclusions:  </w:t>
      </w:r>
      <w:r>
        <w:rPr>
          <w:rFonts w:ascii="Times New Roman" w:eastAsia="Times New Roman" w:hAnsi="Times New Roman" w:cs="Times New Roman"/>
        </w:rPr>
        <w:t>Behind the</w:t>
      </w:r>
      <w:r w:rsidRPr="67C8E18F">
        <w:rPr>
          <w:rFonts w:ascii="Times New Roman" w:eastAsia="Times New Roman" w:hAnsi="Times New Roman" w:cs="Times New Roman"/>
        </w:rPr>
        <w:t xml:space="preserve"> stagnant overall prevalence of </w:t>
      </w:r>
      <w:r>
        <w:rPr>
          <w:rFonts w:ascii="Times New Roman" w:eastAsia="Times New Roman" w:hAnsi="Times New Roman" w:cs="Times New Roman"/>
        </w:rPr>
        <w:t>both types of limitations</w:t>
      </w:r>
      <w:r w:rsidRPr="67C8E18F">
        <w:rPr>
          <w:rFonts w:ascii="Times New Roman" w:eastAsia="Times New Roman" w:hAnsi="Times New Roman" w:cs="Times New Roman"/>
        </w:rPr>
        <w:t xml:space="preserve">, age-specific trends might be telling that minorities from younger generations are presenting higher levels of functional limitations when compared to </w:t>
      </w:r>
      <w:r>
        <w:rPr>
          <w:rFonts w:ascii="Times New Roman" w:eastAsia="Times New Roman" w:hAnsi="Times New Roman" w:cs="Times New Roman"/>
        </w:rPr>
        <w:t>non-Hispanic whites</w:t>
      </w:r>
      <w:r w:rsidRPr="67C8E18F">
        <w:rPr>
          <w:rFonts w:ascii="Times New Roman" w:eastAsia="Times New Roman" w:hAnsi="Times New Roman" w:cs="Times New Roman"/>
        </w:rPr>
        <w:t>, potentially foreshadowing a greater burden for</w:t>
      </w:r>
      <w:r>
        <w:rPr>
          <w:rFonts w:ascii="Times New Roman" w:eastAsia="Times New Roman" w:hAnsi="Times New Roman" w:cs="Times New Roman"/>
        </w:rPr>
        <w:t xml:space="preserve"> future</w:t>
      </w:r>
      <w:r w:rsidRPr="67C8E18F">
        <w:rPr>
          <w:rFonts w:ascii="Times New Roman" w:eastAsia="Times New Roman" w:hAnsi="Times New Roman" w:cs="Times New Roman"/>
        </w:rPr>
        <w:t xml:space="preserve"> </w:t>
      </w:r>
      <w:r>
        <w:rPr>
          <w:rFonts w:ascii="Times New Roman" w:eastAsia="Times New Roman" w:hAnsi="Times New Roman" w:cs="Times New Roman"/>
        </w:rPr>
        <w:t>care</w:t>
      </w:r>
      <w:r w:rsidRPr="67C8E18F">
        <w:rPr>
          <w:rFonts w:ascii="Times New Roman" w:eastAsia="Times New Roman" w:hAnsi="Times New Roman" w:cs="Times New Roman"/>
        </w:rPr>
        <w:t xml:space="preserve"> </w:t>
      </w:r>
      <w:r>
        <w:rPr>
          <w:rFonts w:ascii="Times New Roman" w:eastAsia="Times New Roman" w:hAnsi="Times New Roman" w:cs="Times New Roman"/>
        </w:rPr>
        <w:t>needs.</w:t>
      </w:r>
      <w:r w:rsidRPr="67C8E18F">
        <w:rPr>
          <w:rFonts w:ascii="Times New Roman" w:eastAsia="Times New Roman" w:hAnsi="Times New Roman" w:cs="Times New Roman"/>
        </w:rPr>
        <w:t xml:space="preserve">  </w:t>
      </w:r>
    </w:p>
    <w:p w14:paraId="3BF12A60" w14:textId="77777777" w:rsidR="00642CDA" w:rsidRDefault="00642CDA" w:rsidP="00642CDA">
      <w:pPr>
        <w:spacing w:line="257" w:lineRule="auto"/>
      </w:pPr>
      <w:r w:rsidRPr="67C8E18F">
        <w:rPr>
          <w:rFonts w:ascii="Times New Roman" w:eastAsia="Times New Roman" w:hAnsi="Times New Roman" w:cs="Times New Roman"/>
        </w:rPr>
        <w:t xml:space="preserve"> </w:t>
      </w:r>
    </w:p>
    <w:p w14:paraId="2F3596C5" w14:textId="77777777" w:rsidR="00642CDA" w:rsidRDefault="00642CDA" w:rsidP="67C8E18F">
      <w:pPr>
        <w:spacing w:line="257" w:lineRule="auto"/>
      </w:pPr>
    </w:p>
    <w:p w14:paraId="1C1069E4" w14:textId="77777777" w:rsidR="001F646C" w:rsidRDefault="001F646C">
      <w:pPr>
        <w:rPr>
          <w:rFonts w:ascii="Times New Roman" w:eastAsia="Times New Roman" w:hAnsi="Times New Roman" w:cs="Times New Roman"/>
        </w:rPr>
      </w:pPr>
      <w:r>
        <w:rPr>
          <w:rFonts w:ascii="Times New Roman" w:eastAsia="Times New Roman" w:hAnsi="Times New Roman" w:cs="Times New Roman"/>
        </w:rPr>
        <w:br w:type="page"/>
      </w:r>
    </w:p>
    <w:p w14:paraId="5CDA2B06" w14:textId="284F2CF4" w:rsidR="002D5AEF" w:rsidRPr="00C22920" w:rsidRDefault="7D4FDF97" w:rsidP="00A12CF5">
      <w:pPr>
        <w:spacing w:after="0" w:line="480" w:lineRule="auto"/>
        <w:rPr>
          <w:sz w:val="28"/>
          <w:szCs w:val="28"/>
        </w:rPr>
      </w:pPr>
      <w:r w:rsidRPr="00C22920">
        <w:rPr>
          <w:rFonts w:ascii="Times New Roman" w:eastAsia="Times New Roman" w:hAnsi="Times New Roman" w:cs="Times New Roman"/>
          <w:b/>
          <w:bCs/>
          <w:sz w:val="28"/>
          <w:szCs w:val="28"/>
        </w:rPr>
        <w:lastRenderedPageBreak/>
        <w:t>Introduction</w:t>
      </w:r>
    </w:p>
    <w:p w14:paraId="12F48A46" w14:textId="4E6D0E59" w:rsidR="002D5AEF" w:rsidRDefault="7D4FDF97" w:rsidP="00A12CF5">
      <w:pPr>
        <w:spacing w:after="0" w:line="480" w:lineRule="auto"/>
        <w:ind w:firstLine="720"/>
        <w:rPr>
          <w:rFonts w:ascii="Times New Roman" w:eastAsia="Times New Roman" w:hAnsi="Times New Roman" w:cs="Times New Roman"/>
        </w:rPr>
      </w:pPr>
      <w:r w:rsidRPr="67C8E18F">
        <w:rPr>
          <w:rFonts w:ascii="Times New Roman" w:eastAsia="Times New Roman" w:hAnsi="Times New Roman" w:cs="Times New Roman"/>
        </w:rPr>
        <w:t xml:space="preserve">After improvements </w:t>
      </w:r>
      <w:r w:rsidR="005E0207">
        <w:rPr>
          <w:rFonts w:ascii="Times New Roman" w:eastAsia="Times New Roman" w:hAnsi="Times New Roman" w:cs="Times New Roman"/>
        </w:rPr>
        <w:t>in</w:t>
      </w:r>
      <w:r w:rsidR="005E0207" w:rsidRPr="67C8E18F">
        <w:rPr>
          <w:rFonts w:ascii="Times New Roman" w:eastAsia="Times New Roman" w:hAnsi="Times New Roman" w:cs="Times New Roman"/>
        </w:rPr>
        <w:t xml:space="preserve"> </w:t>
      </w:r>
      <w:r w:rsidRPr="67C8E18F">
        <w:rPr>
          <w:rFonts w:ascii="Times New Roman" w:eastAsia="Times New Roman" w:hAnsi="Times New Roman" w:cs="Times New Roman"/>
        </w:rPr>
        <w:t>the first decade of the 2000s, the</w:t>
      </w:r>
      <w:r w:rsidR="005E0207">
        <w:rPr>
          <w:rFonts w:ascii="Times New Roman" w:eastAsia="Times New Roman" w:hAnsi="Times New Roman" w:cs="Times New Roman"/>
        </w:rPr>
        <w:t xml:space="preserve"> subsequent</w:t>
      </w:r>
      <w:r w:rsidRPr="67C8E18F">
        <w:rPr>
          <w:rFonts w:ascii="Times New Roman" w:eastAsia="Times New Roman" w:hAnsi="Times New Roman" w:cs="Times New Roman"/>
        </w:rPr>
        <w:t xml:space="preserve"> stagnation in life expectancy has be</w:t>
      </w:r>
      <w:r w:rsidR="005E0207">
        <w:rPr>
          <w:rFonts w:ascii="Times New Roman" w:eastAsia="Times New Roman" w:hAnsi="Times New Roman" w:cs="Times New Roman"/>
        </w:rPr>
        <w:t>come</w:t>
      </w:r>
      <w:r w:rsidRPr="67C8E18F">
        <w:rPr>
          <w:rFonts w:ascii="Times New Roman" w:eastAsia="Times New Roman" w:hAnsi="Times New Roman" w:cs="Times New Roman"/>
        </w:rPr>
        <w:t xml:space="preserve"> one of the more closely followed stories in many health-related disciplines (Abrams et al., 2023; Case &amp; Deaton, 2015, 2017; Mehta et al., 2020). However, another important story is </w:t>
      </w:r>
      <w:r w:rsidR="00C925B7">
        <w:rPr>
          <w:rFonts w:ascii="Times New Roman" w:eastAsia="Times New Roman" w:hAnsi="Times New Roman" w:cs="Times New Roman"/>
        </w:rPr>
        <w:t xml:space="preserve">that of </w:t>
      </w:r>
      <w:r w:rsidR="005D44BE">
        <w:rPr>
          <w:rFonts w:ascii="Times New Roman" w:eastAsia="Times New Roman" w:hAnsi="Times New Roman" w:cs="Times New Roman"/>
        </w:rPr>
        <w:t xml:space="preserve">trends in </w:t>
      </w:r>
      <w:r w:rsidRPr="67C8E18F">
        <w:rPr>
          <w:rFonts w:ascii="Times New Roman" w:eastAsia="Times New Roman" w:hAnsi="Times New Roman" w:cs="Times New Roman"/>
        </w:rPr>
        <w:t>morbidity and disability</w:t>
      </w:r>
      <w:r w:rsidR="005D44BE">
        <w:rPr>
          <w:rFonts w:ascii="Times New Roman" w:eastAsia="Times New Roman" w:hAnsi="Times New Roman" w:cs="Times New Roman"/>
        </w:rPr>
        <w:t xml:space="preserve"> among middle- and older-</w:t>
      </w:r>
      <w:proofErr w:type="gramStart"/>
      <w:r w:rsidR="005D44BE">
        <w:rPr>
          <w:rFonts w:ascii="Times New Roman" w:eastAsia="Times New Roman" w:hAnsi="Times New Roman" w:cs="Times New Roman"/>
        </w:rPr>
        <w:t xml:space="preserve">aged  </w:t>
      </w:r>
      <w:r w:rsidRPr="67C8E18F">
        <w:rPr>
          <w:rFonts w:ascii="Times New Roman" w:eastAsia="Times New Roman" w:hAnsi="Times New Roman" w:cs="Times New Roman"/>
        </w:rPr>
        <w:t>Americans</w:t>
      </w:r>
      <w:proofErr w:type="gramEnd"/>
      <w:r w:rsidR="005E0207">
        <w:rPr>
          <w:rFonts w:ascii="Times New Roman" w:eastAsia="Times New Roman" w:hAnsi="Times New Roman" w:cs="Times New Roman"/>
        </w:rPr>
        <w:t>, which has not been followed as closely</w:t>
      </w:r>
      <w:r w:rsidRPr="67C8E18F">
        <w:rPr>
          <w:rFonts w:ascii="Times New Roman" w:eastAsia="Times New Roman" w:hAnsi="Times New Roman" w:cs="Times New Roman"/>
        </w:rPr>
        <w:t xml:space="preserve">. </w:t>
      </w:r>
    </w:p>
    <w:p w14:paraId="3D446871" w14:textId="2B7CD029" w:rsidR="00AA61C0" w:rsidRDefault="00842C97" w:rsidP="00A12CF5">
      <w:pPr>
        <w:spacing w:after="0" w:line="480" w:lineRule="auto"/>
        <w:ind w:firstLine="720"/>
        <w:rPr>
          <w:rFonts w:ascii="Times New Roman" w:eastAsia="Times New Roman" w:hAnsi="Times New Roman" w:cs="Times New Roman"/>
        </w:rPr>
      </w:pPr>
      <w:r w:rsidRPr="67C8E18F">
        <w:rPr>
          <w:rFonts w:ascii="Times New Roman" w:eastAsia="Times New Roman" w:hAnsi="Times New Roman" w:cs="Times New Roman"/>
        </w:rPr>
        <w:t>During the 1980</w:t>
      </w:r>
      <w:r w:rsidR="005E0207">
        <w:rPr>
          <w:rFonts w:ascii="Times New Roman" w:eastAsia="Times New Roman" w:hAnsi="Times New Roman" w:cs="Times New Roman"/>
        </w:rPr>
        <w:t>s</w:t>
      </w:r>
      <w:r w:rsidRPr="67C8E18F">
        <w:rPr>
          <w:rFonts w:ascii="Times New Roman" w:eastAsia="Times New Roman" w:hAnsi="Times New Roman" w:cs="Times New Roman"/>
        </w:rPr>
        <w:t xml:space="preserve"> and 1990</w:t>
      </w:r>
      <w:r w:rsidR="005E0207">
        <w:rPr>
          <w:rFonts w:ascii="Times New Roman" w:eastAsia="Times New Roman" w:hAnsi="Times New Roman" w:cs="Times New Roman"/>
        </w:rPr>
        <w:t>s,</w:t>
      </w:r>
      <w:r w:rsidRPr="67C8E18F">
        <w:rPr>
          <w:rFonts w:ascii="Times New Roman" w:eastAsia="Times New Roman" w:hAnsi="Times New Roman" w:cs="Times New Roman"/>
        </w:rPr>
        <w:t xml:space="preserve"> improvements </w:t>
      </w:r>
      <w:r w:rsidR="005E0207">
        <w:rPr>
          <w:rFonts w:ascii="Times New Roman" w:eastAsia="Times New Roman" w:hAnsi="Times New Roman" w:cs="Times New Roman"/>
        </w:rPr>
        <w:t xml:space="preserve">in mortality </w:t>
      </w:r>
      <w:r w:rsidRPr="67C8E18F">
        <w:rPr>
          <w:rFonts w:ascii="Times New Roman" w:eastAsia="Times New Roman" w:hAnsi="Times New Roman" w:cs="Times New Roman"/>
        </w:rPr>
        <w:t xml:space="preserve">were accompanied by </w:t>
      </w:r>
      <w:r w:rsidR="00970859">
        <w:rPr>
          <w:rFonts w:ascii="Times New Roman" w:eastAsia="Times New Roman" w:hAnsi="Times New Roman" w:cs="Times New Roman"/>
        </w:rPr>
        <w:t xml:space="preserve">sizeable </w:t>
      </w:r>
      <w:r w:rsidRPr="67C8E18F">
        <w:rPr>
          <w:rFonts w:ascii="Times New Roman" w:eastAsia="Times New Roman" w:hAnsi="Times New Roman" w:cs="Times New Roman"/>
        </w:rPr>
        <w:t>declines in disability prevalence</w:t>
      </w:r>
      <w:r w:rsidR="00084D98">
        <w:rPr>
          <w:rFonts w:ascii="Times New Roman" w:eastAsia="Times New Roman" w:hAnsi="Times New Roman" w:cs="Times New Roman"/>
        </w:rPr>
        <w:t xml:space="preserve"> </w:t>
      </w:r>
      <w:r w:rsidR="00084D98">
        <w:rPr>
          <w:rFonts w:ascii="Times New Roman" w:eastAsia="Times New Roman" w:hAnsi="Times New Roman" w:cs="Times New Roman"/>
        </w:rPr>
        <w:fldChar w:fldCharType="begin"/>
      </w:r>
      <w:r w:rsidR="00E14BE1">
        <w:rPr>
          <w:rFonts w:ascii="Times New Roman" w:eastAsia="Times New Roman" w:hAnsi="Times New Roman" w:cs="Times New Roman"/>
        </w:rPr>
        <w:instrText xml:space="preserve"> ADDIN ZOTERO_ITEM CSL_CITATION {"citationID":"NYOeYU8F","properties":{"formattedCitation":"(Freedman et\\uc0\\u160{}al., 2002; Martin, Schoeni, et\\uc0\\u160{}al., 2010; Schoeni et\\uc0\\u160{}al., 2001; Waidmann &amp; Liu, 2000)","plainCitation":"(Freedman et al., 2002; Martin, Schoeni, et al., 2010; Schoeni et al., 2001; Waidmann &amp; Liu, 2000)","noteIndex":0},"citationItems":[{"id":3279,"uris":["http://zotero.org/users/8991183/items/NZZSTF5R"],"itemData":{"id":3279,"type":"article-journal","abstract":"CONTEXT: Several well-publicized recent studies have suggested that disability among older Americans has declined in the last decade.\nOBJECTIVES: To assess the quality, quantity, and consistency of recent evidence on US trends in the prevalence of self-rated old age disability and physical, cognitive, and sensory limitations during the late 1980s and 1990s and to evaluate the evidence on trends in disparities by major demographic groups.\nDATA SOURCES: We searched MEDLINE and AGELINE for relevant articles published from January 1990 through May 2002 and reviewed reference lists in published articles.\nSTUDY SELECTION: From more than 800 titles reviewed, we selected 16 articles based on 8 unique repeat cross-sectional and cohort surveys of US prevalence trends in disability or functioning among persons generally aged 65 or 70 years or older.\nDATA EXTRACTION: We evaluated survey quality according to 10 criteria, ranked the surveys as good, fair, or poor, and calculated for each outcome the average annual percent change.\nDATA SYNTHESIS: Among the 8 surveys, 2 were rated as good, 4 as fair, 1 as poor, and 1 as mixed (fair or poor, depending on the outcome) for assessing trends. Analyses of surveys rated fair or good showed consistency of declines in any disability (-1.55% to -0.92% per year), instrumental activities of daily living disability (-2.74% to -0.40% per year), and functional limitations. Surveys provided limited evidence on cognition and conflicting evidence on self-reported ADL (changes ranged from -1.38% to 1.53% per year) and vision trends. Evidence on trends in disparities by age, sex, race, and education was limited and mixed, with no consensus yet emerging.\nCONCLUSIONS: Several measures of old age disability and limitations have shown improvements in the last decade. Research into the causes of these improvements is needed to understand the implications for the future demand for medical care.","container-title":"JAMA","DOI":"10.1001/jama.288.24.3137","ISSN":"0098-7484","issue":"24","journalAbbreviation":"JAMA","language":"eng","note":"PMID: 12495394","page":"3137-3146","source":"PubMed","title":"Recent trends in disability and functioning among older adults in the United States: a systematic review","title-short":"Recent trends in disability and functioning among older adults in the United States","volume":"288","author":[{"family":"Freedman","given":"Vicki A."},{"family":"Martin","given":"Linda G."},{"family":"Schoeni","given":"Robert F."}],"issued":{"date-parts":[["2002",12,25]]}}},{"id":3261,"uris":["http://zotero.org/users/8991183/items/BBQA9T66"],"itemData":{"id":3261,"type":"article-journal","abstract":"The decline in late-life disability prevalence in the United States was one of the most important developments in the well-being of older Americans in the 1980s and 1990s, but there is no guarantee that it will continue into the future. We review the past literature on trends in disability and other health indicators and then estimate the most recent trends in biomarkers and limitations for both the population aged 65 and older and those aged 40 to 64, the future elderly. We then investigate the extent to which trends in education, smoking, and obesity can account for recent trends in limitations and discuss how these three factors might influence future prospects for late-life health. We find that improvements in the health of the older population generally have continued into the first decade of the twenty-first century. The recent increase in the proportion of the younger population needing help with activities of daily living is concerning, as is the doubling of obesity in the last few decades. However the increase in obesity has recently paused, and favorable trends in education and smoking are encouraging.","container-title":"Demography","DOI":"10.1353/dem.2010.0003","ISSN":"0070-3370","issue":"Suppl 1","journalAbbreviation":"Demography","language":"eng","note":"PMID: 21302428\nPMCID: PMC3342521","page":"S17-40","source":"PubMed","title":"Trends in health of older adults in the United States: past, present, future","title-short":"Trends in health of older adults in the United States","volume":"47 Suppl","author":[{"family":"Martin","given":"Linda G."},{"family":"Schoeni","given":"Robert F."},{"family":"Andreski","given":"Patricia M."}],"issued":{"date-parts":[["2010"]]}}},{"id":3266,"uris":["http://zotero.org/users/8991183/items/KX8N2BWS"],"itemData":{"id":3266,"type":"article-journal","abstract":"Objective. The purpose of this study was to provide new evidence on disability trends among elderly persons from 1982 to 1996.Methods. The sample includes 124,949 participants aged 70 and older in the 1982–1996 National Health Interview Surveys. Logistic analysis was used to estimate the trend in disability prevalence after controlling for various sociodemographic factors.Results. We found that: (a) the prevalence of disability has declined, but the gains did not persist throughout the entire period or accelerate over time; (b) only routine care disability has declined, whereas more severe personal care disability shows no improvements; (c) estimates are robust to the exclusion of the nursing home population but may be sensitive to growth in the assisted living population; (d) estimates of decline in disability prevalence are fairly consistent across five national surveys; (e) gains have been concentrated among the most educated elderly persons; and (f) gains in education appear to be an important confounder of the improvements.Discussion. Evidence from several surveys using various measures indicates that disability has declined among elderly persons. Determining the causes of the improvements should be a high priority in future research efforts.","container-title":"The Journals of Gerontology: Series B","DOI":"10.1093/geronb/56.4.S206","ISSN":"1079-5014","issue":"4","journalAbbreviation":"The Journals of Gerontology: Series B","page":"S206-S218","source":"Silverchair","title":"Persistent, Consistent, Widespread, and Robust? Another Look at Recent Trends in Old-Age Disability","title-short":"Persistent, Consistent, Widespread, and Robust?","volume":"56","author":[{"family":"Schoeni","given":"Robert F."},{"family":"Freedman","given":"Vicki A."},{"family":"Wallace","given":"Robert B."}],"issued":{"date-parts":[["2001",7,1]]}}},{"id":3268,"uris":["http://zotero.org/users/8991183/items/S8YXW9L5"],"itemData":{"id":3268,"type":"article-journal","abstract":"Objectives. This article used a new data source to examine the issue of disability trends among elderly persons and examined the potential implications of these trends on future health and long-term care needs.Methods. We used the 1992–1996 Medicare Current Beneficiary Survey to examine time trends in rates of activities of daily living and instrumental activities of daily living disability and physical limitation among Medicare beneficiaries aged 65 and over. We used multinomial logit and least squares regression techniques to produce trend estimates that held the age, sex, race, and educational distributions constant and projected these trends into the future. Finally, we estimated the potential impact of disability decline on per capita Medicare spending on elderly persons.Results. We found that disability among elderly persons is declining and that the trend toward a more educated elderly cohort explains some, but not all, of this decline. In the absence of downward disability trends, per capita Medicare expenditures would have grown even faster than they have.Discussion. Although the decline in disability prevalence in recent years appears real, whether it continues has enormous implications for the size of the disabled population in the future and for the ability of the society to care for its disabled elderly members.","container-title":"The Journals of Gerontology: Series B","DOI":"10.1093/geronb/55.5.S298","ISSN":"1079-5014","issue":"5","journalAbbreviation":"The Journals of Gerontology: Series B","page":"S298-S307","source":"Silverchair","title":"Disability Trends Among Elderly Persons and Implications for the Future","volume":"55","author":[{"family":"Waidmann","given":"Timothy A."},{"family":"Liu","given":"Korbin"}],"issued":{"date-parts":[["2000",9,1]]}}}],"schema":"https://github.com/citation-style-language/schema/raw/master/csl-citation.json"} </w:instrText>
      </w:r>
      <w:r w:rsidR="00084D98">
        <w:rPr>
          <w:rFonts w:ascii="Times New Roman" w:eastAsia="Times New Roman" w:hAnsi="Times New Roman" w:cs="Times New Roman"/>
        </w:rPr>
        <w:fldChar w:fldCharType="separate"/>
      </w:r>
      <w:r w:rsidR="00E14BE1" w:rsidRPr="00E14BE1">
        <w:rPr>
          <w:rFonts w:ascii="Times New Roman" w:hAnsi="Times New Roman" w:cs="Times New Roman"/>
        </w:rPr>
        <w:t>(Freedman et al., 2002; Martin, Schoeni, et al., 2010; Schoeni et al., 2001; Waidmann &amp; Liu, 2000)</w:t>
      </w:r>
      <w:r w:rsidR="00084D98">
        <w:rPr>
          <w:rFonts w:ascii="Times New Roman" w:eastAsia="Times New Roman" w:hAnsi="Times New Roman" w:cs="Times New Roman"/>
        </w:rPr>
        <w:fldChar w:fldCharType="end"/>
      </w:r>
      <w:r w:rsidR="005E0207">
        <w:rPr>
          <w:rFonts w:ascii="Times New Roman" w:eastAsia="Times New Roman" w:hAnsi="Times New Roman" w:cs="Times New Roman"/>
        </w:rPr>
        <w:t>.</w:t>
      </w:r>
      <w:r w:rsidRPr="67C8E18F">
        <w:rPr>
          <w:rFonts w:ascii="Times New Roman" w:eastAsia="Times New Roman" w:hAnsi="Times New Roman" w:cs="Times New Roman"/>
        </w:rPr>
        <w:t xml:space="preserve"> </w:t>
      </w:r>
      <w:r w:rsidR="005E0207">
        <w:rPr>
          <w:rFonts w:ascii="Times New Roman" w:eastAsia="Times New Roman" w:hAnsi="Times New Roman" w:cs="Times New Roman"/>
        </w:rPr>
        <w:t>E</w:t>
      </w:r>
      <w:r w:rsidRPr="67C8E18F">
        <w:rPr>
          <w:rFonts w:ascii="Times New Roman" w:eastAsia="Times New Roman" w:hAnsi="Times New Roman" w:cs="Times New Roman"/>
        </w:rPr>
        <w:t xml:space="preserve">ducational expansion </w:t>
      </w:r>
      <w:r w:rsidR="005E0207">
        <w:rPr>
          <w:rFonts w:ascii="Times New Roman" w:eastAsia="Times New Roman" w:hAnsi="Times New Roman" w:cs="Times New Roman"/>
        </w:rPr>
        <w:t>in</w:t>
      </w:r>
      <w:r w:rsidR="005E0207" w:rsidRPr="67C8E18F">
        <w:rPr>
          <w:rFonts w:ascii="Times New Roman" w:eastAsia="Times New Roman" w:hAnsi="Times New Roman" w:cs="Times New Roman"/>
        </w:rPr>
        <w:t xml:space="preserve"> </w:t>
      </w:r>
      <w:r w:rsidRPr="67C8E18F">
        <w:rPr>
          <w:rFonts w:ascii="Times New Roman" w:eastAsia="Times New Roman" w:hAnsi="Times New Roman" w:cs="Times New Roman"/>
        </w:rPr>
        <w:t>the U</w:t>
      </w:r>
      <w:r w:rsidR="005E0207">
        <w:rPr>
          <w:rFonts w:ascii="Times New Roman" w:eastAsia="Times New Roman" w:hAnsi="Times New Roman" w:cs="Times New Roman"/>
        </w:rPr>
        <w:t>nited States</w:t>
      </w:r>
      <w:r w:rsidR="00970859">
        <w:rPr>
          <w:rFonts w:ascii="Times New Roman" w:eastAsia="Times New Roman" w:hAnsi="Times New Roman" w:cs="Times New Roman"/>
        </w:rPr>
        <w:t xml:space="preserve"> </w:t>
      </w:r>
      <w:r w:rsidRPr="67C8E18F">
        <w:rPr>
          <w:rFonts w:ascii="Times New Roman" w:eastAsia="Times New Roman" w:hAnsi="Times New Roman" w:cs="Times New Roman"/>
        </w:rPr>
        <w:t xml:space="preserve">has been </w:t>
      </w:r>
      <w:r w:rsidR="005E0207">
        <w:rPr>
          <w:rFonts w:ascii="Times New Roman" w:eastAsia="Times New Roman" w:hAnsi="Times New Roman" w:cs="Times New Roman"/>
        </w:rPr>
        <w:t>identified</w:t>
      </w:r>
      <w:r w:rsidR="005E0207" w:rsidRPr="67C8E18F">
        <w:rPr>
          <w:rFonts w:ascii="Times New Roman" w:eastAsia="Times New Roman" w:hAnsi="Times New Roman" w:cs="Times New Roman"/>
        </w:rPr>
        <w:t xml:space="preserve"> </w:t>
      </w:r>
      <w:r w:rsidRPr="67C8E18F">
        <w:rPr>
          <w:rFonts w:ascii="Times New Roman" w:eastAsia="Times New Roman" w:hAnsi="Times New Roman" w:cs="Times New Roman"/>
        </w:rPr>
        <w:t xml:space="preserve">as a key contributor to </w:t>
      </w:r>
      <w:r w:rsidR="00C0174A">
        <w:rPr>
          <w:rFonts w:ascii="Times New Roman" w:eastAsia="Times New Roman" w:hAnsi="Times New Roman" w:cs="Times New Roman"/>
        </w:rPr>
        <w:t>these earlier declines</w:t>
      </w:r>
      <w:r w:rsidRPr="67C8E18F">
        <w:rPr>
          <w:rFonts w:ascii="Times New Roman" w:eastAsia="Times New Roman" w:hAnsi="Times New Roman" w:cs="Times New Roman"/>
        </w:rPr>
        <w:t xml:space="preserve"> (Freedman et al., 2002; Martin et al., 2010; Schoeni et al., 2001)</w:t>
      </w:r>
      <w:r w:rsidR="002E2705">
        <w:rPr>
          <w:rFonts w:ascii="Times New Roman" w:eastAsia="Times New Roman" w:hAnsi="Times New Roman" w:cs="Times New Roman"/>
        </w:rPr>
        <w:t>, as too have</w:t>
      </w:r>
      <w:r w:rsidR="00015EE0">
        <w:rPr>
          <w:rFonts w:ascii="Times New Roman" w:eastAsia="Times New Roman" w:hAnsi="Times New Roman" w:cs="Times New Roman"/>
        </w:rPr>
        <w:t xml:space="preserve"> been </w:t>
      </w:r>
      <w:r w:rsidR="00433763">
        <w:rPr>
          <w:rFonts w:ascii="Times New Roman" w:eastAsia="Times New Roman" w:hAnsi="Times New Roman" w:cs="Times New Roman"/>
        </w:rPr>
        <w:t xml:space="preserve">improvements in medical care and earlier-in-life </w:t>
      </w:r>
      <w:r w:rsidR="00392F5C">
        <w:rPr>
          <w:rFonts w:ascii="Times New Roman" w:eastAsia="Times New Roman" w:hAnsi="Times New Roman" w:cs="Times New Roman"/>
        </w:rPr>
        <w:t>health</w:t>
      </w:r>
      <w:r w:rsidR="00D20717">
        <w:rPr>
          <w:rFonts w:ascii="Times New Roman" w:eastAsia="Times New Roman" w:hAnsi="Times New Roman" w:cs="Times New Roman"/>
        </w:rPr>
        <w:t xml:space="preserve"> (cite)</w:t>
      </w:r>
      <w:r w:rsidR="00392F5C">
        <w:rPr>
          <w:rFonts w:ascii="Times New Roman" w:eastAsia="Times New Roman" w:hAnsi="Times New Roman" w:cs="Times New Roman"/>
        </w:rPr>
        <w:t xml:space="preserve">. </w:t>
      </w:r>
      <w:r w:rsidR="00433763">
        <w:rPr>
          <w:rFonts w:ascii="Times New Roman" w:eastAsia="Times New Roman" w:hAnsi="Times New Roman" w:cs="Times New Roman"/>
        </w:rPr>
        <w:t xml:space="preserve"> </w:t>
      </w:r>
      <w:r w:rsidR="00015EE0">
        <w:rPr>
          <w:rFonts w:ascii="Times New Roman" w:eastAsia="Times New Roman" w:hAnsi="Times New Roman" w:cs="Times New Roman"/>
        </w:rPr>
        <w:t xml:space="preserve"> </w:t>
      </w:r>
      <w:r w:rsidR="00D66C9C">
        <w:rPr>
          <w:rFonts w:ascii="Times New Roman" w:eastAsia="Times New Roman" w:hAnsi="Times New Roman" w:cs="Times New Roman"/>
        </w:rPr>
        <w:t xml:space="preserve"> </w:t>
      </w:r>
      <w:r w:rsidR="00F14B0E">
        <w:rPr>
          <w:rFonts w:ascii="Times New Roman" w:eastAsia="Times New Roman" w:hAnsi="Times New Roman" w:cs="Times New Roman"/>
        </w:rPr>
        <w:t xml:space="preserve"> </w:t>
      </w:r>
      <w:r w:rsidR="00AA61C0">
        <w:rPr>
          <w:rFonts w:ascii="Times New Roman" w:eastAsia="Times New Roman" w:hAnsi="Times New Roman" w:cs="Times New Roman"/>
        </w:rPr>
        <w:t xml:space="preserve">  </w:t>
      </w:r>
    </w:p>
    <w:p w14:paraId="73CE3AED" w14:textId="42B4D4AC" w:rsidR="00044548" w:rsidRDefault="007D385D" w:rsidP="001156D4">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The first decade of the 2000s</w:t>
      </w:r>
      <w:r w:rsidR="006A6E0F">
        <w:rPr>
          <w:rFonts w:ascii="Times New Roman" w:eastAsia="Times New Roman" w:hAnsi="Times New Roman" w:cs="Times New Roman"/>
        </w:rPr>
        <w:t xml:space="preserve"> brought about a shift</w:t>
      </w:r>
      <w:r w:rsidR="001156D4">
        <w:rPr>
          <w:rFonts w:ascii="Times New Roman" w:eastAsia="Times New Roman" w:hAnsi="Times New Roman" w:cs="Times New Roman"/>
        </w:rPr>
        <w:t xml:space="preserve"> in disability trends. S</w:t>
      </w:r>
      <w:r w:rsidR="002E2705">
        <w:rPr>
          <w:rFonts w:ascii="Times New Roman" w:eastAsia="Times New Roman" w:hAnsi="Times New Roman" w:cs="Times New Roman"/>
        </w:rPr>
        <w:t xml:space="preserve">tudies </w:t>
      </w:r>
      <w:r w:rsidR="005E0207">
        <w:rPr>
          <w:rFonts w:ascii="Times New Roman" w:eastAsia="Times New Roman" w:hAnsi="Times New Roman" w:cs="Times New Roman"/>
        </w:rPr>
        <w:t xml:space="preserve">have </w:t>
      </w:r>
      <w:r w:rsidR="00842C97">
        <w:rPr>
          <w:rFonts w:ascii="Times New Roman" w:eastAsia="Times New Roman" w:hAnsi="Times New Roman" w:cs="Times New Roman"/>
        </w:rPr>
        <w:t xml:space="preserve">highlighted that </w:t>
      </w:r>
      <w:r w:rsidR="009548C4">
        <w:rPr>
          <w:rFonts w:ascii="Times New Roman" w:eastAsia="Times New Roman" w:hAnsi="Times New Roman" w:cs="Times New Roman"/>
        </w:rPr>
        <w:t>limitations in activities of daily living (</w:t>
      </w:r>
      <w:r w:rsidR="00842C97">
        <w:rPr>
          <w:rFonts w:ascii="Times New Roman" w:eastAsia="Times New Roman" w:hAnsi="Times New Roman" w:cs="Times New Roman"/>
        </w:rPr>
        <w:t>ADL</w:t>
      </w:r>
      <w:r w:rsidR="009548C4">
        <w:rPr>
          <w:rFonts w:ascii="Times New Roman" w:eastAsia="Times New Roman" w:hAnsi="Times New Roman" w:cs="Times New Roman"/>
        </w:rPr>
        <w:t>s)</w:t>
      </w:r>
      <w:r w:rsidR="00842C97">
        <w:rPr>
          <w:rFonts w:ascii="Times New Roman" w:eastAsia="Times New Roman" w:hAnsi="Times New Roman" w:cs="Times New Roman"/>
        </w:rPr>
        <w:t xml:space="preserve"> and </w:t>
      </w:r>
      <w:r w:rsidR="009548C4">
        <w:rPr>
          <w:rFonts w:ascii="Times New Roman" w:eastAsia="Times New Roman" w:hAnsi="Times New Roman" w:cs="Times New Roman"/>
        </w:rPr>
        <w:t>instrumental activities of daily living (</w:t>
      </w:r>
      <w:r w:rsidR="00842C97">
        <w:rPr>
          <w:rFonts w:ascii="Times New Roman" w:eastAsia="Times New Roman" w:hAnsi="Times New Roman" w:cs="Times New Roman"/>
        </w:rPr>
        <w:t>IADL</w:t>
      </w:r>
      <w:r w:rsidR="009548C4">
        <w:rPr>
          <w:rFonts w:ascii="Times New Roman" w:eastAsia="Times New Roman" w:hAnsi="Times New Roman" w:cs="Times New Roman"/>
        </w:rPr>
        <w:t xml:space="preserve">s) among Americans </w:t>
      </w:r>
      <w:r w:rsidR="002C35C2">
        <w:rPr>
          <w:rFonts w:ascii="Times New Roman" w:eastAsia="Times New Roman" w:hAnsi="Times New Roman" w:cs="Times New Roman"/>
        </w:rPr>
        <w:t xml:space="preserve">under aged 70 years </w:t>
      </w:r>
      <w:r w:rsidR="001156D4">
        <w:rPr>
          <w:rFonts w:ascii="Times New Roman" w:eastAsia="Times New Roman" w:hAnsi="Times New Roman" w:cs="Times New Roman"/>
        </w:rPr>
        <w:t xml:space="preserve">stopped </w:t>
      </w:r>
      <w:r w:rsidR="00842C97">
        <w:rPr>
          <w:rFonts w:ascii="Times New Roman" w:eastAsia="Times New Roman" w:hAnsi="Times New Roman" w:cs="Times New Roman"/>
        </w:rPr>
        <w:t xml:space="preserve">declining </w:t>
      </w:r>
      <w:r w:rsidR="00842C97">
        <w:rPr>
          <w:rFonts w:ascii="Times New Roman" w:eastAsia="Times New Roman" w:hAnsi="Times New Roman" w:cs="Times New Roman"/>
        </w:rPr>
        <w:fldChar w:fldCharType="begin"/>
      </w:r>
      <w:r w:rsidR="00E14BE1">
        <w:rPr>
          <w:rFonts w:ascii="Times New Roman" w:eastAsia="Times New Roman" w:hAnsi="Times New Roman" w:cs="Times New Roman"/>
        </w:rPr>
        <w:instrText xml:space="preserve"> ADDIN ZOTERO_ITEM CSL_CITATION {"citationID":"0fqmsTjF","properties":{"formattedCitation":"(Freedman et\\uc0\\u160{}al., 2013; Lakdawalla et\\uc0\\u160{}al., 2004; Martin, Freedman, et\\uc0\\u160{}al., 2010; Seeman et\\uc0\\u160{}al., 2010; Tsai, 2017)","plainCitation":"(Freedman et al., 2013; Lakdawalla et al., 2004; Martin, Freedman, et al., 2010; Seeman et al., 2010; Tsai, 2017)","noteIndex":0},"citationItems":[{"id":4387,"uris":["http://zotero.org/groups/4816923/items/MWEN3W3D"],"itemData":{"id":4387,"type":"article-journal","abstract":"This article updates trends from five national U.S. surveys to determine whether the prevalence of activity limitations among the older population continued to decline in the first decade of the twenty-first century. Findings across studies suggest that personal care and domestic activity limitations may have continued to decline for those ages 85 and older from 2000 to 2008, but generally were flat since 2000 for those ages 65–84. Modest increases were observed for the 55- to 64-year-old group approaching late life, although prevalence remained low for this age group. Inclusion of the institutional population is important for assessing trends among those ages 85 and older in particular.","container-title":"Demography","DOI":"10.1007/s13524-012-0167-z","ISSN":"0070-3370","issue":"2","journalAbbreviation":"Demography","note":"PMID: 23104207\nPMCID: PMC3586750","page":"661-671","source":"PubMed Central","title":"Trends in Late-Life Activity Limitations in the United States: An Update From Five National Surveys","title-short":"Trends in Late-Life Activity Limitations in the United States","volume":"50","author":[{"family":"Freedman","given":"Vicki A."},{"family":"Spillman","given":"Brenda C."},{"family":"Andreski","given":"Patti M."},{"family":"Cornman","given":"Jennifer C."},{"family":"Crimmins","given":"Eileen M."},{"family":"Kramarow","given":"Ellen"},{"family":"Lubitz","given":"James"},{"family":"Martin","given":"Linda G."},{"family":"Merkin","given":"Sharon S."},{"family":"Schoeni","given":"Robert F."},{"family":"Seeman","given":"Teresa E."},{"family":"Waidmann","given":"Timothy A."}],"issued":{"date-parts":[["2013",4]]}}},{"id":7546,"uris":["http://zotero.org/users/8991183/items/XLIFIH2H"],"itemData":{"id":7546,"type":"article-journal","abstract":"This paper investigates trends in disability in the U.S. population, particularly among people under age fifty. Even as the elderly have become less disabled, reported disability has risen for younger Americans, especially those ages 30–49. We suggest some possible explanations for rising disability levels, such as obesity, technological advances in medicine, and changing disability insurance laws. Obesity and its attendant disorders seem particularly associated with these trends, although the data are not definitive. Whatever its sources, rising disability among the young could have adverse consequences for public programs such as disability insurance, Medicare, and Medicaid.","container-title":"Health Affairs","DOI":"10.1377/hlthaff.23.1.168","ISSN":"0278-2715","issue":"1","note":"publisher: Health Affairs","page":"168-176","source":"healthaffairs.org (Atypon)","title":"Are The Young Becoming More Disabled?","volume":"23","author":[{"family":"Lakdawalla","given":"Darius N."},{"family":"Bhattacharya","given":"Jayanta"},{"family":"Goldman","given":"Dana P."}],"issued":{"date-parts":[["2004",1]]}}},{"id":7548,"uris":["http://zotero.org/users/8991183/items/NL9V6D57"],"itemData":{"id":7548,"type":"article-journal","abstract":"Although still below 2 percent, the proportion of people ages 50-64 who reported needing help with personal care activities increased significantly from 1997 to 2007. The proportions needing help with routine household chores and indicating difficulty with physical functions were stable. These patterns contrast with reported declines in disability among the population age sixty-five and older. Particularly concerning among those ages 50-64 are significant increases in limitations in specific mobility-related activities, such as getting into and out of bed. Musculoskeletal conditions remained the most commonly cited causes of disability at these ages. There were also substantial increases in the attribution of disability to depression, diabetes, and nervous system conditions for this age group.","container-title":"Health Affairs (Project Hope)","DOI":"10.1377/hlthaff.2008.0746","ISSN":"2694-233X","issue":"4","journalAbbreviation":"Health Aff (Millwood)","language":"eng","note":"PMID: 20368601\nPMCID: PMC2874878","page":"725-731","source":"PubMed","title":"Trends in disability and related chronic conditions among people ages fifty to sixty-four","volume":"29","author":[{"family":"Martin","given":"Linda G."},{"family":"Freedman","given":"Vicki A."},{"family":"Schoeni","given":"Robert F."},{"family":"Andreski","given":"Patricia M."}],"issued":{"date-parts":[["2010",4]]}}},{"id":3265,"uris":["http://zotero.org/users/8991183/items/XK2RNG69"],"itemData":{"id":3265,"type":"article-journal","abstract":"Objectives. We investigated trends in disability among older Americans from 1988 through 2004 to test the hypothesis that more recent cohorts show increased burdens of disability.\n\nMethods. We used data from 2 National Health and Nutrition Examination Surveys (1988–1994 and 1999–2004) to assess time trends in basic activities of daily living, instrumental activities, mobility, and functional limitations for adults aged 60 years and older. We assessed whether changes could be explained by sociodemographic, body weight, or behavioral factors.\n\nResults. With the exception of functional limitations, significant increases in each type of disability were seen over time among respondents aged 60 to 69 years, independent of sociodemographic characteristics, health status, relative weight, and health behaviors. Significantly greater increases occurred among non-Whites and persons who were obese or overweight (2 of the fastest-growing subgroups within this population). We detected no significant trends among respondents aged 70 to 79 years; in the oldest group (aged ≥ 80 years), time trends suggested lower prevalence of functional limitations among more recent cohorts.\n\nConclusions. Our results have significant and sobering implications: older Americans face increased disability, and society faces increased costs to meet the health care needs of these disabled Americans.","container-title":"American Journal of Public Health","DOI":"10.2105/AJPH.2008.157388","ISSN":"0090-0036","issue":"1","journalAbbreviation":"Am J Public Health","note":"publisher: American Public Health Association","page":"100-107","source":"ajph.aphapublications.org (Atypon)","title":"Disability Trends Among Older Americans: National Health and Nutrition Examination Surveys, 1988–1994 and 1999–2004","title-short":"Disability Trends Among Older Americans","volume":"100","author":[{"family":"Seeman","given":"Teresa E."},{"family":"Merkin","given":"Sharon S."},{"family":"Crimmins","given":"Eileen M."},{"family":"Karlamangla","given":"Arun S."}],"issued":{"date-parts":[["2010",1]]}}},{"id":1416,"uris":["http://zotero.org/users/8991183/items/XMTJG27M"],"itemData":{"id":1416,"type":"article-journal","abstract":"BACKGROUND: Trends in disability among older Americans has declined since the 1980s. The study examines whether the trend continues to decline and whether educational disparities exist in the prevalence of functional limitations.\nMETHODS: I used the 2000-2014 National Health Interview Survey and included adults aged ≥65 years. Functional limitations was measured by three outcomes: the need for help with activities of daily living (ADLs) or instrumental activities of daily living (IADLs) and physical function limitations. I used a set of logistic models to estimate the average annual change rate of functional limitations. I examined whether the annual rate of change differed by education, age group and sex.\nRESULTS: During 2000-2014, the annual increase rate of ADL limitations was 1.7% (P &lt; 0.001) and was 2.0% (P &lt; 0.001) for physical function limitations; IADL limitation did not change significantly. All subgroups experienced an increase in ADL and physical function limitations except for adults with a more than high school education. The lower-educated group had a higher proportion and a higher annual rate of increase in all outcomes. Increasing trends in chronic conditions may contribute to the increasing trend in functional limitations.\nCONCLUSIONS: The study highlighted a large educational disparity in late-life disability among older Americans.","container-title":"Journal of Public Health (Oxford, England)","DOI":"10.1093/pubmed/fdw082","ISSN":"1741-3850","issue":"3","journalAbbreviation":"J Public Health (Oxf)","language":"eng","note":"PMID: 27679658\nPMCID: PMC5778449","page":"447-454","source":"PubMed","title":"Education and disability trends of older Americans, 2000-2014","volume":"39","author":[{"family":"Tsai","given":"Yuping"}],"issued":{"date-parts":[["2017",9,1]]}}}],"schema":"https://github.com/citation-style-language/schema/raw/master/csl-citation.json"} </w:instrText>
      </w:r>
      <w:r w:rsidR="00842C97">
        <w:rPr>
          <w:rFonts w:ascii="Times New Roman" w:eastAsia="Times New Roman" w:hAnsi="Times New Roman" w:cs="Times New Roman"/>
        </w:rPr>
        <w:fldChar w:fldCharType="separate"/>
      </w:r>
      <w:r w:rsidR="00E14BE1" w:rsidRPr="00E14BE1">
        <w:rPr>
          <w:rFonts w:ascii="Times New Roman" w:hAnsi="Times New Roman" w:cs="Times New Roman"/>
        </w:rPr>
        <w:t>(Freedman et al., 2013; Lakdawalla et al., 2004; Martin, Freedman, et al., 2010; Seeman et al., 2010; Tsai, 2017)</w:t>
      </w:r>
      <w:r w:rsidR="00842C97">
        <w:rPr>
          <w:rFonts w:ascii="Times New Roman" w:eastAsia="Times New Roman" w:hAnsi="Times New Roman" w:cs="Times New Roman"/>
        </w:rPr>
        <w:fldChar w:fldCharType="end"/>
      </w:r>
      <w:r w:rsidR="00AD0298">
        <w:rPr>
          <w:rFonts w:ascii="Times New Roman" w:eastAsia="Times New Roman" w:hAnsi="Times New Roman" w:cs="Times New Roman"/>
        </w:rPr>
        <w:t xml:space="preserve">. </w:t>
      </w:r>
      <w:r w:rsidR="00644B1A">
        <w:rPr>
          <w:rFonts w:ascii="Times New Roman" w:eastAsia="Times New Roman" w:hAnsi="Times New Roman" w:cs="Times New Roman"/>
        </w:rPr>
        <w:t xml:space="preserve">Declines were still evident among those over aged 70 years. </w:t>
      </w:r>
      <w:r w:rsidR="00AD0298">
        <w:rPr>
          <w:rFonts w:ascii="Times New Roman" w:eastAsia="Times New Roman" w:hAnsi="Times New Roman" w:cs="Times New Roman"/>
        </w:rPr>
        <w:t xml:space="preserve"> </w:t>
      </w:r>
      <w:r w:rsidR="00842C97">
        <w:rPr>
          <w:rFonts w:ascii="Times New Roman" w:eastAsia="Times New Roman" w:hAnsi="Times New Roman" w:cs="Times New Roman"/>
        </w:rPr>
        <w:t xml:space="preserve"> </w:t>
      </w:r>
    </w:p>
    <w:p w14:paraId="02F14A7C" w14:textId="76118D49" w:rsidR="005D44BE" w:rsidRDefault="001408AC" w:rsidP="00A0426C">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Less is known about disability trends after 2010</w:t>
      </w:r>
      <w:r w:rsidR="0091186A">
        <w:rPr>
          <w:rFonts w:ascii="Times New Roman" w:eastAsia="Times New Roman" w:hAnsi="Times New Roman" w:cs="Times New Roman"/>
        </w:rPr>
        <w:t xml:space="preserve"> when U.S. life</w:t>
      </w:r>
      <w:r w:rsidR="00A0426C">
        <w:rPr>
          <w:rFonts w:ascii="Times New Roman" w:eastAsia="Times New Roman" w:hAnsi="Times New Roman" w:cs="Times New Roman"/>
        </w:rPr>
        <w:t xml:space="preserve"> expectancy increases began to stagnate. Moreover, d</w:t>
      </w:r>
      <w:r w:rsidR="005D44BE">
        <w:rPr>
          <w:rFonts w:ascii="Times New Roman" w:eastAsia="Times New Roman" w:hAnsi="Times New Roman" w:cs="Times New Roman"/>
        </w:rPr>
        <w:t>isruptive</w:t>
      </w:r>
      <w:r w:rsidR="005D44BE" w:rsidRPr="67C8E18F">
        <w:rPr>
          <w:rFonts w:ascii="Times New Roman" w:eastAsia="Times New Roman" w:hAnsi="Times New Roman" w:cs="Times New Roman"/>
        </w:rPr>
        <w:t xml:space="preserve"> events, like the </w:t>
      </w:r>
      <w:r w:rsidR="005D44BE">
        <w:rPr>
          <w:rFonts w:ascii="Times New Roman" w:eastAsia="Times New Roman" w:hAnsi="Times New Roman" w:cs="Times New Roman"/>
        </w:rPr>
        <w:t xml:space="preserve">U.S. </w:t>
      </w:r>
      <w:r w:rsidR="005D44BE" w:rsidRPr="67C8E18F">
        <w:rPr>
          <w:rFonts w:ascii="Times New Roman" w:eastAsia="Times New Roman" w:hAnsi="Times New Roman" w:cs="Times New Roman"/>
        </w:rPr>
        <w:t xml:space="preserve">economic crisis </w:t>
      </w:r>
      <w:r w:rsidR="005D44BE">
        <w:rPr>
          <w:rFonts w:ascii="Times New Roman" w:eastAsia="Times New Roman" w:hAnsi="Times New Roman" w:cs="Times New Roman"/>
        </w:rPr>
        <w:t xml:space="preserve">of </w:t>
      </w:r>
      <w:r w:rsidR="005D44BE" w:rsidRPr="67C8E18F">
        <w:rPr>
          <w:rFonts w:ascii="Times New Roman" w:eastAsia="Times New Roman" w:hAnsi="Times New Roman" w:cs="Times New Roman"/>
        </w:rPr>
        <w:t>2008, are known for their detrimental effects on population health</w:t>
      </w:r>
      <w:r w:rsidR="005D44BE">
        <w:rPr>
          <w:rFonts w:ascii="Times New Roman" w:eastAsia="Times New Roman" w:hAnsi="Times New Roman" w:cs="Times New Roman"/>
        </w:rPr>
        <w:t xml:space="preserve"> </w:t>
      </w:r>
      <w:r w:rsidR="005D44BE">
        <w:rPr>
          <w:rFonts w:ascii="Times New Roman" w:eastAsia="Times New Roman" w:hAnsi="Times New Roman" w:cs="Times New Roman"/>
        </w:rPr>
        <w:fldChar w:fldCharType="begin"/>
      </w:r>
      <w:r w:rsidR="005D44BE">
        <w:rPr>
          <w:rFonts w:ascii="Times New Roman" w:eastAsia="Times New Roman" w:hAnsi="Times New Roman" w:cs="Times New Roman"/>
        </w:rPr>
        <w:instrText xml:space="preserve"> ADDIN ZOTERO_ITEM CSL_CITATION {"citationID":"miQmN0iT","properties":{"formattedCitation":"(Frasquilho et\\uc0\\u160{}al., 2016; McAlpine et\\uc0\\u160{}al., 2018)","plainCitation":"(Frasquilho et al., 2016; McAlpine et al., 2018)","noteIndex":0},"citationItems":[{"id":2226,"uris":["http://zotero.org/users/8991183/items/ARVCZL3W"],"itemData":{"id":2226,"type":"article-journal","abstract":"Background: Countries in recession experience high unemployment rates and a decline in living conditions, which, it has been suggested, negatively influences their populations' health. The present review examines the recent evidence of the possible association between economic recessions and mental health outcomes. Methods: Literature review of records identified through Medline, PsycINFO, SciELO, and EBSCO Host. Only original research papers, published between 2004 and 2014, peer-reviewed, non-qualitative research, and reporting on associations between economic factors and proxies of mental health were considered. Results: One-hundred-one papers met the inclusion criteria. The evidence was consistent that economic recessions and mediators such as unemployment, income decline, and unmanageable debts are significantly associated with poor mental wellbeing, increased rates of common mental disorders, substance-related disorders, and suicidal behaviours. Conclusion: On the basis of a thorough analysis of the selected investigations, we conclude that periods of economic recession are possibly associated with a higher prevalence of mental health problems, including common mental disorders, substance disorders, and ultimately suicidal behaviour. Most of the research is based on cross-sectional studies, which seriously limits causality inferences. Conclusions are summarised, taking into account international policy recommendations concerning the cost-effective measures that can possibly reduce the occurrence of negative mental health outcomes in populations during periods of economic recession.","container-title":"BMC Public Health","DOI":"10.1186/s12889-016-2720-y","issue":"1","note":"publisher: BioMed Central Ltd.","title":"Mental health outcomes in times of economic recession: A systematic literature review Health behavior, health promotion and society","URL":"https://pubmed.ncbi.nlm.nih.gov/26847554/","volume":"16","author":[{"family":"Frasquilho","given":"Diana"},{"family":"Matos","given":"Margarida Gaspar"},{"family":"Salonna","given":"Ferdinand"},{"family":"Guerreiro","given":"Diogo"},{"family":"Storti","given":"Cláudia C."},{"family":"Gaspar","given":"Tânia"},{"family":"Caldas-De-Almeida","given":"José M."}],"issued":{"date-parts":[["2016",2]]}}},{"id":1944,"uris":["http://zotero.org/users/8991183/items/K27IFYRV"],"itemData":{"id":1944,"type":"article-journal","abstract":"Self-rated health is a valid measure of health that predicts quality of life, morbidity, and mortality. Its predictive value reflects a conceptualization of health</w:instrText>
      </w:r>
      <w:r w:rsidR="005D44BE" w:rsidRPr="009A247B">
        <w:rPr>
          <w:rFonts w:ascii="Times New Roman" w:eastAsia="Times New Roman" w:hAnsi="Times New Roman" w:cs="Times New Roman"/>
        </w:rPr>
        <w:instrText xml:space="preserve"> that goes beyond a traditional medical model. However, less is known about self-rated mental health (SRMH). Using data from the Medical Expenditure Panel Survey (N = 2,547), we examine how rating your mental health as good?despite meeting criteria for a mental health problem?predicts outcomes. We found that 62% of people with a mental health problem rated their mental health positively. Persons who rated their mental health as good (compared to poor) had 30% lower odds of having a mental health problem at follow-up. Even without treatment, persons with a mental health problem did better if they perceived their mental health positively. SRMH might comprise information beyond the experience of symptoms. Understanding the unobserved information individuals incorporate into SRMH will help us improve screening and treatment interventions.","container-title":"Journal of Health and Social Behavior","DOI":"10.1177/0022146518755485","ISSN":"0022-1465","issue":"2","journalAbbreviation":"J Health Soc Behav","language":"en","note":"publisher: SAGE Publications Inc","page":"200-214","source":"SAGE Journals","title":"The Meaning and Predictive Value of Self-rated Mental Health among Persons with a Mental Health Problem","volume":"59","author":[{"family":"McAlpine","given":"Donna D."},{"family":"McCreedy","given":"Ellen"},{"family":"Alang","given":"Sirry"}],"issued":{"date-parts":[["2018",6,1]]}}}],"schema":"https://github.com/citation-style-language/schema/raw/master/csl-citation.json"} </w:instrText>
      </w:r>
      <w:r w:rsidR="005D44BE">
        <w:rPr>
          <w:rFonts w:ascii="Times New Roman" w:eastAsia="Times New Roman" w:hAnsi="Times New Roman" w:cs="Times New Roman"/>
        </w:rPr>
        <w:fldChar w:fldCharType="separate"/>
      </w:r>
      <w:r w:rsidR="005D44BE" w:rsidRPr="009A247B">
        <w:rPr>
          <w:rFonts w:ascii="Times New Roman" w:hAnsi="Times New Roman" w:cs="Times New Roman"/>
        </w:rPr>
        <w:t>(Frasquilho et al., 2016; McAlpine et al., 2018)</w:t>
      </w:r>
      <w:r w:rsidR="005D44BE">
        <w:rPr>
          <w:rFonts w:ascii="Times New Roman" w:eastAsia="Times New Roman" w:hAnsi="Times New Roman" w:cs="Times New Roman"/>
        </w:rPr>
        <w:fldChar w:fldCharType="end"/>
      </w:r>
      <w:r w:rsidR="005D44BE" w:rsidRPr="009A247B">
        <w:rPr>
          <w:rFonts w:ascii="Times New Roman" w:eastAsia="Times New Roman" w:hAnsi="Times New Roman" w:cs="Times New Roman"/>
        </w:rPr>
        <w:t xml:space="preserve">. </w:t>
      </w:r>
      <w:r w:rsidR="005D44BE" w:rsidRPr="67C8E18F">
        <w:rPr>
          <w:rFonts w:ascii="Times New Roman" w:eastAsia="Times New Roman" w:hAnsi="Times New Roman" w:cs="Times New Roman"/>
        </w:rPr>
        <w:t xml:space="preserve">It </w:t>
      </w:r>
      <w:r w:rsidR="005D44BE">
        <w:rPr>
          <w:rFonts w:ascii="Times New Roman" w:eastAsia="Times New Roman" w:hAnsi="Times New Roman" w:cs="Times New Roman"/>
        </w:rPr>
        <w:t xml:space="preserve">is </w:t>
      </w:r>
      <w:r w:rsidR="005D44BE" w:rsidRPr="67C8E18F">
        <w:rPr>
          <w:rFonts w:ascii="Times New Roman" w:eastAsia="Times New Roman" w:hAnsi="Times New Roman" w:cs="Times New Roman"/>
        </w:rPr>
        <w:t xml:space="preserve">acknowledged that </w:t>
      </w:r>
      <w:r w:rsidR="005D44BE">
        <w:rPr>
          <w:rFonts w:ascii="Times New Roman" w:eastAsia="Times New Roman" w:hAnsi="Times New Roman" w:cs="Times New Roman"/>
        </w:rPr>
        <w:t>the</w:t>
      </w:r>
      <w:r w:rsidR="005D44BE" w:rsidRPr="67C8E18F">
        <w:rPr>
          <w:rFonts w:ascii="Times New Roman" w:eastAsia="Times New Roman" w:hAnsi="Times New Roman" w:cs="Times New Roman"/>
        </w:rPr>
        <w:t xml:space="preserve"> effects</w:t>
      </w:r>
      <w:r w:rsidR="005D44BE">
        <w:rPr>
          <w:rFonts w:ascii="Times New Roman" w:eastAsia="Times New Roman" w:hAnsi="Times New Roman" w:cs="Times New Roman"/>
        </w:rPr>
        <w:t xml:space="preserve"> of the 2008 economic crisis</w:t>
      </w:r>
      <w:r w:rsidR="005D44BE" w:rsidRPr="67C8E18F">
        <w:rPr>
          <w:rFonts w:ascii="Times New Roman" w:eastAsia="Times New Roman" w:hAnsi="Times New Roman" w:cs="Times New Roman"/>
        </w:rPr>
        <w:t xml:space="preserve"> have contributed to the stagnation in mortality </w:t>
      </w:r>
      <w:r w:rsidR="005D44BE">
        <w:rPr>
          <w:rFonts w:ascii="Times New Roman" w:eastAsia="Times New Roman" w:hAnsi="Times New Roman" w:cs="Times New Roman"/>
        </w:rPr>
        <w:t>observed in</w:t>
      </w:r>
      <w:r w:rsidR="005D44BE" w:rsidRPr="67C8E18F">
        <w:rPr>
          <w:rFonts w:ascii="Times New Roman" w:eastAsia="Times New Roman" w:hAnsi="Times New Roman" w:cs="Times New Roman"/>
        </w:rPr>
        <w:t xml:space="preserve"> the U</w:t>
      </w:r>
      <w:r w:rsidR="005D44BE">
        <w:rPr>
          <w:rFonts w:ascii="Times New Roman" w:eastAsia="Times New Roman" w:hAnsi="Times New Roman" w:cs="Times New Roman"/>
        </w:rPr>
        <w:t>.</w:t>
      </w:r>
      <w:r w:rsidR="005D44BE" w:rsidRPr="67C8E18F">
        <w:rPr>
          <w:rFonts w:ascii="Times New Roman" w:eastAsia="Times New Roman" w:hAnsi="Times New Roman" w:cs="Times New Roman"/>
        </w:rPr>
        <w:t>S</w:t>
      </w:r>
      <w:r w:rsidR="005D44BE">
        <w:rPr>
          <w:rFonts w:ascii="Times New Roman" w:eastAsia="Times New Roman" w:hAnsi="Times New Roman" w:cs="Times New Roman"/>
        </w:rPr>
        <w:t>.</w:t>
      </w:r>
      <w:r w:rsidR="005D44BE" w:rsidRPr="67C8E18F">
        <w:rPr>
          <w:rFonts w:ascii="Times New Roman" w:eastAsia="Times New Roman" w:hAnsi="Times New Roman" w:cs="Times New Roman"/>
        </w:rPr>
        <w:t xml:space="preserve"> population in </w:t>
      </w:r>
      <w:r w:rsidR="005D44BE">
        <w:rPr>
          <w:rFonts w:ascii="Times New Roman" w:eastAsia="Times New Roman" w:hAnsi="Times New Roman" w:cs="Times New Roman"/>
        </w:rPr>
        <w:t>recent</w:t>
      </w:r>
      <w:r w:rsidR="005D44BE" w:rsidRPr="67C8E18F">
        <w:rPr>
          <w:rFonts w:ascii="Times New Roman" w:eastAsia="Times New Roman" w:hAnsi="Times New Roman" w:cs="Times New Roman"/>
        </w:rPr>
        <w:t xml:space="preserve"> years </w:t>
      </w:r>
      <w:r w:rsidR="005D44BE">
        <w:rPr>
          <w:rFonts w:ascii="Times New Roman" w:eastAsia="Times New Roman" w:hAnsi="Times New Roman" w:cs="Times New Roman"/>
        </w:rPr>
        <w:fldChar w:fldCharType="begin"/>
      </w:r>
      <w:r w:rsidR="005D44BE">
        <w:rPr>
          <w:rFonts w:ascii="Times New Roman" w:eastAsia="Times New Roman" w:hAnsi="Times New Roman" w:cs="Times New Roman"/>
        </w:rPr>
        <w:instrText xml:space="preserve"> ADDIN ZOTERO_ITEM CSL_CITATION {"citationID":"PhQuvn1Y","properties":{"formattedCitation":"(Case &amp; Deaton, 2015, 2017)","plainCitation":"(Case &amp; Deaton, 2015, 2017)","noteIndex":0},"citationItems":[{"id":1557,"uris":["http://zotero.org/users/8991183/items/75AEXHKI"],"itemData":{"id":1557,"type":"article-journal","abstract":"This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deterioration.","container-title":"Proceedings of the National Academy of Sciences of the United States of America","DOI":"10.1073/pnas.1518393112","issue":"49","note":"publisher: National Academy of Sciences","page":"15078-15083","title":"Rising morbidity and mortality in midlife among white non-Hispanic Americans in the 21st century","volume":"112","author":[{"family":"Case","given":"Anne"},{"family":"Deaton","given":"Angus"}],"issued":{"date-parts":[["2015",12]]}}},{"id":1556,"uris":["http://zotero.org/users/8991183/items/3XXLD7DL"],"itemData":{"id":1556,"type":"article-journal","abstract":"Building on our earlier research (Case and Deaton 2015), we find that mortality and morbidity among white non-Hispanic Americans in midlife since the turn of the century continued to climb through 2015. Additional increases in drug overdoses, suicides, and alcohol-related liver mortality- particularly among those with a high school degree or less-are responsible for an overall increase in all-cause mortality among whites. We find marked differences in mortality by race and education, with mortality among white non- Hispanics (males and females) rising for those without a college degree, and falling for those with a college degree. In contrast, mortality rates among blacks and Hispanics have continued to fall, irrespective of educational attainment. Mortality rates in comparably rich countries have continued their premillennial fall at the rates that used to characterize the United States. Contemporaneous levels of resources-particularly slowly growing, stagnant, and even declining incomes-cannot provide a comprehensive explanation for poor mortality outcomes. We propose a preliminary but plausible story in which cumulative disadvantage from one birth cohort to the next-in the labor market, in marriage and child outcomes, and in health-is triggered by progressively worsening labor market opportunities at the time of entry for whites with low levels of education. This account, which fits much of the data, has the profoundly negative implication that policies-even ones that successfully improve earnings and jobs, or redistribute income-will take many years to reverse the increase in mortality and morbidity, and that those in midlife now are likely to do worse in old age than the current elderly. This is in contrast to accounts in which resources affect health contemporaneously, so that those in midlife now can expect to do better in old age as they receive Social Security and Medicare. None of this, however, implies that there are no policy levers to be pulled. For instance, reducing the overprescription of opioids should be an obvious target for policymakers.","container-title":"Brookings Papers on Economic Activity","DOI":"10.1353/eca.2017.0005","issue":"Spring","note":"publisher: Brookings Institution Press","page":"397-476","title":"Mortality and morbidity in the 21st century","volume":"2017","author":[{"family":"Case","given":"Anne"},{"family":"Deaton","given":"Angus"}],"issued":{"date-parts":[["2017",3]]}}}],"schema":"https://github.com/citation-style-language/schema/raw/master/csl-citation.json"} </w:instrText>
      </w:r>
      <w:r w:rsidR="005D44BE">
        <w:rPr>
          <w:rFonts w:ascii="Times New Roman" w:eastAsia="Times New Roman" w:hAnsi="Times New Roman" w:cs="Times New Roman"/>
        </w:rPr>
        <w:fldChar w:fldCharType="separate"/>
      </w:r>
      <w:r w:rsidR="005D44BE" w:rsidRPr="009A247B">
        <w:rPr>
          <w:rFonts w:ascii="Times New Roman" w:hAnsi="Times New Roman" w:cs="Times New Roman"/>
        </w:rPr>
        <w:t>(Case &amp; Deaton, 2015, 2017)</w:t>
      </w:r>
      <w:r w:rsidR="005D44BE">
        <w:rPr>
          <w:rFonts w:ascii="Times New Roman" w:eastAsia="Times New Roman" w:hAnsi="Times New Roman" w:cs="Times New Roman"/>
        </w:rPr>
        <w:fldChar w:fldCharType="end"/>
      </w:r>
      <w:r w:rsidR="005D44BE">
        <w:rPr>
          <w:rFonts w:ascii="Times New Roman" w:eastAsia="Times New Roman" w:hAnsi="Times New Roman" w:cs="Times New Roman"/>
        </w:rPr>
        <w:t>.</w:t>
      </w:r>
      <w:r w:rsidR="005D44BE" w:rsidRPr="67C8E18F">
        <w:rPr>
          <w:rFonts w:ascii="Times New Roman" w:eastAsia="Times New Roman" w:hAnsi="Times New Roman" w:cs="Times New Roman"/>
        </w:rPr>
        <w:t xml:space="preserve"> </w:t>
      </w:r>
      <w:r w:rsidR="005D44BE" w:rsidRPr="67C8E18F">
        <w:rPr>
          <w:rFonts w:ascii="Times New Roman" w:eastAsia="Times New Roman" w:hAnsi="Times New Roman" w:cs="Times New Roman"/>
        </w:rPr>
        <w:lastRenderedPageBreak/>
        <w:t xml:space="preserve">However, it </w:t>
      </w:r>
      <w:r w:rsidR="005D44BE">
        <w:rPr>
          <w:rFonts w:ascii="Times New Roman" w:eastAsia="Times New Roman" w:hAnsi="Times New Roman" w:cs="Times New Roman"/>
        </w:rPr>
        <w:t>remains</w:t>
      </w:r>
      <w:r w:rsidR="005D44BE" w:rsidRPr="67C8E18F">
        <w:rPr>
          <w:rFonts w:ascii="Times New Roman" w:eastAsia="Times New Roman" w:hAnsi="Times New Roman" w:cs="Times New Roman"/>
        </w:rPr>
        <w:t xml:space="preserve"> </w:t>
      </w:r>
      <w:r w:rsidR="005D44BE">
        <w:rPr>
          <w:rFonts w:ascii="Times New Roman" w:eastAsia="Times New Roman" w:hAnsi="Times New Roman" w:cs="Times New Roman"/>
        </w:rPr>
        <w:t>un</w:t>
      </w:r>
      <w:r w:rsidR="005D44BE" w:rsidRPr="67C8E18F">
        <w:rPr>
          <w:rFonts w:ascii="Times New Roman" w:eastAsia="Times New Roman" w:hAnsi="Times New Roman" w:cs="Times New Roman"/>
        </w:rPr>
        <w:t xml:space="preserve">clear </w:t>
      </w:r>
      <w:r w:rsidR="005D44BE">
        <w:rPr>
          <w:rFonts w:ascii="Times New Roman" w:eastAsia="Times New Roman" w:hAnsi="Times New Roman" w:cs="Times New Roman"/>
        </w:rPr>
        <w:t>whether</w:t>
      </w:r>
      <w:r w:rsidR="005D44BE" w:rsidRPr="67C8E18F">
        <w:rPr>
          <w:rFonts w:ascii="Times New Roman" w:eastAsia="Times New Roman" w:hAnsi="Times New Roman" w:cs="Times New Roman"/>
        </w:rPr>
        <w:t xml:space="preserve"> this </w:t>
      </w:r>
      <w:r w:rsidR="005D44BE">
        <w:rPr>
          <w:rFonts w:ascii="Times New Roman" w:eastAsia="Times New Roman" w:hAnsi="Times New Roman" w:cs="Times New Roman"/>
        </w:rPr>
        <w:t xml:space="preserve">event also </w:t>
      </w:r>
      <w:r w:rsidR="00AB65CE">
        <w:rPr>
          <w:rFonts w:ascii="Times New Roman" w:eastAsia="Times New Roman" w:hAnsi="Times New Roman" w:cs="Times New Roman"/>
        </w:rPr>
        <w:t xml:space="preserve">is </w:t>
      </w:r>
      <w:r w:rsidR="00B5038A">
        <w:rPr>
          <w:rFonts w:ascii="Times New Roman" w:eastAsia="Times New Roman" w:hAnsi="Times New Roman" w:cs="Times New Roman"/>
        </w:rPr>
        <w:t xml:space="preserve">also associated with </w:t>
      </w:r>
      <w:r w:rsidR="005D44BE" w:rsidRPr="67C8E18F">
        <w:rPr>
          <w:rFonts w:ascii="Times New Roman" w:eastAsia="Times New Roman" w:hAnsi="Times New Roman" w:cs="Times New Roman"/>
        </w:rPr>
        <w:t xml:space="preserve">a turning point for </w:t>
      </w:r>
      <w:r w:rsidR="002E2705">
        <w:rPr>
          <w:rFonts w:ascii="Times New Roman" w:eastAsia="Times New Roman" w:hAnsi="Times New Roman" w:cs="Times New Roman"/>
        </w:rPr>
        <w:t>disability trends</w:t>
      </w:r>
      <w:r w:rsidR="005D44BE" w:rsidRPr="67C8E18F">
        <w:rPr>
          <w:rFonts w:ascii="Times New Roman" w:eastAsia="Times New Roman" w:hAnsi="Times New Roman" w:cs="Times New Roman"/>
        </w:rPr>
        <w:t>.</w:t>
      </w:r>
    </w:p>
    <w:p w14:paraId="52273651" w14:textId="77777777" w:rsidR="00A0426C" w:rsidRDefault="00A0426C" w:rsidP="00A12CF5">
      <w:pPr>
        <w:spacing w:after="0" w:line="480" w:lineRule="auto"/>
        <w:ind w:firstLine="720"/>
        <w:rPr>
          <w:rFonts w:ascii="Times New Roman" w:eastAsia="Times New Roman" w:hAnsi="Times New Roman" w:cs="Times New Roman"/>
          <w:color w:val="000000" w:themeColor="text1"/>
        </w:rPr>
      </w:pPr>
    </w:p>
    <w:p w14:paraId="2858C53C" w14:textId="0EFB0D0E" w:rsidR="00DD423A" w:rsidRPr="00A346B7" w:rsidRDefault="009F6228" w:rsidP="00A12CF5">
      <w:pPr>
        <w:spacing w:after="0" w:line="480" w:lineRule="auto"/>
        <w:ind w:firstLine="720"/>
        <w:rPr>
          <w:rFonts w:ascii="Times New Roman" w:eastAsia="Times New Roman" w:hAnsi="Times New Roman" w:cs="Times New Roman"/>
          <w:lang w:val="es-AR"/>
        </w:rPr>
      </w:pPr>
      <w:r w:rsidRPr="00A12CF5">
        <w:rPr>
          <w:rFonts w:ascii="Times New Roman" w:eastAsia="Times New Roman" w:hAnsi="Times New Roman" w:cs="Times New Roman"/>
        </w:rPr>
        <w:t>Because</w:t>
      </w:r>
      <w:r w:rsidRPr="00D11E37">
        <w:rPr>
          <w:rFonts w:ascii="Times New Roman" w:eastAsia="Times New Roman" w:hAnsi="Times New Roman" w:cs="Times New Roman"/>
        </w:rPr>
        <w:t xml:space="preserve"> </w:t>
      </w:r>
      <w:r w:rsidR="009C7038" w:rsidRPr="00D11E37">
        <w:rPr>
          <w:rFonts w:ascii="Times New Roman" w:eastAsia="Times New Roman" w:hAnsi="Times New Roman" w:cs="Times New Roman"/>
        </w:rPr>
        <w:t xml:space="preserve">health is not distributed evenly across populations, </w:t>
      </w:r>
      <w:r w:rsidR="00D11E37" w:rsidRPr="00A12CF5">
        <w:rPr>
          <w:rFonts w:ascii="Times New Roman" w:eastAsia="Times New Roman" w:hAnsi="Times New Roman" w:cs="Times New Roman"/>
        </w:rPr>
        <w:t xml:space="preserve">investigating </w:t>
      </w:r>
      <w:r w:rsidR="009C7038" w:rsidRPr="00D11E37">
        <w:rPr>
          <w:rFonts w:ascii="Times New Roman" w:eastAsia="Times New Roman" w:hAnsi="Times New Roman" w:cs="Times New Roman"/>
        </w:rPr>
        <w:t xml:space="preserve">how disability trends have changed across sex, age, race, and ethnicity is </w:t>
      </w:r>
      <w:r w:rsidR="00011C73">
        <w:rPr>
          <w:rFonts w:ascii="Times New Roman" w:eastAsia="Times New Roman" w:hAnsi="Times New Roman" w:cs="Times New Roman"/>
        </w:rPr>
        <w:t xml:space="preserve">also critical </w:t>
      </w:r>
      <w:r w:rsidR="009C7038" w:rsidRPr="00D11E37">
        <w:rPr>
          <w:rFonts w:ascii="Times New Roman" w:eastAsia="Times New Roman" w:hAnsi="Times New Roman" w:cs="Times New Roman"/>
        </w:rPr>
        <w:t xml:space="preserve">to </w:t>
      </w:r>
      <w:r w:rsidR="00D11E37" w:rsidRPr="00A12CF5">
        <w:rPr>
          <w:rFonts w:ascii="Times New Roman" w:eastAsia="Times New Roman" w:hAnsi="Times New Roman" w:cs="Times New Roman"/>
        </w:rPr>
        <w:t>gaining</w:t>
      </w:r>
      <w:r w:rsidR="00D11E37" w:rsidRPr="00D11E37">
        <w:rPr>
          <w:rFonts w:ascii="Times New Roman" w:eastAsia="Times New Roman" w:hAnsi="Times New Roman" w:cs="Times New Roman"/>
        </w:rPr>
        <w:t xml:space="preserve"> </w:t>
      </w:r>
      <w:r w:rsidR="009C7038" w:rsidRPr="00D11E37">
        <w:rPr>
          <w:rFonts w:ascii="Times New Roman" w:eastAsia="Times New Roman" w:hAnsi="Times New Roman" w:cs="Times New Roman"/>
        </w:rPr>
        <w:t xml:space="preserve">a better understanding of the dynamics of health and care needs </w:t>
      </w:r>
      <w:r w:rsidRPr="00A12CF5">
        <w:rPr>
          <w:rFonts w:ascii="Times New Roman" w:eastAsia="Times New Roman" w:hAnsi="Times New Roman" w:cs="Times New Roman"/>
        </w:rPr>
        <w:t>among</w:t>
      </w:r>
      <w:r w:rsidRPr="00D11E37">
        <w:rPr>
          <w:rFonts w:ascii="Times New Roman" w:eastAsia="Times New Roman" w:hAnsi="Times New Roman" w:cs="Times New Roman"/>
        </w:rPr>
        <w:t xml:space="preserve"> </w:t>
      </w:r>
      <w:r w:rsidR="009C7038" w:rsidRPr="00D11E37">
        <w:rPr>
          <w:rFonts w:ascii="Times New Roman" w:eastAsia="Times New Roman" w:hAnsi="Times New Roman" w:cs="Times New Roman"/>
        </w:rPr>
        <w:t>older Americans.</w:t>
      </w:r>
      <w:r w:rsidR="0005542C">
        <w:rPr>
          <w:rFonts w:ascii="Times New Roman" w:eastAsia="Times New Roman" w:hAnsi="Times New Roman" w:cs="Times New Roman"/>
        </w:rPr>
        <w:t xml:space="preserve"> </w:t>
      </w:r>
      <w:r w:rsidR="00627A01">
        <w:rPr>
          <w:rFonts w:ascii="Times New Roman" w:eastAsia="Times New Roman" w:hAnsi="Times New Roman" w:cs="Times New Roman"/>
        </w:rPr>
        <w:t xml:space="preserve">Non-Hispanic </w:t>
      </w:r>
      <w:r w:rsidR="00DD423A" w:rsidRPr="67C8E18F">
        <w:rPr>
          <w:rFonts w:ascii="Times New Roman" w:eastAsia="Times New Roman" w:hAnsi="Times New Roman" w:cs="Times New Roman"/>
        </w:rPr>
        <w:t xml:space="preserve">Black and Hispanic </w:t>
      </w:r>
      <w:r w:rsidR="00551FAC">
        <w:rPr>
          <w:rFonts w:ascii="Times New Roman" w:eastAsia="Times New Roman" w:hAnsi="Times New Roman" w:cs="Times New Roman"/>
        </w:rPr>
        <w:t>men and women have</w:t>
      </w:r>
      <w:r w:rsidR="00DD423A" w:rsidRPr="67C8E18F">
        <w:rPr>
          <w:rFonts w:ascii="Times New Roman" w:eastAsia="Times New Roman" w:hAnsi="Times New Roman" w:cs="Times New Roman"/>
        </w:rPr>
        <w:t xml:space="preserve"> higher prevalence</w:t>
      </w:r>
      <w:r w:rsidR="00551FAC">
        <w:rPr>
          <w:rFonts w:ascii="Times New Roman" w:eastAsia="Times New Roman" w:hAnsi="Times New Roman" w:cs="Times New Roman"/>
        </w:rPr>
        <w:t>s</w:t>
      </w:r>
      <w:r w:rsidR="00DD423A" w:rsidRPr="67C8E18F">
        <w:rPr>
          <w:rFonts w:ascii="Times New Roman" w:eastAsia="Times New Roman" w:hAnsi="Times New Roman" w:cs="Times New Roman"/>
        </w:rPr>
        <w:t xml:space="preserve"> of disabilit</w:t>
      </w:r>
      <w:r w:rsidR="00551FAC">
        <w:rPr>
          <w:rFonts w:ascii="Times New Roman" w:eastAsia="Times New Roman" w:hAnsi="Times New Roman" w:cs="Times New Roman"/>
        </w:rPr>
        <w:t>y</w:t>
      </w:r>
      <w:r w:rsidR="00DD423A" w:rsidRPr="67C8E18F">
        <w:rPr>
          <w:rFonts w:ascii="Times New Roman" w:eastAsia="Times New Roman" w:hAnsi="Times New Roman" w:cs="Times New Roman"/>
        </w:rPr>
        <w:t xml:space="preserve"> compared to </w:t>
      </w:r>
      <w:r w:rsidR="00551FAC">
        <w:rPr>
          <w:rFonts w:ascii="Times New Roman" w:eastAsia="Times New Roman" w:hAnsi="Times New Roman" w:cs="Times New Roman"/>
        </w:rPr>
        <w:t>non-Hispanic</w:t>
      </w:r>
      <w:r w:rsidR="00CF6BBD">
        <w:rPr>
          <w:rFonts w:ascii="Times New Roman" w:eastAsia="Times New Roman" w:hAnsi="Times New Roman" w:cs="Times New Roman"/>
        </w:rPr>
        <w:t xml:space="preserve"> Whites</w:t>
      </w:r>
      <w:r w:rsidR="005120F8">
        <w:rPr>
          <w:rFonts w:ascii="Times New Roman" w:eastAsia="Times New Roman" w:hAnsi="Times New Roman" w:cs="Times New Roman"/>
        </w:rPr>
        <w:t xml:space="preserve"> </w:t>
      </w:r>
      <w:r w:rsidR="005120F8">
        <w:rPr>
          <w:rFonts w:ascii="Times New Roman" w:eastAsia="Times New Roman" w:hAnsi="Times New Roman" w:cs="Times New Roman"/>
        </w:rPr>
        <w:fldChar w:fldCharType="begin"/>
      </w:r>
      <w:r w:rsidR="005120F8">
        <w:rPr>
          <w:rFonts w:ascii="Times New Roman" w:eastAsia="Times New Roman" w:hAnsi="Times New Roman" w:cs="Times New Roman"/>
        </w:rPr>
        <w:instrText xml:space="preserve"> ADDIN ZOTERO_ITEM CSL_CITATION {"citationID":"5WaOwfup","properties":{"formattedCitation":"(Abra\\uc0\\u237{}do-Lanza et\\uc0\\u160{}al., 1999; Chinn &amp; Hummer, 2016; Hayward et\\uc0\\u160{}al., 2014; Ostchega et\\uc0\\u160{}al., 2000; Sharma et\\uc0\\u160{}al., 2023)","plainCitation":"(Abraído-Lanza et al., 1999; Chinn &amp; Hummer, 2016; Hayward et al., 2014; Ostchega et al., 2000; Sharma et al., 2023)","noteIndex":0},"citationItems":[{"id":3257,"uris":["http://zotero.org/users/8991183/items/WVQLA66X"],"itemData":{"id":3257,"type":"article-journal","abstract":"OBJECTIVES: Relative to non-Latino Whites, Latinos have a worse socioeconomic profile but a lower mortality rate, a finding that presents an epidemiologic paradox. This study tested the salmon bias hypothesis that Latinos engage in return migration to their country of origin and are thereby rendered \"statistically immortal\" and the alternative hypothesis that selection of healthier migrants to the United States accounts for the paradox. METHODS: National Longitudinal Mortality Study data were used to examine mortality rates of the following groups for whom the salmon hypothesis is not feasible: Cubans, who face barriers against return migration; Puerto Ricans, whose deaths in Puerto Rico are recorded in US national statistics; and US-born individuals, who are not subject to either salmon or healthy migrant effects. RESULTS: The sample included 301,718 non-Latino Whites and 17,375 Latino Whites 25 years or older. Cubans and Puerto Ricans had lower mortality than non-Latino Whites. Moreover, US-born Latinos had lower mortality than US-born non-Latino Whites. CONCLUSIONS: Neither the salmon nor the healthy migrant hypothesis explains the pattern of findings. Other factors must be operating to produce the lower mortality.","container-title":"American Journal of Public Health","ISSN":"0090-0036","issue":"10","journalAbbreviation":"Am J Public Health","note":"PMID: 10511837\nPMCID: PMC1508801","page":"1543-1548","source":"PubMed Central","title":"The Latino mortality paradox: a test of the \"salmon bias\" and healthy migrant hypotheses.","title-short":"The Latino mortality paradox","volume":"89","author":[{"family":"Abraído-Lanza","given":"A F"},{"family":"Dohrenwend","given":"B P"},{"family":"Ng-Mak","given":"D S"},{"family":"Turner","given":"J B"}],"issued":{"date-parts":[["1999",10]]}}},{"id":1300,"uris":["http://zotero.org/users/8991183/items/ZXI3W4TB"],"itemData":{"id":1300,"type":"article-journal","abstract":"This article assesses whether there are race differences in functional health among Hispanic women in the United States; ascertains whether the race differences in functional health vary by age; and examines the extent to which race differences in functional health are attributable to key dimensions of demographic, geographic, and socioeconomic heterogeneity. The analysis is based on 15 years of aggregated data from the National Health Interview Survey. Both U.S.- and foreign-born Black and other race Hispanic women display a higher level of functional limitations than their White Hispanic counterparts. There is little evidence that such health differences widen with age. U.S.-born Black Hispanic women, however, suffer from a high burden of functional limitations across the adult age range. This research speaks to the need for greater attention to racial differences in health among Hispanics and particularly so within the U.S.-born segment of this rapidly aging population.","container-title":"Research on Aging","DOI":"10.1177/0164027515620244","ISSN":"0164-0275","issue":"3","journalAbbreviation":"Res Aging","language":"en","note":"number: 3\npublisher: SAGE Publications Inc","page":"399-423","source":"SAGE Journals","title":"Racial Disparities in Functional Limitations Among Hispanic Women in the United States","volume":"38","author":[{"family":"Chinn","given":"Juanita J."},{"family":"Hummer","given":"Robert A."}],"issued":{"date-parts":[["2016",4,1]]}}},{"id":1420,"uris":["http://zotero.org/users/8991183/items/495WLDQE"],"itemData":{"id":1420,"type":"article-journal","abstract":"Studies consistently document a Hispanic paradox in U.S. adult mortality, whereby Hispanics have similar or lower mortality rates than non-Hispanic whites despite lower socioeconomic status. This study extends this line of inquiry to disability, especially among foreign-born Hispanics, since their advantaged mortality seemingly should be paired with health advantages more generally. We also assess whether the paradox extends to U.S.-born Hispanics to evaluate the effect of nativity. We calculate multistate life tables of life expectancy with disability to assess whether racial/ethnic and nativity differences in the length of disability-free life parallel differences in overall life expectancy. Our results document a Hispanic paradox in mortality for foreign-born and U.S.-born Hispanics. However, Hispanics' low mortality rates are not matched by low disability rates. Their disability rates are substantially higher than those of non-Hispanic whites and generally similar to those of non-Hispanic blacks. The result is a protracted period of disabled life expectancy for Hispanics, both foreign- and U.S.-born.","container-title":"Population Research and Policy Review","DOI":"10.1007/s11113-013-9312-7","ISSN":"0167-5923","issue":"1","journalAbbreviation":"Popul Res Policy Rev","language":"eng","note":"PMID: 25821283\nPMCID: PMC4376250","page":"81-96","source":"PubMed","title":"Does the Hispanic Paradox in U.S. Adult Mortality Extend to Disability?","volume":"33","author":[{"family":"Hayward","given":"Mark D."},{"family":"Hummer","given":"Robert A."},{"family":"Chiu","given":"Chi-Tsun"},{"family":"González-González","given":"César"},{"family":"Wong","given":"Rebeca"}],"issued":{"date-parts":[["2014",2,1]]}}},{"id":3269,"uris":["http://zotero.org/users/8991183/items/5YA7K7AI"],"itemData":{"id":3269,"type":"article-journal","abstract":"OBJECTIVE: To provide estimates by sex and age and by sex and race/ethnicity of the proportion of older Americans who have difficulty with functional limitations and daily activities. SETTING: The Third National Health and Nutrition Examination Survey (NHANES III) 1988–1994. DESIGN: A cross-sectional nationally representative survey. PARTICIPANTS: All persons aged 60 and older who completed a household interview (N = 6866) during NHANES III (conducted 1988–1994). MEASUREMENTS: The self-reported physical and functional disability questions from NHANES III included: lower-extremity function, instrumental activities of daily living, basic activities of daily living, needing help with personal and routine daily activities, and use of assistive devices for walking. RESULTS: Non-Hispanic black and Mexican-American men and women generally reported significantly (P &lt; .01) more disability than did non-Hispanic white men and women. Disability was greater for minority women than for men. For both men and women, the prevalence in disability increased significantly (P &lt; .01) with age for each measure. CONCLUSIONS: These sex-age and sex-race/ethnicity national estimates of disability indicate that minority women may represent a vulnerable subpopulation.","container-title":"Journal of the American Geriatrics Society","DOI":"10.1111/j.1532-5415.2000.tb04791.x","ISSN":"1532-5415","issue":"9","language":"en","license":"2000 The American Geriatrics Society","note":"_eprint: https://onlinelibrary.wiley.com/doi/pdf/10.1111/j.1532-5415.2000.tb04791.x","page":"1132-1135","source":"Wiley Online Library","title":"The Prevalence of Functional Limitations and Disability in Older Persons in the US: Data from the National Health and Nutrition Examination Survey III","title-short":"The Prevalence of Functional Limitations and Disability in Older Persons in the US","volume":"48","author":[{"family":"Ostchega","given":"Yechiam"},{"family":"Harris","given":"Tamara B."},{"family":"Hirsch","given":"Rosemarie"},{"family":"Parsons","given":"Van L."},{"family":"Kington","given":"Raynard"}],"issued":{"date-parts":[["2000"]]}}},{"id":1419,"uris":["http://zotero.org/users/8991183/items/CS84TUGZ"],"itemData":{"id":1419,"type":"article-journal","abstract":"Despite extensive research on cognitive impairment and limitations in basic activities of daily living, no study has investigated the burden of their co-occurrence (co-impairment). Using the Health and Retirement Study data and incidence-based multistate models, we study the population burden of co-impairment using three key indicators: mean age at onset, lifetime risk, and health expectancy. We examine patterns by gender, race, ethnicity, nativity, education, and their interactions for U.S. residents aged 50–100. Furthermore, we analyze what fractions of racial, ethnic, and nativity disparitie</w:instrText>
      </w:r>
      <w:r w:rsidR="005120F8" w:rsidRPr="00064884">
        <w:rPr>
          <w:rFonts w:ascii="Times New Roman" w:eastAsia="Times New Roman" w:hAnsi="Times New Roman" w:cs="Times New Roman"/>
          <w:lang w:val="es-AR"/>
        </w:rPr>
        <w:instrText xml:space="preserve">s in co-impairment are attributable to inequalities in educational attainment. Results reveal that an estimated 56% of women and 41% of men aged 50 will experience co-impairment in their remaining life expectancy. Men experience an earlier onset of co-impairment than women (74 vs. 77 years), and women live longer in co-impairment than men (3.4 vs. 1.9 years). Individuals who are Black, Latinx, and lower educated, especially those experiencing intersecting disadvantages, have substantially higher lifetime risk of co-impairment, earlier co-impairment onset, and longer life in co-impairment than their counterparts. Up to 75% of racial, ethnic, and nativity disparity is attributable to inequality in educational attainment. This study provides novel insights into the burden of co-impairment and offers evidence of dramatic disparities in the older U.S. population.","container-title":"Demography","DOI":"10.1215/00703370-10941414","ISSN":"0070-3370","issue":"5","journalAbbreviation":"Demography","page":"1441-1468","source":"Silverchair","title":"Racial, Ethnic, Nativity, and Educational Disparities in Cognitive Impairment and Activity Limitations in the United States, 1998–2016","volume":"60","author":[{"family":"Sharma","given":"Shubhankar"},{"family":"Hale","given":"Jo Mhairi"},{"family":"Myrskylä","given":"Mikko"},{"family":"Kulu","given":"Hill"}],"issued":{"date-parts":[["2023",10,1]]}}}],"schema":"https://github.com/citation-style-language/schema/raw/master/csl-citation.json"} </w:instrText>
      </w:r>
      <w:r w:rsidR="005120F8">
        <w:rPr>
          <w:rFonts w:ascii="Times New Roman" w:eastAsia="Times New Roman" w:hAnsi="Times New Roman" w:cs="Times New Roman"/>
        </w:rPr>
        <w:fldChar w:fldCharType="separate"/>
      </w:r>
      <w:r w:rsidR="005120F8" w:rsidRPr="00064884">
        <w:rPr>
          <w:rFonts w:ascii="Times New Roman" w:hAnsi="Times New Roman" w:cs="Times New Roman"/>
          <w:lang w:val="es-AR"/>
        </w:rPr>
        <w:t>(Abraído-Lanza et al., 1999; Chinn &amp; Hummer, 2016; Hayward et al., 2014; Ostchega et al., 2000; Sharma et al., 2023)</w:t>
      </w:r>
      <w:r w:rsidR="005120F8">
        <w:rPr>
          <w:rFonts w:ascii="Times New Roman" w:eastAsia="Times New Roman" w:hAnsi="Times New Roman" w:cs="Times New Roman"/>
        </w:rPr>
        <w:fldChar w:fldCharType="end"/>
      </w:r>
      <w:r w:rsidR="00DD423A" w:rsidRPr="00064884">
        <w:rPr>
          <w:rFonts w:ascii="Times New Roman" w:eastAsia="Times New Roman" w:hAnsi="Times New Roman" w:cs="Times New Roman"/>
          <w:lang w:val="es-AR"/>
        </w:rPr>
        <w:t xml:space="preserve">. </w:t>
      </w:r>
    </w:p>
    <w:p w14:paraId="765ACDB7" w14:textId="1B650D6A" w:rsidR="0043509D" w:rsidRDefault="007129EC"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Previous</w:t>
      </w:r>
      <w:r w:rsidR="00BF2EE5">
        <w:rPr>
          <w:rFonts w:ascii="Times New Roman" w:eastAsia="Times New Roman" w:hAnsi="Times New Roman" w:cs="Times New Roman"/>
        </w:rPr>
        <w:t xml:space="preserve"> recent</w:t>
      </w:r>
      <w:r>
        <w:rPr>
          <w:rFonts w:ascii="Times New Roman" w:eastAsia="Times New Roman" w:hAnsi="Times New Roman" w:cs="Times New Roman"/>
        </w:rPr>
        <w:t xml:space="preserve"> </w:t>
      </w:r>
      <w:r w:rsidR="7D4FDF97" w:rsidRPr="67C8E18F">
        <w:rPr>
          <w:rFonts w:ascii="Times New Roman" w:eastAsia="Times New Roman" w:hAnsi="Times New Roman" w:cs="Times New Roman"/>
        </w:rPr>
        <w:t xml:space="preserve">studies have shown that the </w:t>
      </w:r>
      <w:r>
        <w:rPr>
          <w:rFonts w:ascii="Times New Roman" w:eastAsia="Times New Roman" w:hAnsi="Times New Roman" w:cs="Times New Roman"/>
        </w:rPr>
        <w:t>race</w:t>
      </w:r>
      <w:r w:rsidR="004D6E4A">
        <w:rPr>
          <w:rFonts w:ascii="Times New Roman" w:eastAsia="Times New Roman" w:hAnsi="Times New Roman" w:cs="Times New Roman"/>
        </w:rPr>
        <w:t xml:space="preserve"> and </w:t>
      </w:r>
      <w:r>
        <w:rPr>
          <w:rFonts w:ascii="Times New Roman" w:eastAsia="Times New Roman" w:hAnsi="Times New Roman" w:cs="Times New Roman"/>
        </w:rPr>
        <w:t xml:space="preserve">ethnicity </w:t>
      </w:r>
      <w:r w:rsidR="7D4FDF97" w:rsidRPr="67C8E18F">
        <w:rPr>
          <w:rFonts w:ascii="Times New Roman" w:eastAsia="Times New Roman" w:hAnsi="Times New Roman" w:cs="Times New Roman"/>
        </w:rPr>
        <w:t xml:space="preserve">gap in functional limitations between </w:t>
      </w:r>
      <w:r w:rsidR="004D6E4A">
        <w:rPr>
          <w:rFonts w:ascii="Times New Roman" w:eastAsia="Times New Roman" w:hAnsi="Times New Roman" w:cs="Times New Roman"/>
        </w:rPr>
        <w:t xml:space="preserve">non-Hispanic </w:t>
      </w:r>
      <w:r w:rsidR="7D4FDF97" w:rsidRPr="67C8E18F">
        <w:rPr>
          <w:rFonts w:ascii="Times New Roman" w:eastAsia="Times New Roman" w:hAnsi="Times New Roman" w:cs="Times New Roman"/>
        </w:rPr>
        <w:t>Whit</w:t>
      </w:r>
      <w:r w:rsidR="009C5424">
        <w:rPr>
          <w:rFonts w:ascii="Times New Roman" w:eastAsia="Times New Roman" w:hAnsi="Times New Roman" w:cs="Times New Roman"/>
        </w:rPr>
        <w:t>e</w:t>
      </w:r>
      <w:r w:rsidR="004D6E4A">
        <w:rPr>
          <w:rFonts w:ascii="Times New Roman" w:eastAsia="Times New Roman" w:hAnsi="Times New Roman" w:cs="Times New Roman"/>
        </w:rPr>
        <w:t>s</w:t>
      </w:r>
      <w:r w:rsidR="7D4FDF97" w:rsidRPr="67C8E18F">
        <w:rPr>
          <w:rFonts w:ascii="Times New Roman" w:eastAsia="Times New Roman" w:hAnsi="Times New Roman" w:cs="Times New Roman"/>
        </w:rPr>
        <w:t>,</w:t>
      </w:r>
      <w:r w:rsidR="009C5424" w:rsidRPr="009C5424">
        <w:rPr>
          <w:rFonts w:ascii="Times New Roman" w:eastAsia="Times New Roman" w:hAnsi="Times New Roman" w:cs="Times New Roman"/>
        </w:rPr>
        <w:t xml:space="preserve"> </w:t>
      </w:r>
      <w:r w:rsidR="004D6E4A">
        <w:rPr>
          <w:rFonts w:ascii="Times New Roman" w:eastAsia="Times New Roman" w:hAnsi="Times New Roman" w:cs="Times New Roman"/>
        </w:rPr>
        <w:t>non-Hispanic</w:t>
      </w:r>
      <w:r w:rsidR="004D6E4A" w:rsidRPr="67C8E18F">
        <w:rPr>
          <w:rFonts w:ascii="Times New Roman" w:eastAsia="Times New Roman" w:hAnsi="Times New Roman" w:cs="Times New Roman"/>
        </w:rPr>
        <w:t xml:space="preserve"> </w:t>
      </w:r>
      <w:r w:rsidR="7D4FDF97" w:rsidRPr="67C8E18F">
        <w:rPr>
          <w:rFonts w:ascii="Times New Roman" w:eastAsia="Times New Roman" w:hAnsi="Times New Roman" w:cs="Times New Roman"/>
        </w:rPr>
        <w:t>Black</w:t>
      </w:r>
      <w:r w:rsidR="004D6E4A">
        <w:rPr>
          <w:rFonts w:ascii="Times New Roman" w:eastAsia="Times New Roman" w:hAnsi="Times New Roman" w:cs="Times New Roman"/>
        </w:rPr>
        <w:t>s,</w:t>
      </w:r>
      <w:r w:rsidR="7D4FDF97" w:rsidRPr="67C8E18F">
        <w:rPr>
          <w:rFonts w:ascii="Times New Roman" w:eastAsia="Times New Roman" w:hAnsi="Times New Roman" w:cs="Times New Roman"/>
        </w:rPr>
        <w:t xml:space="preserve"> and Hispanic</w:t>
      </w:r>
      <w:r w:rsidR="004D6E4A">
        <w:rPr>
          <w:rFonts w:ascii="Times New Roman" w:eastAsia="Times New Roman" w:hAnsi="Times New Roman" w:cs="Times New Roman"/>
        </w:rPr>
        <w:t>s</w:t>
      </w:r>
      <w:r w:rsidR="7D4FDF97" w:rsidRPr="67C8E18F">
        <w:rPr>
          <w:rFonts w:ascii="Times New Roman" w:eastAsia="Times New Roman" w:hAnsi="Times New Roman" w:cs="Times New Roman"/>
        </w:rPr>
        <w:t xml:space="preserve"> </w:t>
      </w:r>
      <w:r w:rsidR="004D6E4A">
        <w:rPr>
          <w:rFonts w:ascii="Times New Roman" w:eastAsia="Times New Roman" w:hAnsi="Times New Roman" w:cs="Times New Roman"/>
        </w:rPr>
        <w:t>did</w:t>
      </w:r>
      <w:r w:rsidR="7D4FDF97" w:rsidRPr="67C8E18F">
        <w:rPr>
          <w:rFonts w:ascii="Times New Roman" w:eastAsia="Times New Roman" w:hAnsi="Times New Roman" w:cs="Times New Roman"/>
        </w:rPr>
        <w:t xml:space="preserve"> not significantly </w:t>
      </w:r>
      <w:r w:rsidR="004D6E4A">
        <w:rPr>
          <w:rFonts w:ascii="Times New Roman" w:eastAsia="Times New Roman" w:hAnsi="Times New Roman" w:cs="Times New Roman"/>
        </w:rPr>
        <w:t xml:space="preserve">decrease between </w:t>
      </w:r>
      <w:r w:rsidR="7D4FDF97" w:rsidRPr="67C8E18F">
        <w:rPr>
          <w:rFonts w:ascii="Times New Roman" w:eastAsia="Times New Roman" w:hAnsi="Times New Roman" w:cs="Times New Roman"/>
        </w:rPr>
        <w:t>1999</w:t>
      </w:r>
      <w:r w:rsidR="004D6E4A">
        <w:rPr>
          <w:rFonts w:ascii="Times New Roman" w:eastAsia="Times New Roman" w:hAnsi="Times New Roman" w:cs="Times New Roman"/>
        </w:rPr>
        <w:t xml:space="preserve"> and </w:t>
      </w:r>
      <w:r w:rsidR="7D4FDF97" w:rsidRPr="67C8E18F">
        <w:rPr>
          <w:rFonts w:ascii="Times New Roman" w:eastAsia="Times New Roman" w:hAnsi="Times New Roman" w:cs="Times New Roman"/>
        </w:rPr>
        <w:t>2018</w:t>
      </w:r>
      <w:r w:rsidR="00BF2EE5">
        <w:rPr>
          <w:rFonts w:ascii="Times New Roman" w:eastAsia="Times New Roman" w:hAnsi="Times New Roman" w:cs="Times New Roman"/>
        </w:rPr>
        <w:t xml:space="preserve">, with non-Hispanic Blacks showing the highest prevalences in </w:t>
      </w:r>
      <w:r w:rsidR="00502825">
        <w:rPr>
          <w:rFonts w:ascii="Times New Roman" w:eastAsia="Times New Roman" w:hAnsi="Times New Roman" w:cs="Times New Roman"/>
        </w:rPr>
        <w:t xml:space="preserve">physical limitations </w:t>
      </w:r>
      <w:r w:rsidR="00502825" w:rsidRPr="67C8E18F">
        <w:rPr>
          <w:rFonts w:ascii="Times New Roman" w:eastAsia="Times New Roman" w:hAnsi="Times New Roman" w:cs="Times New Roman"/>
        </w:rPr>
        <w:t>(</w:t>
      </w:r>
      <w:r w:rsidR="7D4FDF97" w:rsidRPr="67C8E18F">
        <w:rPr>
          <w:rFonts w:ascii="Times New Roman" w:eastAsia="Times New Roman" w:hAnsi="Times New Roman" w:cs="Times New Roman"/>
        </w:rPr>
        <w:t>Mahajan et al., 202</w:t>
      </w:r>
      <w:r w:rsidR="00064884">
        <w:rPr>
          <w:rFonts w:ascii="Times New Roman" w:eastAsia="Times New Roman" w:hAnsi="Times New Roman" w:cs="Times New Roman"/>
        </w:rPr>
        <w:t>1</w:t>
      </w:r>
      <w:r w:rsidR="7D4FDF97" w:rsidRPr="67C8E18F">
        <w:rPr>
          <w:rFonts w:ascii="Times New Roman" w:eastAsia="Times New Roman" w:hAnsi="Times New Roman" w:cs="Times New Roman"/>
        </w:rPr>
        <w:t>). However, th</w:t>
      </w:r>
      <w:r w:rsidR="004D6E4A">
        <w:rPr>
          <w:rFonts w:ascii="Times New Roman" w:eastAsia="Times New Roman" w:hAnsi="Times New Roman" w:cs="Times New Roman"/>
        </w:rPr>
        <w:t>e</w:t>
      </w:r>
      <w:r w:rsidR="7D4FDF97" w:rsidRPr="67C8E18F">
        <w:rPr>
          <w:rFonts w:ascii="Times New Roman" w:eastAsia="Times New Roman" w:hAnsi="Times New Roman" w:cs="Times New Roman"/>
        </w:rPr>
        <w:t xml:space="preserve"> </w:t>
      </w:r>
      <w:r w:rsidR="00011C73">
        <w:rPr>
          <w:rFonts w:ascii="Times New Roman" w:eastAsia="Times New Roman" w:hAnsi="Times New Roman" w:cs="Times New Roman"/>
        </w:rPr>
        <w:t xml:space="preserve">study </w:t>
      </w:r>
      <w:r w:rsidR="004D6E4A">
        <w:rPr>
          <w:rFonts w:ascii="Times New Roman" w:eastAsia="Times New Roman" w:hAnsi="Times New Roman" w:cs="Times New Roman"/>
        </w:rPr>
        <w:t>did not</w:t>
      </w:r>
      <w:r w:rsidR="7D4FDF97" w:rsidRPr="67C8E18F">
        <w:rPr>
          <w:rFonts w:ascii="Times New Roman" w:eastAsia="Times New Roman" w:hAnsi="Times New Roman" w:cs="Times New Roman"/>
        </w:rPr>
        <w:t xml:space="preserve"> analyze how </w:t>
      </w:r>
      <w:r w:rsidR="004D6E4A">
        <w:rPr>
          <w:rFonts w:ascii="Times New Roman" w:eastAsia="Times New Roman" w:hAnsi="Times New Roman" w:cs="Times New Roman"/>
        </w:rPr>
        <w:t>racial and</w:t>
      </w:r>
      <w:r w:rsidR="004D6E4A" w:rsidRPr="67C8E18F">
        <w:rPr>
          <w:rFonts w:ascii="Times New Roman" w:eastAsia="Times New Roman" w:hAnsi="Times New Roman" w:cs="Times New Roman"/>
        </w:rPr>
        <w:t xml:space="preserve"> </w:t>
      </w:r>
      <w:r w:rsidR="7D4FDF97" w:rsidRPr="67C8E18F">
        <w:rPr>
          <w:rFonts w:ascii="Times New Roman" w:eastAsia="Times New Roman" w:hAnsi="Times New Roman" w:cs="Times New Roman"/>
        </w:rPr>
        <w:t xml:space="preserve">ethnic disparities may </w:t>
      </w:r>
      <w:r w:rsidR="003F2111">
        <w:rPr>
          <w:rFonts w:ascii="Times New Roman" w:eastAsia="Times New Roman" w:hAnsi="Times New Roman" w:cs="Times New Roman"/>
        </w:rPr>
        <w:t>be differential across age groups</w:t>
      </w:r>
      <w:r w:rsidR="7D4FDF97" w:rsidRPr="67C8E18F">
        <w:rPr>
          <w:rFonts w:ascii="Times New Roman" w:eastAsia="Times New Roman" w:hAnsi="Times New Roman" w:cs="Times New Roman"/>
        </w:rPr>
        <w:t xml:space="preserve"> </w:t>
      </w:r>
      <w:r w:rsidR="004D6E4A">
        <w:rPr>
          <w:rFonts w:ascii="Times New Roman" w:eastAsia="Times New Roman" w:hAnsi="Times New Roman" w:cs="Times New Roman"/>
        </w:rPr>
        <w:t>or</w:t>
      </w:r>
      <w:r w:rsidR="004D6E4A" w:rsidRPr="67C8E18F">
        <w:rPr>
          <w:rFonts w:ascii="Times New Roman" w:eastAsia="Times New Roman" w:hAnsi="Times New Roman" w:cs="Times New Roman"/>
        </w:rPr>
        <w:t xml:space="preserve"> </w:t>
      </w:r>
      <w:r w:rsidR="004D6E4A">
        <w:rPr>
          <w:rFonts w:ascii="Times New Roman" w:eastAsia="Times New Roman" w:hAnsi="Times New Roman" w:cs="Times New Roman"/>
        </w:rPr>
        <w:t>whether</w:t>
      </w:r>
      <w:r w:rsidR="7D4FDF97" w:rsidRPr="67C8E18F">
        <w:rPr>
          <w:rFonts w:ascii="Times New Roman" w:eastAsia="Times New Roman" w:hAnsi="Times New Roman" w:cs="Times New Roman"/>
        </w:rPr>
        <w:t xml:space="preserve"> the </w:t>
      </w:r>
      <w:r w:rsidR="004D6E4A">
        <w:rPr>
          <w:rFonts w:ascii="Times New Roman" w:eastAsia="Times New Roman" w:hAnsi="Times New Roman" w:cs="Times New Roman"/>
        </w:rPr>
        <w:t>rate</w:t>
      </w:r>
      <w:r w:rsidR="004D6E4A" w:rsidRPr="67C8E18F">
        <w:rPr>
          <w:rFonts w:ascii="Times New Roman" w:eastAsia="Times New Roman" w:hAnsi="Times New Roman" w:cs="Times New Roman"/>
        </w:rPr>
        <w:t xml:space="preserve"> </w:t>
      </w:r>
      <w:r w:rsidR="7D4FDF97" w:rsidRPr="67C8E18F">
        <w:rPr>
          <w:rFonts w:ascii="Times New Roman" w:eastAsia="Times New Roman" w:hAnsi="Times New Roman" w:cs="Times New Roman"/>
        </w:rPr>
        <w:t xml:space="preserve">of change remained </w:t>
      </w:r>
      <w:r w:rsidR="004D6E4A">
        <w:rPr>
          <w:rFonts w:ascii="Times New Roman" w:eastAsia="Times New Roman" w:hAnsi="Times New Roman" w:cs="Times New Roman"/>
        </w:rPr>
        <w:t>consistent over time</w:t>
      </w:r>
      <w:r w:rsidR="7D4FDF97" w:rsidRPr="67C8E18F">
        <w:rPr>
          <w:rFonts w:ascii="Times New Roman" w:eastAsia="Times New Roman" w:hAnsi="Times New Roman" w:cs="Times New Roman"/>
        </w:rPr>
        <w:t>.</w:t>
      </w:r>
      <w:r w:rsidR="00BF2EE5">
        <w:rPr>
          <w:rFonts w:ascii="Times New Roman" w:eastAsia="Times New Roman" w:hAnsi="Times New Roman" w:cs="Times New Roman"/>
        </w:rPr>
        <w:t xml:space="preserve"> Tsai (2017) found an increasing trend in ADL</w:t>
      </w:r>
      <w:r w:rsidR="0094496A">
        <w:rPr>
          <w:rFonts w:ascii="Times New Roman" w:eastAsia="Times New Roman" w:hAnsi="Times New Roman" w:cs="Times New Roman"/>
        </w:rPr>
        <w:t xml:space="preserve"> limitation prevalence</w:t>
      </w:r>
      <w:r w:rsidR="001B691E">
        <w:rPr>
          <w:rFonts w:ascii="Times New Roman" w:eastAsia="Times New Roman" w:hAnsi="Times New Roman" w:cs="Times New Roman"/>
        </w:rPr>
        <w:t xml:space="preserve"> between 2000 and 2014 for the population aged 65+ from all educational levels (except for those with high education), but did not study any racial disparities</w:t>
      </w:r>
      <w:r w:rsidR="00FD37DF">
        <w:rPr>
          <w:rFonts w:ascii="Times New Roman" w:eastAsia="Times New Roman" w:hAnsi="Times New Roman" w:cs="Times New Roman"/>
        </w:rPr>
        <w:t>, interaction effects by gender</w:t>
      </w:r>
      <w:r w:rsidR="001B691E">
        <w:rPr>
          <w:rFonts w:ascii="Times New Roman" w:eastAsia="Times New Roman" w:hAnsi="Times New Roman" w:cs="Times New Roman"/>
        </w:rPr>
        <w:t xml:space="preserve"> nor changes that could occur within the analyzed period. </w:t>
      </w:r>
      <w:r w:rsidR="00BF2EE5">
        <w:rPr>
          <w:rFonts w:ascii="Times New Roman" w:eastAsia="Times New Roman" w:hAnsi="Times New Roman" w:cs="Times New Roman"/>
        </w:rPr>
        <w:t xml:space="preserve"> </w:t>
      </w:r>
      <w:r w:rsidR="7D4FDF97" w:rsidRPr="67C8E18F">
        <w:rPr>
          <w:rFonts w:ascii="Times New Roman" w:eastAsia="Times New Roman" w:hAnsi="Times New Roman" w:cs="Times New Roman"/>
        </w:rPr>
        <w:t xml:space="preserve"> </w:t>
      </w:r>
    </w:p>
    <w:p w14:paraId="1C58C758" w14:textId="3949D831" w:rsidR="00A0426C" w:rsidRDefault="7D4FDF97" w:rsidP="006850B8">
      <w:pPr>
        <w:spacing w:after="0" w:line="480" w:lineRule="auto"/>
        <w:ind w:firstLine="720"/>
        <w:rPr>
          <w:rFonts w:ascii="Times New Roman" w:eastAsia="Times New Roman" w:hAnsi="Times New Roman" w:cs="Times New Roman"/>
        </w:rPr>
      </w:pPr>
      <w:r w:rsidRPr="5996E1DC">
        <w:rPr>
          <w:rFonts w:ascii="Times New Roman" w:eastAsia="Times New Roman" w:hAnsi="Times New Roman" w:cs="Times New Roman"/>
        </w:rPr>
        <w:t xml:space="preserve">This </w:t>
      </w:r>
      <w:r w:rsidR="00520B46">
        <w:rPr>
          <w:rFonts w:ascii="Times New Roman" w:eastAsia="Times New Roman" w:hAnsi="Times New Roman" w:cs="Times New Roman"/>
        </w:rPr>
        <w:t xml:space="preserve">Research </w:t>
      </w:r>
      <w:r w:rsidR="00A44634">
        <w:rPr>
          <w:rFonts w:ascii="Times New Roman" w:eastAsia="Times New Roman" w:hAnsi="Times New Roman" w:cs="Times New Roman"/>
        </w:rPr>
        <w:t xml:space="preserve">Note </w:t>
      </w:r>
      <w:r w:rsidR="00520B46">
        <w:rPr>
          <w:rFonts w:ascii="Times New Roman" w:eastAsia="Times New Roman" w:hAnsi="Times New Roman" w:cs="Times New Roman"/>
        </w:rPr>
        <w:t>examines</w:t>
      </w:r>
      <w:r w:rsidRPr="5996E1DC">
        <w:rPr>
          <w:rFonts w:ascii="Times New Roman" w:eastAsia="Times New Roman" w:hAnsi="Times New Roman" w:cs="Times New Roman"/>
        </w:rPr>
        <w:t xml:space="preserve"> age-specific disability trends </w:t>
      </w:r>
      <w:r w:rsidR="00284D36">
        <w:rPr>
          <w:rFonts w:ascii="Times New Roman" w:eastAsia="Times New Roman" w:hAnsi="Times New Roman" w:cs="Times New Roman"/>
        </w:rPr>
        <w:t xml:space="preserve">among adults </w:t>
      </w:r>
      <w:r w:rsidRPr="5996E1DC">
        <w:rPr>
          <w:rFonts w:ascii="Times New Roman" w:eastAsia="Times New Roman" w:hAnsi="Times New Roman" w:cs="Times New Roman"/>
        </w:rPr>
        <w:t xml:space="preserve">aged 50 and </w:t>
      </w:r>
      <w:r w:rsidR="00284D36">
        <w:rPr>
          <w:rFonts w:ascii="Times New Roman" w:eastAsia="Times New Roman" w:hAnsi="Times New Roman" w:cs="Times New Roman"/>
        </w:rPr>
        <w:t xml:space="preserve">older </w:t>
      </w:r>
      <w:r w:rsidR="00520B46">
        <w:rPr>
          <w:rFonts w:ascii="Times New Roman" w:eastAsia="Times New Roman" w:hAnsi="Times New Roman" w:cs="Times New Roman"/>
        </w:rPr>
        <w:t xml:space="preserve">by sex, age group, and race/ethnicity </w:t>
      </w:r>
      <w:r w:rsidR="00284D36">
        <w:rPr>
          <w:rFonts w:ascii="Times New Roman" w:eastAsia="Times New Roman" w:hAnsi="Times New Roman" w:cs="Times New Roman"/>
        </w:rPr>
        <w:t>in the United States from 2000 to 2018</w:t>
      </w:r>
      <w:r w:rsidRPr="5996E1DC">
        <w:rPr>
          <w:rFonts w:ascii="Times New Roman" w:eastAsia="Times New Roman" w:hAnsi="Times New Roman" w:cs="Times New Roman"/>
        </w:rPr>
        <w:t>.</w:t>
      </w:r>
      <w:r w:rsidR="002B41B6">
        <w:rPr>
          <w:rFonts w:ascii="Times New Roman" w:eastAsia="Times New Roman" w:hAnsi="Times New Roman" w:cs="Times New Roman"/>
        </w:rPr>
        <w:t xml:space="preserve"> </w:t>
      </w:r>
      <w:r w:rsidR="00761A27">
        <w:rPr>
          <w:rFonts w:ascii="Times New Roman" w:eastAsia="Times New Roman" w:hAnsi="Times New Roman" w:cs="Times New Roman"/>
        </w:rPr>
        <w:t xml:space="preserve">We had two key objectives. </w:t>
      </w:r>
      <w:r w:rsidR="00AD1D97">
        <w:rPr>
          <w:rFonts w:ascii="Times New Roman" w:eastAsia="Times New Roman" w:hAnsi="Times New Roman" w:cs="Times New Roman"/>
        </w:rPr>
        <w:t xml:space="preserve">The first was </w:t>
      </w:r>
      <w:r w:rsidR="00761A27">
        <w:rPr>
          <w:rFonts w:ascii="Times New Roman" w:eastAsia="Times New Roman" w:hAnsi="Times New Roman" w:cs="Times New Roman"/>
        </w:rPr>
        <w:t xml:space="preserve">to investigate whether disability trends </w:t>
      </w:r>
      <w:r w:rsidR="00AD1D97">
        <w:rPr>
          <w:rFonts w:ascii="Times New Roman" w:eastAsia="Times New Roman" w:hAnsi="Times New Roman" w:cs="Times New Roman"/>
        </w:rPr>
        <w:t xml:space="preserve">changed between </w:t>
      </w:r>
      <w:r w:rsidR="006850B8">
        <w:rPr>
          <w:rFonts w:ascii="Times New Roman" w:eastAsia="Times New Roman" w:hAnsi="Times New Roman" w:cs="Times New Roman"/>
        </w:rPr>
        <w:t xml:space="preserve">the decades of </w:t>
      </w:r>
      <w:r w:rsidR="00AD1D97">
        <w:rPr>
          <w:rFonts w:ascii="Times New Roman" w:eastAsia="Times New Roman" w:hAnsi="Times New Roman" w:cs="Times New Roman"/>
        </w:rPr>
        <w:t>2000-20</w:t>
      </w:r>
      <w:r w:rsidR="00A44634">
        <w:rPr>
          <w:rFonts w:ascii="Times New Roman" w:eastAsia="Times New Roman" w:hAnsi="Times New Roman" w:cs="Times New Roman"/>
        </w:rPr>
        <w:t>10</w:t>
      </w:r>
      <w:r w:rsidR="00AD1D97">
        <w:rPr>
          <w:rFonts w:ascii="Times New Roman" w:eastAsia="Times New Roman" w:hAnsi="Times New Roman" w:cs="Times New Roman"/>
        </w:rPr>
        <w:t xml:space="preserve"> and 2010-201</w:t>
      </w:r>
      <w:r w:rsidR="00A44634">
        <w:rPr>
          <w:rFonts w:ascii="Times New Roman" w:eastAsia="Times New Roman" w:hAnsi="Times New Roman" w:cs="Times New Roman"/>
        </w:rPr>
        <w:t>8</w:t>
      </w:r>
      <w:r w:rsidR="00AD1D97">
        <w:rPr>
          <w:rFonts w:ascii="Times New Roman" w:eastAsia="Times New Roman" w:hAnsi="Times New Roman" w:cs="Times New Roman"/>
        </w:rPr>
        <w:t>. The second was to</w:t>
      </w:r>
      <w:r w:rsidR="006850B8">
        <w:rPr>
          <w:rFonts w:ascii="Times New Roman" w:eastAsia="Times New Roman" w:hAnsi="Times New Roman" w:cs="Times New Roman"/>
        </w:rPr>
        <w:t xml:space="preserve"> investigate changes over time in racial/ethnic disparities in disability.</w:t>
      </w:r>
      <w:r w:rsidR="00AE6E23">
        <w:rPr>
          <w:rFonts w:ascii="Times New Roman" w:eastAsia="Times New Roman" w:hAnsi="Times New Roman" w:cs="Times New Roman"/>
        </w:rPr>
        <w:t xml:space="preserve"> </w:t>
      </w:r>
    </w:p>
    <w:p w14:paraId="78BA657B" w14:textId="4E198660" w:rsidR="002D5AEF" w:rsidRPr="00C22920" w:rsidRDefault="006850B8" w:rsidP="00A12CF5">
      <w:pPr>
        <w:spacing w:after="0" w:line="480" w:lineRule="auto"/>
        <w:rPr>
          <w:sz w:val="28"/>
          <w:szCs w:val="28"/>
        </w:rPr>
      </w:pPr>
      <w:r>
        <w:rPr>
          <w:rFonts w:ascii="Times New Roman" w:eastAsia="Times New Roman" w:hAnsi="Times New Roman" w:cs="Times New Roman"/>
        </w:rPr>
        <w:lastRenderedPageBreak/>
        <w:br/>
      </w:r>
      <w:r w:rsidR="7D4FDF97" w:rsidRPr="00C22920">
        <w:rPr>
          <w:rFonts w:ascii="Times New Roman" w:eastAsia="Times New Roman" w:hAnsi="Times New Roman" w:cs="Times New Roman"/>
          <w:b/>
          <w:bCs/>
          <w:sz w:val="28"/>
          <w:szCs w:val="28"/>
        </w:rPr>
        <w:t>Methods</w:t>
      </w:r>
    </w:p>
    <w:p w14:paraId="156A3682" w14:textId="3BA48E25" w:rsidR="002D5AEF" w:rsidRDefault="16DE36C9" w:rsidP="00593C4B">
      <w:pPr>
        <w:spacing w:after="0" w:line="480" w:lineRule="auto"/>
        <w:rPr>
          <w:rFonts w:ascii="Times New Roman" w:eastAsia="Times New Roman" w:hAnsi="Times New Roman" w:cs="Times New Roman"/>
        </w:rPr>
      </w:pPr>
      <w:r w:rsidRPr="3E5D69E4">
        <w:rPr>
          <w:rFonts w:ascii="Times New Roman" w:eastAsia="Times New Roman" w:hAnsi="Times New Roman" w:cs="Times New Roman"/>
        </w:rPr>
        <w:t>We</w:t>
      </w:r>
      <w:r w:rsidR="7D4FDF97" w:rsidRPr="3E5D69E4">
        <w:rPr>
          <w:rFonts w:ascii="Times New Roman" w:eastAsia="Times New Roman" w:hAnsi="Times New Roman" w:cs="Times New Roman"/>
        </w:rPr>
        <w:t xml:space="preserve"> used </w:t>
      </w:r>
      <w:r w:rsidR="00C22920">
        <w:rPr>
          <w:rFonts w:ascii="Times New Roman" w:eastAsia="Times New Roman" w:hAnsi="Times New Roman" w:cs="Times New Roman"/>
        </w:rPr>
        <w:t xml:space="preserve">data from </w:t>
      </w:r>
      <w:r w:rsidR="7D4FDF97" w:rsidRPr="3E5D69E4">
        <w:rPr>
          <w:rFonts w:ascii="Times New Roman" w:eastAsia="Times New Roman" w:hAnsi="Times New Roman" w:cs="Times New Roman"/>
        </w:rPr>
        <w:t xml:space="preserve">the National Health Interview Survey (NHIS), a large national </w:t>
      </w:r>
      <w:r w:rsidR="005D715A">
        <w:rPr>
          <w:rFonts w:ascii="Times New Roman" w:eastAsia="Times New Roman" w:hAnsi="Times New Roman" w:cs="Times New Roman"/>
        </w:rPr>
        <w:t xml:space="preserve">in-person </w:t>
      </w:r>
      <w:r w:rsidR="7D4FDF97" w:rsidRPr="3E5D69E4">
        <w:rPr>
          <w:rFonts w:ascii="Times New Roman" w:eastAsia="Times New Roman" w:hAnsi="Times New Roman" w:cs="Times New Roman"/>
        </w:rPr>
        <w:t xml:space="preserve">survey that provides population-based estimates </w:t>
      </w:r>
      <w:r w:rsidR="0053223C">
        <w:rPr>
          <w:rFonts w:ascii="Times New Roman" w:eastAsia="Times New Roman" w:hAnsi="Times New Roman" w:cs="Times New Roman"/>
        </w:rPr>
        <w:t>of</w:t>
      </w:r>
      <w:r w:rsidR="7D4FDF97" w:rsidRPr="3E5D69E4">
        <w:rPr>
          <w:rFonts w:ascii="Times New Roman" w:eastAsia="Times New Roman" w:hAnsi="Times New Roman" w:cs="Times New Roman"/>
        </w:rPr>
        <w:t xml:space="preserve"> health in the </w:t>
      </w:r>
      <w:r w:rsidR="00C22920">
        <w:rPr>
          <w:rFonts w:ascii="Times New Roman" w:eastAsia="Times New Roman" w:hAnsi="Times New Roman" w:cs="Times New Roman"/>
        </w:rPr>
        <w:t>United States</w:t>
      </w:r>
      <w:r w:rsidR="7D4FDF97" w:rsidRPr="3E5D69E4">
        <w:rPr>
          <w:rFonts w:ascii="Times New Roman" w:eastAsia="Times New Roman" w:hAnsi="Times New Roman" w:cs="Times New Roman"/>
        </w:rPr>
        <w:t xml:space="preserve">. </w:t>
      </w:r>
      <w:r w:rsidR="001E2946">
        <w:rPr>
          <w:rFonts w:ascii="Times New Roman" w:eastAsia="Times New Roman" w:hAnsi="Times New Roman" w:cs="Times New Roman"/>
        </w:rPr>
        <w:t xml:space="preserve">With weighting, each </w:t>
      </w:r>
      <w:r w:rsidR="7D4FDF97" w:rsidRPr="3E5D69E4">
        <w:rPr>
          <w:rFonts w:ascii="Times New Roman" w:eastAsia="Times New Roman" w:hAnsi="Times New Roman" w:cs="Times New Roman"/>
        </w:rPr>
        <w:t xml:space="preserve">NHIS </w:t>
      </w:r>
      <w:r w:rsidR="00892373">
        <w:rPr>
          <w:rFonts w:ascii="Times New Roman" w:eastAsia="Times New Roman" w:hAnsi="Times New Roman" w:cs="Times New Roman"/>
        </w:rPr>
        <w:t>survey is nationally representative</w:t>
      </w:r>
      <w:r w:rsidR="0084095D">
        <w:rPr>
          <w:rFonts w:ascii="Times New Roman" w:eastAsia="Times New Roman" w:hAnsi="Times New Roman" w:cs="Times New Roman"/>
        </w:rPr>
        <w:t xml:space="preserve"> of the non-institutionalized U.S. population</w:t>
      </w:r>
      <w:r w:rsidR="003A353A">
        <w:rPr>
          <w:rFonts w:ascii="Times New Roman" w:eastAsia="Times New Roman" w:hAnsi="Times New Roman" w:cs="Times New Roman"/>
        </w:rPr>
        <w:t xml:space="preserve"> of the 50 states and the District of Columbia. NHIS </w:t>
      </w:r>
      <w:r w:rsidR="7D4FDF97" w:rsidRPr="3E5D69E4">
        <w:rPr>
          <w:rFonts w:ascii="Times New Roman" w:eastAsia="Times New Roman" w:hAnsi="Times New Roman" w:cs="Times New Roman"/>
        </w:rPr>
        <w:t xml:space="preserve">data </w:t>
      </w:r>
      <w:r w:rsidR="003A353A">
        <w:rPr>
          <w:rFonts w:ascii="Times New Roman" w:eastAsia="Times New Roman" w:hAnsi="Times New Roman" w:cs="Times New Roman"/>
        </w:rPr>
        <w:t xml:space="preserve">have been </w:t>
      </w:r>
      <w:r w:rsidR="7D4FDF97" w:rsidRPr="3E5D69E4">
        <w:rPr>
          <w:rFonts w:ascii="Times New Roman" w:eastAsia="Times New Roman" w:hAnsi="Times New Roman" w:cs="Times New Roman"/>
        </w:rPr>
        <w:t xml:space="preserve">harmonized in the Integrated Public Use Microdata Series (IPUMS) data library, </w:t>
      </w:r>
      <w:r w:rsidR="0053223C">
        <w:rPr>
          <w:rFonts w:ascii="Times New Roman" w:eastAsia="Times New Roman" w:hAnsi="Times New Roman" w:cs="Times New Roman"/>
        </w:rPr>
        <w:t>which</w:t>
      </w:r>
      <w:r w:rsidR="07B9268D" w:rsidRPr="3E5D69E4">
        <w:rPr>
          <w:rFonts w:ascii="Times New Roman" w:eastAsia="Times New Roman" w:hAnsi="Times New Roman" w:cs="Times New Roman"/>
        </w:rPr>
        <w:t xml:space="preserve"> is </w:t>
      </w:r>
      <w:r w:rsidR="7D4FDF97" w:rsidRPr="3E5D69E4">
        <w:rPr>
          <w:rFonts w:ascii="Times New Roman" w:eastAsia="Times New Roman" w:hAnsi="Times New Roman" w:cs="Times New Roman"/>
        </w:rPr>
        <w:t>free to use and download</w:t>
      </w:r>
      <w:r w:rsidR="001E2946">
        <w:rPr>
          <w:rFonts w:ascii="Times New Roman" w:eastAsia="Times New Roman" w:hAnsi="Times New Roman" w:cs="Times New Roman"/>
        </w:rPr>
        <w:t xml:space="preserve"> and was used in this analysis</w:t>
      </w:r>
      <w:r w:rsidR="00F538EB">
        <w:rPr>
          <w:rFonts w:ascii="Times New Roman" w:eastAsia="Times New Roman" w:hAnsi="Times New Roman" w:cs="Times New Roman"/>
        </w:rPr>
        <w:t xml:space="preserve"> (</w:t>
      </w:r>
      <w:r w:rsidR="00253ABA">
        <w:rPr>
          <w:rFonts w:ascii="Times New Roman" w:eastAsia="Times New Roman" w:hAnsi="Times New Roman" w:cs="Times New Roman"/>
        </w:rPr>
        <w:t xml:space="preserve">which can be found in </w:t>
      </w:r>
      <w:hyperlink r:id="rId8" w:history="1">
        <w:r w:rsidR="00253ABA" w:rsidRPr="009E37A1">
          <w:rPr>
            <w:rStyle w:val="Hyperlink"/>
            <w:rFonts w:ascii="Times New Roman" w:eastAsia="Times New Roman" w:hAnsi="Times New Roman" w:cs="Times New Roman"/>
          </w:rPr>
          <w:t>https://nhis.ipums.org/nhis/</w:t>
        </w:r>
      </w:hyperlink>
      <w:r w:rsidR="00F538EB">
        <w:rPr>
          <w:rFonts w:ascii="Times New Roman" w:eastAsia="Times New Roman" w:hAnsi="Times New Roman" w:cs="Times New Roman"/>
        </w:rPr>
        <w:t>)</w:t>
      </w:r>
      <w:r w:rsidR="001E2946">
        <w:rPr>
          <w:rFonts w:ascii="Times New Roman" w:eastAsia="Times New Roman" w:hAnsi="Times New Roman" w:cs="Times New Roman"/>
        </w:rPr>
        <w:t xml:space="preserve">. </w:t>
      </w:r>
    </w:p>
    <w:p w14:paraId="1EE5F3A7" w14:textId="241D4D77" w:rsidR="00925147" w:rsidRDefault="00165EEC" w:rsidP="00C06B5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w:t>
      </w:r>
      <w:r w:rsidR="001A63F6" w:rsidRPr="67C8E18F">
        <w:rPr>
          <w:rFonts w:ascii="Times New Roman" w:eastAsia="Times New Roman" w:hAnsi="Times New Roman" w:cs="Times New Roman"/>
        </w:rPr>
        <w:t>he</w:t>
      </w:r>
      <w:r w:rsidR="00AC0F3E" w:rsidRPr="67C8E18F">
        <w:rPr>
          <w:rFonts w:ascii="Times New Roman" w:eastAsia="Times New Roman" w:hAnsi="Times New Roman" w:cs="Times New Roman"/>
        </w:rPr>
        <w:t xml:space="preserve"> presence of difficulties in performing tasks of daily life </w:t>
      </w:r>
      <w:r w:rsidR="00CB6768">
        <w:rPr>
          <w:rFonts w:ascii="Times New Roman" w:eastAsia="Times New Roman" w:hAnsi="Times New Roman" w:cs="Times New Roman"/>
        </w:rPr>
        <w:t xml:space="preserve">independently </w:t>
      </w:r>
      <w:r w:rsidR="00716A86">
        <w:rPr>
          <w:rFonts w:ascii="Times New Roman" w:eastAsia="Times New Roman" w:hAnsi="Times New Roman" w:cs="Times New Roman"/>
        </w:rPr>
        <w:t xml:space="preserve">has </w:t>
      </w:r>
      <w:r w:rsidR="00AC0F3E" w:rsidRPr="67C8E18F">
        <w:rPr>
          <w:rFonts w:ascii="Times New Roman" w:eastAsia="Times New Roman" w:hAnsi="Times New Roman" w:cs="Times New Roman"/>
        </w:rPr>
        <w:t xml:space="preserve">traditionally been </w:t>
      </w:r>
      <w:r w:rsidR="00716A86">
        <w:rPr>
          <w:rFonts w:ascii="Times New Roman" w:eastAsia="Times New Roman" w:hAnsi="Times New Roman" w:cs="Times New Roman"/>
        </w:rPr>
        <w:t xml:space="preserve">used </w:t>
      </w:r>
      <w:r w:rsidR="00AC0F3E" w:rsidRPr="67C8E18F">
        <w:rPr>
          <w:rFonts w:ascii="Times New Roman" w:eastAsia="Times New Roman" w:hAnsi="Times New Roman" w:cs="Times New Roman"/>
        </w:rPr>
        <w:t xml:space="preserve">to </w:t>
      </w:r>
      <w:r w:rsidR="00CB6768">
        <w:rPr>
          <w:rFonts w:ascii="Times New Roman" w:eastAsia="Times New Roman" w:hAnsi="Times New Roman" w:cs="Times New Roman"/>
        </w:rPr>
        <w:t>monitor disability levels and trends</w:t>
      </w:r>
      <w:r w:rsidR="003A353A">
        <w:rPr>
          <w:rFonts w:ascii="Times New Roman" w:eastAsia="Times New Roman" w:hAnsi="Times New Roman" w:cs="Times New Roman"/>
        </w:rPr>
        <w:t xml:space="preserve"> in population studies</w:t>
      </w:r>
      <w:r w:rsidR="00E5399C">
        <w:rPr>
          <w:rFonts w:ascii="Times New Roman" w:eastAsia="Times New Roman" w:hAnsi="Times New Roman" w:cs="Times New Roman"/>
        </w:rPr>
        <w:t xml:space="preserve"> </w:t>
      </w:r>
      <w:r w:rsidR="00E5399C">
        <w:rPr>
          <w:rFonts w:ascii="Times New Roman" w:eastAsia="Times New Roman" w:hAnsi="Times New Roman" w:cs="Times New Roman"/>
        </w:rPr>
        <w:fldChar w:fldCharType="begin"/>
      </w:r>
      <w:r w:rsidR="00E5399C">
        <w:rPr>
          <w:rFonts w:ascii="Times New Roman" w:eastAsia="Times New Roman" w:hAnsi="Times New Roman" w:cs="Times New Roman"/>
        </w:rPr>
        <w:instrText xml:space="preserve"> ADDIN ZOTERO_ITEM CSL_CITATION {"citationID":"sUygg0Mz","properties":{"formattedCitation":"(Edemekong et\\uc0\\u160{}al., 2023)","plainCitation":"(Edemekong et al., 2023)","noteIndex":0},"citationItems":[{"id":3256,"uris":["http://zotero.org/users/8991183/items/AQYPXVKS"],"itemData":{"id":3256,"type":"chapter","abstract":"The activities of daily living (ADLs) is a term used to collectively describe fundamental skills required to independently care for oneself, such as eating, bathing, and mobility. The term activities of daily living was first coined by Sidney Katz in 1950. ADL is used as an indicator of a person's functional status. The inability to perform ADLs results in the dependence of other individuals and/or mechanical devices. The inability to accomplish essential activities of daily living may lead to unsafe conditions and poor quality of life. Measurement of an individual's ADL is important as these are predictors of admission to nursing homes, need for alternative living arrangements, hospitalization, and use of paid home care. The outcome of a treatment program can also be assessed by reviewing a patient's ADLs. Nurses are often the first to note when patients' functionality declines during hospitalization; therefore, routine screening of ADLs is imperative, and nursing assessment of ADLs is performed on all hospitalized patients. Hospitalization for an acute or chronic illness may influence a person's ability to meet personal goals and sustain independent living. Chronic illnesses progress over time, resulting in a physical decline that may lead to a loss of ability to perform ADLs. In 2011, the United States National Health Interview Survey determined that 20.7% of adults aged 85 or older, 7% of those aged 75 to 84, and 3.4% of those aged 65 to 74 needed help with ADLs.","call-number":"NBK470404","container-title":"StatPearls","event-place":"Treasure Island (FL)","language":"eng","license":"Copyright © 2023, StatPearls Publishing LLC.","note":"PMID: 29261878","publisher":"StatPearls Publishing","publisher-place":"Treasure Island (FL)","source":"PubMed","title":"Activities of Daily Living","URL":"http://www.ncbi.nlm.nih.gov/books/NBK470404/","author":[{"family":"Edemekong","given":"Peter F."},{"family":"Bomgaars","given":"Deb L."},{"family":"Sukumaran","given":"Sukesh"},{"family":"Schoo","given":"Caroline"}],"accessed":{"date-parts":[["2023",12,7]]},"issued":{"date-parts":[["2023"]]}}}],"schema":"https://github.com/citation-style-language/schema/raw/master/csl-citation.json"} </w:instrText>
      </w:r>
      <w:r w:rsidR="00E5399C">
        <w:rPr>
          <w:rFonts w:ascii="Times New Roman" w:eastAsia="Times New Roman" w:hAnsi="Times New Roman" w:cs="Times New Roman"/>
        </w:rPr>
        <w:fldChar w:fldCharType="separate"/>
      </w:r>
      <w:r w:rsidR="00E5399C" w:rsidRPr="00E5399C">
        <w:rPr>
          <w:rFonts w:ascii="Times New Roman" w:hAnsi="Times New Roman" w:cs="Times New Roman"/>
        </w:rPr>
        <w:t>(Edemekong et al., 2023)</w:t>
      </w:r>
      <w:r w:rsidR="00E5399C">
        <w:rPr>
          <w:rFonts w:ascii="Times New Roman" w:eastAsia="Times New Roman" w:hAnsi="Times New Roman" w:cs="Times New Roman"/>
        </w:rPr>
        <w:fldChar w:fldCharType="end"/>
      </w:r>
      <w:r w:rsidR="00E5399C">
        <w:rPr>
          <w:rFonts w:ascii="Times New Roman" w:eastAsia="Times New Roman" w:hAnsi="Times New Roman" w:cs="Times New Roman"/>
        </w:rPr>
        <w:t xml:space="preserve">. </w:t>
      </w:r>
      <w:r w:rsidR="00604A22">
        <w:rPr>
          <w:rFonts w:ascii="Times New Roman" w:eastAsia="Times New Roman" w:hAnsi="Times New Roman" w:cs="Times New Roman"/>
        </w:rPr>
        <w:t xml:space="preserve">We analyze limitations in </w:t>
      </w:r>
      <w:r w:rsidR="00CB6768">
        <w:rPr>
          <w:rFonts w:ascii="Times New Roman" w:eastAsia="Times New Roman" w:hAnsi="Times New Roman" w:cs="Times New Roman"/>
        </w:rPr>
        <w:t xml:space="preserve">Activities of Daily Living </w:t>
      </w:r>
      <w:r w:rsidR="00C74049">
        <w:rPr>
          <w:rFonts w:ascii="Times New Roman" w:eastAsia="Times New Roman" w:hAnsi="Times New Roman" w:cs="Times New Roman"/>
        </w:rPr>
        <w:t>(</w:t>
      </w:r>
      <w:r w:rsidR="00604A22">
        <w:rPr>
          <w:rFonts w:ascii="Times New Roman" w:eastAsia="Times New Roman" w:hAnsi="Times New Roman" w:cs="Times New Roman"/>
        </w:rPr>
        <w:t>ADL</w:t>
      </w:r>
      <w:r w:rsidR="00C74049">
        <w:rPr>
          <w:rFonts w:ascii="Times New Roman" w:eastAsia="Times New Roman" w:hAnsi="Times New Roman" w:cs="Times New Roman"/>
        </w:rPr>
        <w:t>s)</w:t>
      </w:r>
      <w:r w:rsidR="00604A22">
        <w:rPr>
          <w:rFonts w:ascii="Times New Roman" w:eastAsia="Times New Roman" w:hAnsi="Times New Roman" w:cs="Times New Roman"/>
        </w:rPr>
        <w:t xml:space="preserve"> and </w:t>
      </w:r>
      <w:r w:rsidR="00C74049">
        <w:rPr>
          <w:rFonts w:ascii="Times New Roman" w:eastAsia="Times New Roman" w:hAnsi="Times New Roman" w:cs="Times New Roman"/>
        </w:rPr>
        <w:t>Instrumental Activities of Daily Living (</w:t>
      </w:r>
      <w:r w:rsidR="00604A22">
        <w:rPr>
          <w:rFonts w:ascii="Times New Roman" w:eastAsia="Times New Roman" w:hAnsi="Times New Roman" w:cs="Times New Roman"/>
        </w:rPr>
        <w:t>IADL</w:t>
      </w:r>
      <w:r w:rsidR="00DC3D8B">
        <w:rPr>
          <w:rFonts w:ascii="Times New Roman" w:eastAsia="Times New Roman" w:hAnsi="Times New Roman" w:cs="Times New Roman"/>
        </w:rPr>
        <w:t>s</w:t>
      </w:r>
      <w:r w:rsidR="00C74049">
        <w:rPr>
          <w:rFonts w:ascii="Times New Roman" w:eastAsia="Times New Roman" w:hAnsi="Times New Roman" w:cs="Times New Roman"/>
        </w:rPr>
        <w:t>)</w:t>
      </w:r>
      <w:r w:rsidR="00604A22">
        <w:rPr>
          <w:rFonts w:ascii="Times New Roman" w:eastAsia="Times New Roman" w:hAnsi="Times New Roman" w:cs="Times New Roman"/>
        </w:rPr>
        <w:t xml:space="preserve">. </w:t>
      </w:r>
      <w:r w:rsidR="00AC0F3E" w:rsidRPr="67C8E18F">
        <w:rPr>
          <w:rFonts w:ascii="Times New Roman" w:eastAsia="Times New Roman" w:hAnsi="Times New Roman" w:cs="Times New Roman"/>
        </w:rPr>
        <w:t>Limitations in ADL</w:t>
      </w:r>
      <w:r w:rsidR="00860AA4">
        <w:rPr>
          <w:rFonts w:ascii="Times New Roman" w:eastAsia="Times New Roman" w:hAnsi="Times New Roman" w:cs="Times New Roman"/>
        </w:rPr>
        <w:t>s</w:t>
      </w:r>
      <w:r w:rsidR="00AC0F3E" w:rsidRPr="67C8E18F">
        <w:rPr>
          <w:rFonts w:ascii="Times New Roman" w:eastAsia="Times New Roman" w:hAnsi="Times New Roman" w:cs="Times New Roman"/>
        </w:rPr>
        <w:t xml:space="preserve"> </w:t>
      </w:r>
      <w:r w:rsidR="00A024B5">
        <w:rPr>
          <w:rFonts w:ascii="Times New Roman" w:eastAsia="Times New Roman" w:hAnsi="Times New Roman" w:cs="Times New Roman"/>
        </w:rPr>
        <w:t xml:space="preserve">include </w:t>
      </w:r>
      <w:r w:rsidR="00AC0F3E" w:rsidRPr="67C8E18F">
        <w:rPr>
          <w:rFonts w:ascii="Times New Roman" w:eastAsia="Times New Roman" w:hAnsi="Times New Roman" w:cs="Times New Roman"/>
        </w:rPr>
        <w:t>impairments in basic tasks</w:t>
      </w:r>
      <w:r w:rsidR="00860AA4">
        <w:rPr>
          <w:rFonts w:ascii="Times New Roman" w:eastAsia="Times New Roman" w:hAnsi="Times New Roman" w:cs="Times New Roman"/>
        </w:rPr>
        <w:t>, such as</w:t>
      </w:r>
      <w:r w:rsidR="00AC0F3E" w:rsidRPr="67C8E18F">
        <w:rPr>
          <w:rFonts w:ascii="Times New Roman" w:eastAsia="Times New Roman" w:hAnsi="Times New Roman" w:cs="Times New Roman"/>
        </w:rPr>
        <w:t xml:space="preserve"> toileting or feeding oneself, wh</w:t>
      </w:r>
      <w:r w:rsidR="00860AA4">
        <w:rPr>
          <w:rFonts w:ascii="Times New Roman" w:eastAsia="Times New Roman" w:hAnsi="Times New Roman" w:cs="Times New Roman"/>
        </w:rPr>
        <w:t>ereas</w:t>
      </w:r>
      <w:r w:rsidR="00AC0F3E" w:rsidRPr="67C8E18F">
        <w:rPr>
          <w:rFonts w:ascii="Times New Roman" w:eastAsia="Times New Roman" w:hAnsi="Times New Roman" w:cs="Times New Roman"/>
        </w:rPr>
        <w:t xml:space="preserve"> IADL</w:t>
      </w:r>
      <w:r w:rsidR="00860AA4">
        <w:rPr>
          <w:rFonts w:ascii="Times New Roman" w:eastAsia="Times New Roman" w:hAnsi="Times New Roman" w:cs="Times New Roman"/>
        </w:rPr>
        <w:t>s</w:t>
      </w:r>
      <w:r w:rsidR="00AC0F3E" w:rsidRPr="67C8E18F">
        <w:rPr>
          <w:rFonts w:ascii="Times New Roman" w:eastAsia="Times New Roman" w:hAnsi="Times New Roman" w:cs="Times New Roman"/>
        </w:rPr>
        <w:t xml:space="preserve"> </w:t>
      </w:r>
      <w:r w:rsidR="00455389">
        <w:rPr>
          <w:rFonts w:ascii="Times New Roman" w:eastAsia="Times New Roman" w:hAnsi="Times New Roman" w:cs="Times New Roman"/>
        </w:rPr>
        <w:t xml:space="preserve">emphasize </w:t>
      </w:r>
      <w:r w:rsidR="00C06B57">
        <w:rPr>
          <w:rFonts w:ascii="Times New Roman" w:eastAsia="Times New Roman" w:hAnsi="Times New Roman" w:cs="Times New Roman"/>
        </w:rPr>
        <w:t>the interaction between functional ability and social or economic tasks</w:t>
      </w:r>
      <w:r w:rsidR="00860AA4">
        <w:rPr>
          <w:rFonts w:ascii="Times New Roman" w:eastAsia="Times New Roman" w:hAnsi="Times New Roman" w:cs="Times New Roman"/>
        </w:rPr>
        <w:t xml:space="preserve">, such as </w:t>
      </w:r>
      <w:r w:rsidR="0093646F">
        <w:rPr>
          <w:rFonts w:ascii="Times New Roman" w:eastAsia="Times New Roman" w:hAnsi="Times New Roman" w:cs="Times New Roman"/>
        </w:rPr>
        <w:t>pay</w:t>
      </w:r>
      <w:r w:rsidR="00860AA4">
        <w:rPr>
          <w:rFonts w:ascii="Times New Roman" w:eastAsia="Times New Roman" w:hAnsi="Times New Roman" w:cs="Times New Roman"/>
        </w:rPr>
        <w:t>ing</w:t>
      </w:r>
      <w:r w:rsidR="00AC0F3E" w:rsidRPr="67C8E18F">
        <w:rPr>
          <w:rFonts w:ascii="Times New Roman" w:eastAsia="Times New Roman" w:hAnsi="Times New Roman" w:cs="Times New Roman"/>
        </w:rPr>
        <w:t xml:space="preserve"> bills or housekeeping.</w:t>
      </w:r>
      <w:r w:rsidR="00AC0F3E">
        <w:rPr>
          <w:rFonts w:ascii="Times New Roman" w:eastAsia="Times New Roman" w:hAnsi="Times New Roman" w:cs="Times New Roman"/>
        </w:rPr>
        <w:t xml:space="preserve"> </w:t>
      </w:r>
      <w:r w:rsidR="00925147">
        <w:rPr>
          <w:rFonts w:ascii="Times New Roman" w:eastAsia="Times New Roman" w:hAnsi="Times New Roman" w:cs="Times New Roman"/>
        </w:rPr>
        <w:t>W</w:t>
      </w:r>
      <w:r w:rsidR="00925147" w:rsidRPr="3E5D69E4">
        <w:rPr>
          <w:rFonts w:ascii="Times New Roman" w:eastAsia="Times New Roman" w:hAnsi="Times New Roman" w:cs="Times New Roman"/>
        </w:rPr>
        <w:t>e used the set of self-reported questions related to needing help with ADL</w:t>
      </w:r>
      <w:r w:rsidR="00860AA4">
        <w:rPr>
          <w:rFonts w:ascii="Times New Roman" w:eastAsia="Times New Roman" w:hAnsi="Times New Roman" w:cs="Times New Roman"/>
        </w:rPr>
        <w:t>s</w:t>
      </w:r>
      <w:r w:rsidR="00925147" w:rsidRPr="3E5D69E4">
        <w:rPr>
          <w:rFonts w:ascii="Times New Roman" w:eastAsia="Times New Roman" w:hAnsi="Times New Roman" w:cs="Times New Roman"/>
        </w:rPr>
        <w:t xml:space="preserve"> and IADL</w:t>
      </w:r>
      <w:r w:rsidR="00860AA4">
        <w:rPr>
          <w:rFonts w:ascii="Times New Roman" w:eastAsia="Times New Roman" w:hAnsi="Times New Roman" w:cs="Times New Roman"/>
        </w:rPr>
        <w:t>s</w:t>
      </w:r>
      <w:r w:rsidR="00925147" w:rsidRPr="3E5D69E4">
        <w:rPr>
          <w:rFonts w:ascii="Times New Roman" w:eastAsia="Times New Roman" w:hAnsi="Times New Roman" w:cs="Times New Roman"/>
        </w:rPr>
        <w:t xml:space="preserve">, separately. Requiring assistance with </w:t>
      </w:r>
      <w:r w:rsidR="00C26DAC">
        <w:rPr>
          <w:rFonts w:ascii="Times New Roman" w:eastAsia="Times New Roman" w:hAnsi="Times New Roman" w:cs="Times New Roman"/>
        </w:rPr>
        <w:t xml:space="preserve">at least one of the </w:t>
      </w:r>
      <w:r w:rsidR="00925147" w:rsidRPr="3E5D69E4">
        <w:rPr>
          <w:rFonts w:ascii="Times New Roman" w:eastAsia="Times New Roman" w:hAnsi="Times New Roman" w:cs="Times New Roman"/>
        </w:rPr>
        <w:t xml:space="preserve">activities described in each question was considered as having a </w:t>
      </w:r>
      <w:r w:rsidR="00F538EB">
        <w:rPr>
          <w:rFonts w:ascii="Times New Roman" w:eastAsia="Times New Roman" w:hAnsi="Times New Roman" w:cs="Times New Roman"/>
        </w:rPr>
        <w:t>disability</w:t>
      </w:r>
      <w:r w:rsidR="00925147" w:rsidRPr="3E5D69E4">
        <w:rPr>
          <w:rFonts w:ascii="Times New Roman" w:eastAsia="Times New Roman" w:hAnsi="Times New Roman" w:cs="Times New Roman"/>
        </w:rPr>
        <w:t>.</w:t>
      </w:r>
    </w:p>
    <w:p w14:paraId="11FA16FD" w14:textId="3F1EBC41" w:rsidR="00BD54D6" w:rsidRDefault="00846721" w:rsidP="00593C4B">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Public-use files of the NHIS top-code age at 85 years, hence we excluded those 85 years and over as we d</w:t>
      </w:r>
      <w:r w:rsidR="008C65B9">
        <w:rPr>
          <w:rFonts w:ascii="Times New Roman" w:eastAsia="Times New Roman" w:hAnsi="Times New Roman" w:cs="Times New Roman"/>
        </w:rPr>
        <w:t>id</w:t>
      </w:r>
      <w:r>
        <w:rPr>
          <w:rFonts w:ascii="Times New Roman" w:eastAsia="Times New Roman" w:hAnsi="Times New Roman" w:cs="Times New Roman"/>
        </w:rPr>
        <w:t xml:space="preserve"> not</w:t>
      </w:r>
      <w:r w:rsidR="008C65B9">
        <w:rPr>
          <w:rFonts w:ascii="Times New Roman" w:eastAsia="Times New Roman" w:hAnsi="Times New Roman" w:cs="Times New Roman"/>
        </w:rPr>
        <w:t xml:space="preserve"> have information on how </w:t>
      </w:r>
      <w:r>
        <w:rPr>
          <w:rFonts w:ascii="Times New Roman" w:eastAsia="Times New Roman" w:hAnsi="Times New Roman" w:cs="Times New Roman"/>
        </w:rPr>
        <w:t>the age distribution of this</w:t>
      </w:r>
      <w:r w:rsidR="008C65B9">
        <w:rPr>
          <w:rFonts w:ascii="Times New Roman" w:eastAsia="Times New Roman" w:hAnsi="Times New Roman" w:cs="Times New Roman"/>
        </w:rPr>
        <w:t xml:space="preserve"> </w:t>
      </w:r>
      <w:r>
        <w:rPr>
          <w:rFonts w:ascii="Times New Roman" w:eastAsia="Times New Roman" w:hAnsi="Times New Roman" w:cs="Times New Roman"/>
        </w:rPr>
        <w:t xml:space="preserve">group </w:t>
      </w:r>
      <w:r w:rsidR="008C65B9">
        <w:rPr>
          <w:rFonts w:ascii="Times New Roman" w:eastAsia="Times New Roman" w:hAnsi="Times New Roman" w:cs="Times New Roman"/>
        </w:rPr>
        <w:t xml:space="preserve">changed </w:t>
      </w:r>
      <w:r>
        <w:rPr>
          <w:rFonts w:ascii="Times New Roman" w:eastAsia="Times New Roman" w:hAnsi="Times New Roman" w:cs="Times New Roman"/>
        </w:rPr>
        <w:t>over time.</w:t>
      </w:r>
      <w:r w:rsidR="00E3136F">
        <w:rPr>
          <w:rFonts w:ascii="Times New Roman" w:eastAsia="Times New Roman" w:hAnsi="Times New Roman" w:cs="Times New Roman"/>
        </w:rPr>
        <w:t xml:space="preserve"> We also restricted the analyses to </w:t>
      </w:r>
      <w:r w:rsidR="006850B8">
        <w:rPr>
          <w:rFonts w:ascii="Times New Roman" w:eastAsia="Times New Roman" w:hAnsi="Times New Roman" w:cs="Times New Roman"/>
        </w:rPr>
        <w:t xml:space="preserve">the </w:t>
      </w:r>
      <w:r w:rsidR="00E3136F">
        <w:rPr>
          <w:rFonts w:ascii="Times New Roman" w:eastAsia="Times New Roman" w:hAnsi="Times New Roman" w:cs="Times New Roman"/>
        </w:rPr>
        <w:t>t</w:t>
      </w:r>
      <w:r w:rsidR="003965BA">
        <w:rPr>
          <w:rFonts w:ascii="Times New Roman" w:eastAsia="Times New Roman" w:hAnsi="Times New Roman" w:cs="Times New Roman"/>
        </w:rPr>
        <w:t>hree racial/ethnic groups</w:t>
      </w:r>
      <w:r w:rsidR="006850B8">
        <w:rPr>
          <w:rFonts w:ascii="Times New Roman" w:eastAsia="Times New Roman" w:hAnsi="Times New Roman" w:cs="Times New Roman"/>
        </w:rPr>
        <w:t xml:space="preserve"> </w:t>
      </w:r>
      <w:r w:rsidR="003F71C4">
        <w:rPr>
          <w:rFonts w:ascii="Times New Roman" w:eastAsia="Times New Roman" w:hAnsi="Times New Roman" w:cs="Times New Roman"/>
        </w:rPr>
        <w:t xml:space="preserve">(non-Hispanic whites, non-Hispanic blacks, Hispanics) </w:t>
      </w:r>
      <w:r w:rsidR="006850B8">
        <w:rPr>
          <w:rFonts w:ascii="Times New Roman" w:eastAsia="Times New Roman" w:hAnsi="Times New Roman" w:cs="Times New Roman"/>
        </w:rPr>
        <w:t xml:space="preserve">because </w:t>
      </w:r>
      <w:r w:rsidR="00BD54D6">
        <w:rPr>
          <w:rFonts w:ascii="Times New Roman" w:eastAsia="Times New Roman" w:hAnsi="Times New Roman" w:cs="Times New Roman"/>
        </w:rPr>
        <w:t>o</w:t>
      </w:r>
      <w:r w:rsidR="00BD54D6" w:rsidRPr="3E5D69E4">
        <w:rPr>
          <w:rFonts w:ascii="Times New Roman" w:eastAsia="Times New Roman" w:hAnsi="Times New Roman" w:cs="Times New Roman"/>
        </w:rPr>
        <w:t xml:space="preserve">ther </w:t>
      </w:r>
      <w:r w:rsidR="00BD54D6">
        <w:rPr>
          <w:rFonts w:ascii="Times New Roman" w:eastAsia="Times New Roman" w:hAnsi="Times New Roman" w:cs="Times New Roman"/>
        </w:rPr>
        <w:t xml:space="preserve">racial/ethnic </w:t>
      </w:r>
      <w:r w:rsidR="00BD54D6" w:rsidRPr="3E5D69E4">
        <w:rPr>
          <w:rFonts w:ascii="Times New Roman" w:eastAsia="Times New Roman" w:hAnsi="Times New Roman" w:cs="Times New Roman"/>
        </w:rPr>
        <w:t xml:space="preserve">groups were deemed </w:t>
      </w:r>
      <w:r w:rsidR="006850B8">
        <w:rPr>
          <w:rFonts w:ascii="Times New Roman" w:eastAsia="Times New Roman" w:hAnsi="Times New Roman" w:cs="Times New Roman"/>
        </w:rPr>
        <w:t xml:space="preserve">to have an insufficient sample size </w:t>
      </w:r>
      <w:r w:rsidR="00BD54D6" w:rsidRPr="3E5D69E4">
        <w:rPr>
          <w:rFonts w:ascii="Times New Roman" w:eastAsia="Times New Roman" w:hAnsi="Times New Roman" w:cs="Times New Roman"/>
        </w:rPr>
        <w:t xml:space="preserve">for the granularity of </w:t>
      </w:r>
      <w:r w:rsidR="006850B8">
        <w:rPr>
          <w:rFonts w:ascii="Times New Roman" w:eastAsia="Times New Roman" w:hAnsi="Times New Roman" w:cs="Times New Roman"/>
        </w:rPr>
        <w:t>our</w:t>
      </w:r>
      <w:r w:rsidR="00BD54D6" w:rsidRPr="3E5D69E4">
        <w:rPr>
          <w:rFonts w:ascii="Times New Roman" w:eastAsia="Times New Roman" w:hAnsi="Times New Roman" w:cs="Times New Roman"/>
        </w:rPr>
        <w:t xml:space="preserve"> models. </w:t>
      </w:r>
      <w:r w:rsidR="00110397" w:rsidRPr="3E5D69E4">
        <w:rPr>
          <w:rFonts w:ascii="Times New Roman" w:eastAsia="Times New Roman" w:hAnsi="Times New Roman" w:cs="Times New Roman"/>
        </w:rPr>
        <w:t>After filtering, the overall size of the sample was 512</w:t>
      </w:r>
      <w:r w:rsidR="00110397">
        <w:rPr>
          <w:rFonts w:ascii="Times New Roman" w:eastAsia="Times New Roman" w:hAnsi="Times New Roman" w:cs="Times New Roman"/>
        </w:rPr>
        <w:t>,</w:t>
      </w:r>
      <w:r w:rsidR="00110397" w:rsidRPr="3E5D69E4">
        <w:rPr>
          <w:rFonts w:ascii="Times New Roman" w:eastAsia="Times New Roman" w:hAnsi="Times New Roman" w:cs="Times New Roman"/>
        </w:rPr>
        <w:t>279 observations between 2000 and 2018.</w:t>
      </w:r>
    </w:p>
    <w:p w14:paraId="5623352B" w14:textId="6A4453B8" w:rsidR="002D5AEF" w:rsidRDefault="00B671AA" w:rsidP="0011039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Analyses</w:t>
      </w:r>
      <w:r w:rsidRPr="3E5D69E4">
        <w:rPr>
          <w:rFonts w:ascii="Times New Roman" w:eastAsia="Times New Roman" w:hAnsi="Times New Roman" w:cs="Times New Roman"/>
        </w:rPr>
        <w:t xml:space="preserve"> </w:t>
      </w:r>
      <w:r>
        <w:rPr>
          <w:rFonts w:ascii="Times New Roman" w:eastAsia="Times New Roman" w:hAnsi="Times New Roman" w:cs="Times New Roman"/>
        </w:rPr>
        <w:t xml:space="preserve">were </w:t>
      </w:r>
      <w:r w:rsidRPr="3E5D69E4">
        <w:rPr>
          <w:rFonts w:ascii="Times New Roman" w:eastAsia="Times New Roman" w:hAnsi="Times New Roman" w:cs="Times New Roman"/>
        </w:rPr>
        <w:t xml:space="preserve">stratified </w:t>
      </w:r>
      <w:r>
        <w:rPr>
          <w:rFonts w:ascii="Times New Roman" w:eastAsia="Times New Roman" w:hAnsi="Times New Roman" w:cs="Times New Roman"/>
        </w:rPr>
        <w:t>by</w:t>
      </w:r>
      <w:r w:rsidRPr="3E5D69E4">
        <w:rPr>
          <w:rFonts w:ascii="Times New Roman" w:eastAsia="Times New Roman" w:hAnsi="Times New Roman" w:cs="Times New Roman"/>
        </w:rPr>
        <w:t xml:space="preserve"> sex</w:t>
      </w:r>
      <w:r>
        <w:rPr>
          <w:rFonts w:ascii="Times New Roman" w:eastAsia="Times New Roman" w:hAnsi="Times New Roman" w:cs="Times New Roman"/>
        </w:rPr>
        <w:t xml:space="preserve"> (female, male) and </w:t>
      </w:r>
      <w:r w:rsidRPr="3E5D69E4">
        <w:rPr>
          <w:rFonts w:ascii="Times New Roman" w:eastAsia="Times New Roman" w:hAnsi="Times New Roman" w:cs="Times New Roman"/>
        </w:rPr>
        <w:t>age group</w:t>
      </w:r>
      <w:r>
        <w:rPr>
          <w:rFonts w:ascii="Times New Roman" w:eastAsia="Times New Roman" w:hAnsi="Times New Roman" w:cs="Times New Roman"/>
        </w:rPr>
        <w:t xml:space="preserve"> (</w:t>
      </w:r>
      <w:r w:rsidRPr="3E5D69E4">
        <w:rPr>
          <w:rFonts w:ascii="Times New Roman" w:eastAsia="Times New Roman" w:hAnsi="Times New Roman" w:cs="Times New Roman"/>
        </w:rPr>
        <w:t>50-64, 65-74, and 75-84</w:t>
      </w:r>
      <w:r>
        <w:rPr>
          <w:rFonts w:ascii="Times New Roman" w:eastAsia="Times New Roman" w:hAnsi="Times New Roman" w:cs="Times New Roman"/>
        </w:rPr>
        <w:t>). W</w:t>
      </w:r>
      <w:r w:rsidR="00604A22">
        <w:rPr>
          <w:rFonts w:ascii="Times New Roman" w:eastAsia="Times New Roman" w:hAnsi="Times New Roman" w:cs="Times New Roman"/>
        </w:rPr>
        <w:t>e estimated a series of logistic regression</w:t>
      </w:r>
      <w:r w:rsidR="00CA6C0B">
        <w:rPr>
          <w:rFonts w:ascii="Times New Roman" w:eastAsia="Times New Roman" w:hAnsi="Times New Roman" w:cs="Times New Roman"/>
        </w:rPr>
        <w:t xml:space="preserve"> models</w:t>
      </w:r>
      <w:r w:rsidR="00604A22">
        <w:rPr>
          <w:rFonts w:ascii="Times New Roman" w:eastAsia="Times New Roman" w:hAnsi="Times New Roman" w:cs="Times New Roman"/>
        </w:rPr>
        <w:t xml:space="preserve"> predicting an ADL or IADL</w:t>
      </w:r>
      <w:r w:rsidR="00681E1F">
        <w:rPr>
          <w:rFonts w:ascii="Times New Roman" w:eastAsia="Times New Roman" w:hAnsi="Times New Roman" w:cs="Times New Roman"/>
        </w:rPr>
        <w:t xml:space="preserve"> prevalence</w:t>
      </w:r>
      <w:r w:rsidR="00604A22">
        <w:rPr>
          <w:rFonts w:ascii="Times New Roman" w:eastAsia="Times New Roman" w:hAnsi="Times New Roman" w:cs="Times New Roman"/>
        </w:rPr>
        <w:t>, separately</w:t>
      </w:r>
      <w:r w:rsidR="00494AFC">
        <w:rPr>
          <w:rFonts w:ascii="Times New Roman" w:eastAsia="Times New Roman" w:hAnsi="Times New Roman" w:cs="Times New Roman"/>
        </w:rPr>
        <w:t xml:space="preserve">, for </w:t>
      </w:r>
      <w:r w:rsidR="00D80B07">
        <w:rPr>
          <w:rFonts w:ascii="Times New Roman" w:eastAsia="Times New Roman" w:hAnsi="Times New Roman" w:cs="Times New Roman"/>
        </w:rPr>
        <w:t>the years 2000, 2010, and 2018</w:t>
      </w:r>
      <w:r w:rsidR="00673ED0">
        <w:rPr>
          <w:rFonts w:ascii="Times New Roman" w:eastAsia="Times New Roman" w:hAnsi="Times New Roman" w:cs="Times New Roman"/>
        </w:rPr>
        <w:t xml:space="preserve">. </w:t>
      </w:r>
      <w:r>
        <w:rPr>
          <w:rFonts w:ascii="Times New Roman" w:eastAsia="Times New Roman" w:hAnsi="Times New Roman" w:cs="Times New Roman"/>
        </w:rPr>
        <w:t>The model</w:t>
      </w:r>
      <w:r w:rsidR="00CA6C0B">
        <w:rPr>
          <w:rFonts w:ascii="Times New Roman" w:eastAsia="Times New Roman" w:hAnsi="Times New Roman" w:cs="Times New Roman"/>
        </w:rPr>
        <w:t>s</w:t>
      </w:r>
      <w:r w:rsidR="008B3931">
        <w:rPr>
          <w:rFonts w:ascii="Times New Roman" w:eastAsia="Times New Roman" w:hAnsi="Times New Roman" w:cs="Times New Roman"/>
        </w:rPr>
        <w:t xml:space="preserve"> </w:t>
      </w:r>
      <w:r w:rsidR="00B40E7D">
        <w:rPr>
          <w:rFonts w:ascii="Times New Roman" w:eastAsia="Times New Roman" w:hAnsi="Times New Roman" w:cs="Times New Roman"/>
        </w:rPr>
        <w:t xml:space="preserve">included </w:t>
      </w:r>
      <w:r w:rsidR="00604A22">
        <w:rPr>
          <w:rFonts w:ascii="Times New Roman" w:eastAsia="Times New Roman" w:hAnsi="Times New Roman" w:cs="Times New Roman"/>
        </w:rPr>
        <w:t>age measured in single years</w:t>
      </w:r>
      <w:r w:rsidR="00D42393">
        <w:rPr>
          <w:rFonts w:ascii="Times New Roman" w:eastAsia="Times New Roman" w:hAnsi="Times New Roman" w:cs="Times New Roman"/>
        </w:rPr>
        <w:t>, race/ethnicity (non-Hispanic whites, non-Hispanic blacks, Hispanics)</w:t>
      </w:r>
      <w:r w:rsidR="0055582F">
        <w:rPr>
          <w:rFonts w:ascii="Times New Roman" w:eastAsia="Times New Roman" w:hAnsi="Times New Roman" w:cs="Times New Roman"/>
        </w:rPr>
        <w:t>, and calendar year</w:t>
      </w:r>
      <w:r w:rsidR="006A5927">
        <w:rPr>
          <w:rFonts w:ascii="Times New Roman" w:eastAsia="Times New Roman" w:hAnsi="Times New Roman" w:cs="Times New Roman"/>
        </w:rPr>
        <w:t xml:space="preserve"> measured in single years.</w:t>
      </w:r>
      <w:r>
        <w:rPr>
          <w:rFonts w:ascii="Times New Roman" w:eastAsia="Times New Roman" w:hAnsi="Times New Roman" w:cs="Times New Roman"/>
        </w:rPr>
        <w:t xml:space="preserve"> We additionally included an interaction between calendar year and a dummy variable for decade (with the period</w:t>
      </w:r>
      <w:r w:rsidR="002E4D45">
        <w:rPr>
          <w:rFonts w:ascii="Times New Roman" w:eastAsia="Times New Roman" w:hAnsi="Times New Roman" w:cs="Times New Roman"/>
        </w:rPr>
        <w:t xml:space="preserve"> comprehended between</w:t>
      </w:r>
      <w:r>
        <w:rPr>
          <w:rFonts w:ascii="Times New Roman" w:eastAsia="Times New Roman" w:hAnsi="Times New Roman" w:cs="Times New Roman"/>
        </w:rPr>
        <w:t xml:space="preserve"> 2000-2009 coded as 0) to investigate whether</w:t>
      </w:r>
      <w:r w:rsidR="00D97D16">
        <w:rPr>
          <w:rFonts w:ascii="Times New Roman" w:eastAsia="Times New Roman" w:hAnsi="Times New Roman" w:cs="Times New Roman"/>
        </w:rPr>
        <w:t xml:space="preserve"> the</w:t>
      </w:r>
      <w:r w:rsidR="00815D93">
        <w:rPr>
          <w:rFonts w:ascii="Times New Roman" w:eastAsia="Times New Roman" w:hAnsi="Times New Roman" w:cs="Times New Roman"/>
        </w:rPr>
        <w:t xml:space="preserve"> trend differs by decade. We allowed trends to vary by race/ethnic by including an interaction of race/ethnicity with </w:t>
      </w:r>
      <w:r w:rsidR="00AB471A">
        <w:rPr>
          <w:rFonts w:ascii="Times New Roman" w:eastAsia="Times New Roman" w:hAnsi="Times New Roman" w:cs="Times New Roman"/>
        </w:rPr>
        <w:t>the </w:t>
      </w:r>
      <w:r w:rsidR="00815D93">
        <w:rPr>
          <w:rFonts w:ascii="Times New Roman" w:eastAsia="Times New Roman" w:hAnsi="Times New Roman" w:cs="Times New Roman"/>
        </w:rPr>
        <w:t xml:space="preserve">calendar year and the dummy variable for decade. </w:t>
      </w:r>
      <w:r w:rsidR="00D97D16">
        <w:rPr>
          <w:rFonts w:ascii="Times New Roman" w:eastAsia="Times New Roman" w:hAnsi="Times New Roman" w:cs="Times New Roman"/>
        </w:rPr>
        <w:t xml:space="preserve"> </w:t>
      </w:r>
      <w:r w:rsidR="00214E4A">
        <w:rPr>
          <w:rFonts w:ascii="Times New Roman" w:eastAsia="Times New Roman" w:hAnsi="Times New Roman" w:cs="Times New Roman"/>
        </w:rPr>
        <w:t>T</w:t>
      </w:r>
      <w:r w:rsidR="2A135B53" w:rsidRPr="5996E1DC">
        <w:rPr>
          <w:rFonts w:ascii="Times New Roman" w:eastAsia="Times New Roman" w:hAnsi="Times New Roman" w:cs="Times New Roman"/>
        </w:rPr>
        <w:t>he models presented interaction terms across years and race</w:t>
      </w:r>
      <w:r w:rsidR="00D11E37">
        <w:rPr>
          <w:rFonts w:ascii="Times New Roman" w:eastAsia="Times New Roman" w:hAnsi="Times New Roman" w:cs="Times New Roman"/>
        </w:rPr>
        <w:t xml:space="preserve"> and ethnicity</w:t>
      </w:r>
      <w:r w:rsidR="58040E8A" w:rsidRPr="5996E1DC">
        <w:rPr>
          <w:rFonts w:ascii="Times New Roman" w:eastAsia="Times New Roman" w:hAnsi="Times New Roman" w:cs="Times New Roman"/>
        </w:rPr>
        <w:t xml:space="preserve">, </w:t>
      </w:r>
      <w:r w:rsidR="003A76B0">
        <w:rPr>
          <w:rFonts w:ascii="Times New Roman" w:eastAsia="Times New Roman" w:hAnsi="Times New Roman" w:cs="Times New Roman"/>
        </w:rPr>
        <w:t>including</w:t>
      </w:r>
      <w:r w:rsidR="003A76B0" w:rsidRPr="5996E1DC">
        <w:rPr>
          <w:rFonts w:ascii="Times New Roman" w:eastAsia="Times New Roman" w:hAnsi="Times New Roman" w:cs="Times New Roman"/>
        </w:rPr>
        <w:t xml:space="preserve"> </w:t>
      </w:r>
      <w:r w:rsidR="58040E8A" w:rsidRPr="5996E1DC">
        <w:rPr>
          <w:rFonts w:ascii="Times New Roman" w:eastAsia="Times New Roman" w:hAnsi="Times New Roman" w:cs="Times New Roman"/>
        </w:rPr>
        <w:t>an additional interaction of years and race</w:t>
      </w:r>
      <w:r w:rsidR="00D11E37">
        <w:rPr>
          <w:rFonts w:ascii="Times New Roman" w:eastAsia="Times New Roman" w:hAnsi="Times New Roman" w:cs="Times New Roman"/>
        </w:rPr>
        <w:t xml:space="preserve"> and ethnicity</w:t>
      </w:r>
      <w:r w:rsidR="58040E8A" w:rsidRPr="5996E1DC">
        <w:rPr>
          <w:rFonts w:ascii="Times New Roman" w:eastAsia="Times New Roman" w:hAnsi="Times New Roman" w:cs="Times New Roman"/>
        </w:rPr>
        <w:t xml:space="preserve"> for </w:t>
      </w:r>
      <w:r w:rsidR="00D11E37">
        <w:rPr>
          <w:rFonts w:ascii="Times New Roman" w:eastAsia="Times New Roman" w:hAnsi="Times New Roman" w:cs="Times New Roman"/>
        </w:rPr>
        <w:t xml:space="preserve">the </w:t>
      </w:r>
      <w:r w:rsidR="58040E8A" w:rsidRPr="5996E1DC">
        <w:rPr>
          <w:rFonts w:ascii="Times New Roman" w:eastAsia="Times New Roman" w:hAnsi="Times New Roman" w:cs="Times New Roman"/>
        </w:rPr>
        <w:t xml:space="preserve">years between 2010 and 2018 (resulting in </w:t>
      </w:r>
      <w:r w:rsidR="003A317C">
        <w:rPr>
          <w:rFonts w:ascii="Times New Roman" w:eastAsia="Times New Roman" w:hAnsi="Times New Roman" w:cs="Times New Roman"/>
        </w:rPr>
        <w:t>a second slope after the year 2010</w:t>
      </w:r>
      <w:r w:rsidR="00B55A6E">
        <w:rPr>
          <w:rFonts w:ascii="Times New Roman" w:eastAsia="Times New Roman" w:hAnsi="Times New Roman" w:cs="Times New Roman"/>
        </w:rPr>
        <w:t>, which was done by centering the year variable in 2010</w:t>
      </w:r>
      <w:r w:rsidR="58040E8A" w:rsidRPr="5996E1DC">
        <w:rPr>
          <w:rFonts w:ascii="Times New Roman" w:eastAsia="Times New Roman" w:hAnsi="Times New Roman" w:cs="Times New Roman"/>
        </w:rPr>
        <w:t>)</w:t>
      </w:r>
      <w:r w:rsidR="2A135B53" w:rsidRPr="5996E1DC">
        <w:rPr>
          <w:rFonts w:ascii="Times New Roman" w:eastAsia="Times New Roman" w:hAnsi="Times New Roman" w:cs="Times New Roman"/>
        </w:rPr>
        <w:t>.</w:t>
      </w:r>
      <w:r w:rsidR="009D4B05">
        <w:rPr>
          <w:rFonts w:ascii="Times New Roman" w:eastAsia="Times New Roman" w:hAnsi="Times New Roman" w:cs="Times New Roman"/>
        </w:rPr>
        <w:t xml:space="preserve"> </w:t>
      </w:r>
      <w:r w:rsidR="00110397">
        <w:rPr>
          <w:rFonts w:ascii="Times New Roman" w:eastAsia="Times New Roman" w:hAnsi="Times New Roman" w:cs="Times New Roman"/>
        </w:rPr>
        <w:t xml:space="preserve">The models controlled for </w:t>
      </w:r>
      <w:r w:rsidR="592B19AC" w:rsidRPr="3E5D69E4">
        <w:rPr>
          <w:rFonts w:ascii="Times New Roman" w:eastAsia="Times New Roman" w:hAnsi="Times New Roman" w:cs="Times New Roman"/>
        </w:rPr>
        <w:t>educational</w:t>
      </w:r>
      <w:r w:rsidR="7D4FDF97" w:rsidRPr="3E5D69E4">
        <w:rPr>
          <w:rFonts w:ascii="Times New Roman" w:eastAsia="Times New Roman" w:hAnsi="Times New Roman" w:cs="Times New Roman"/>
        </w:rPr>
        <w:t xml:space="preserve"> attainment and </w:t>
      </w:r>
      <w:r w:rsidR="00E526B4">
        <w:rPr>
          <w:rFonts w:ascii="Times New Roman" w:eastAsia="Times New Roman" w:hAnsi="Times New Roman" w:cs="Times New Roman"/>
        </w:rPr>
        <w:t>n</w:t>
      </w:r>
      <w:r w:rsidR="7D4FDF97" w:rsidRPr="3E5D69E4">
        <w:rPr>
          <w:rFonts w:ascii="Times New Roman" w:eastAsia="Times New Roman" w:hAnsi="Times New Roman" w:cs="Times New Roman"/>
        </w:rPr>
        <w:t>ativity</w:t>
      </w:r>
      <w:r w:rsidR="00E526B4">
        <w:rPr>
          <w:rFonts w:ascii="Times New Roman" w:eastAsia="Times New Roman" w:hAnsi="Times New Roman" w:cs="Times New Roman"/>
        </w:rPr>
        <w:t xml:space="preserve"> (</w:t>
      </w:r>
      <w:r w:rsidR="00E526B4" w:rsidRPr="3E5D69E4">
        <w:rPr>
          <w:rFonts w:ascii="Times New Roman" w:eastAsia="Times New Roman" w:hAnsi="Times New Roman" w:cs="Times New Roman"/>
        </w:rPr>
        <w:t>U</w:t>
      </w:r>
      <w:r w:rsidR="003A76B0">
        <w:rPr>
          <w:rFonts w:ascii="Times New Roman" w:eastAsia="Times New Roman" w:hAnsi="Times New Roman" w:cs="Times New Roman"/>
        </w:rPr>
        <w:t>.</w:t>
      </w:r>
      <w:r w:rsidR="00E526B4" w:rsidRPr="3E5D69E4">
        <w:rPr>
          <w:rFonts w:ascii="Times New Roman" w:eastAsia="Times New Roman" w:hAnsi="Times New Roman" w:cs="Times New Roman"/>
        </w:rPr>
        <w:t>S</w:t>
      </w:r>
      <w:r w:rsidR="003A76B0">
        <w:rPr>
          <w:rFonts w:ascii="Times New Roman" w:eastAsia="Times New Roman" w:hAnsi="Times New Roman" w:cs="Times New Roman"/>
        </w:rPr>
        <w:t>.</w:t>
      </w:r>
      <w:r w:rsidR="00E526B4" w:rsidRPr="3E5D69E4">
        <w:rPr>
          <w:rFonts w:ascii="Times New Roman" w:eastAsia="Times New Roman" w:hAnsi="Times New Roman" w:cs="Times New Roman"/>
        </w:rPr>
        <w:t>-</w:t>
      </w:r>
      <w:r w:rsidR="00E526B4">
        <w:rPr>
          <w:rFonts w:ascii="Times New Roman" w:eastAsia="Times New Roman" w:hAnsi="Times New Roman" w:cs="Times New Roman"/>
        </w:rPr>
        <w:t>b</w:t>
      </w:r>
      <w:r w:rsidR="00E526B4" w:rsidRPr="3E5D69E4">
        <w:rPr>
          <w:rFonts w:ascii="Times New Roman" w:eastAsia="Times New Roman" w:hAnsi="Times New Roman" w:cs="Times New Roman"/>
        </w:rPr>
        <w:t xml:space="preserve">orn and </w:t>
      </w:r>
      <w:r w:rsidR="00E526B4">
        <w:rPr>
          <w:rFonts w:ascii="Times New Roman" w:eastAsia="Times New Roman" w:hAnsi="Times New Roman" w:cs="Times New Roman"/>
        </w:rPr>
        <w:t>foreign-born</w:t>
      </w:r>
      <w:r w:rsidR="00CA6C0B">
        <w:rPr>
          <w:rFonts w:ascii="Times New Roman" w:eastAsia="Times New Roman" w:hAnsi="Times New Roman" w:cs="Times New Roman"/>
        </w:rPr>
        <w:t>, using an average as the reference values for models</w:t>
      </w:r>
      <w:r w:rsidR="00E526B4">
        <w:rPr>
          <w:rFonts w:ascii="Times New Roman" w:eastAsia="Times New Roman" w:hAnsi="Times New Roman" w:cs="Times New Roman"/>
        </w:rPr>
        <w:t>)</w:t>
      </w:r>
      <w:r w:rsidR="7D4FDF97" w:rsidRPr="3E5D69E4">
        <w:rPr>
          <w:rFonts w:ascii="Times New Roman" w:eastAsia="Times New Roman" w:hAnsi="Times New Roman" w:cs="Times New Roman"/>
        </w:rPr>
        <w:t xml:space="preserve">. Educational attainment was constructed with three categories: </w:t>
      </w:r>
      <w:r w:rsidR="003A76B0">
        <w:rPr>
          <w:rFonts w:ascii="Times New Roman" w:eastAsia="Times New Roman" w:hAnsi="Times New Roman" w:cs="Times New Roman"/>
        </w:rPr>
        <w:t>l</w:t>
      </w:r>
      <w:r w:rsidR="7D4FDF97" w:rsidRPr="3E5D69E4">
        <w:rPr>
          <w:rFonts w:ascii="Times New Roman" w:eastAsia="Times New Roman" w:hAnsi="Times New Roman" w:cs="Times New Roman"/>
        </w:rPr>
        <w:t>ow (</w:t>
      </w:r>
      <w:r w:rsidR="003A76B0">
        <w:rPr>
          <w:rFonts w:ascii="Times New Roman" w:eastAsia="Times New Roman" w:hAnsi="Times New Roman" w:cs="Times New Roman"/>
        </w:rPr>
        <w:t>l</w:t>
      </w:r>
      <w:r w:rsidR="7D4FDF97" w:rsidRPr="3E5D69E4">
        <w:rPr>
          <w:rFonts w:ascii="Times New Roman" w:eastAsia="Times New Roman" w:hAnsi="Times New Roman" w:cs="Times New Roman"/>
        </w:rPr>
        <w:t xml:space="preserve">ess than GED or </w:t>
      </w:r>
      <w:r w:rsidR="003A76B0">
        <w:rPr>
          <w:rFonts w:ascii="Times New Roman" w:eastAsia="Times New Roman" w:hAnsi="Times New Roman" w:cs="Times New Roman"/>
        </w:rPr>
        <w:t>h</w:t>
      </w:r>
      <w:r w:rsidR="7D4FDF97" w:rsidRPr="3E5D69E4">
        <w:rPr>
          <w:rFonts w:ascii="Times New Roman" w:eastAsia="Times New Roman" w:hAnsi="Times New Roman" w:cs="Times New Roman"/>
        </w:rPr>
        <w:t xml:space="preserve">igh </w:t>
      </w:r>
      <w:r w:rsidR="003A76B0">
        <w:rPr>
          <w:rFonts w:ascii="Times New Roman" w:eastAsia="Times New Roman" w:hAnsi="Times New Roman" w:cs="Times New Roman"/>
        </w:rPr>
        <w:t>s</w:t>
      </w:r>
      <w:r w:rsidR="7D4FDF97" w:rsidRPr="3E5D69E4">
        <w:rPr>
          <w:rFonts w:ascii="Times New Roman" w:eastAsia="Times New Roman" w:hAnsi="Times New Roman" w:cs="Times New Roman"/>
        </w:rPr>
        <w:t xml:space="preserve">chool </w:t>
      </w:r>
      <w:r w:rsidR="003A76B0">
        <w:rPr>
          <w:rFonts w:ascii="Times New Roman" w:eastAsia="Times New Roman" w:hAnsi="Times New Roman" w:cs="Times New Roman"/>
        </w:rPr>
        <w:t>d</w:t>
      </w:r>
      <w:r w:rsidR="7D4FDF97" w:rsidRPr="3E5D69E4">
        <w:rPr>
          <w:rFonts w:ascii="Times New Roman" w:eastAsia="Times New Roman" w:hAnsi="Times New Roman" w:cs="Times New Roman"/>
        </w:rPr>
        <w:t>iploma</w:t>
      </w:r>
      <w:r w:rsidR="002A639C">
        <w:rPr>
          <w:rFonts w:ascii="Times New Roman" w:eastAsia="Times New Roman" w:hAnsi="Times New Roman" w:cs="Times New Roman"/>
        </w:rPr>
        <w:t>, with numeric value 0 in the models</w:t>
      </w:r>
      <w:r w:rsidR="7D4FDF97" w:rsidRPr="3E5D69E4">
        <w:rPr>
          <w:rFonts w:ascii="Times New Roman" w:eastAsia="Times New Roman" w:hAnsi="Times New Roman" w:cs="Times New Roman"/>
        </w:rPr>
        <w:t xml:space="preserve">), </w:t>
      </w:r>
      <w:r w:rsidR="003A76B0">
        <w:rPr>
          <w:rFonts w:ascii="Times New Roman" w:eastAsia="Times New Roman" w:hAnsi="Times New Roman" w:cs="Times New Roman"/>
        </w:rPr>
        <w:t>m</w:t>
      </w:r>
      <w:r w:rsidR="7D4FDF97" w:rsidRPr="3E5D69E4">
        <w:rPr>
          <w:rFonts w:ascii="Times New Roman" w:eastAsia="Times New Roman" w:hAnsi="Times New Roman" w:cs="Times New Roman"/>
        </w:rPr>
        <w:t>iddle (</w:t>
      </w:r>
      <w:r w:rsidR="003A76B0">
        <w:rPr>
          <w:rFonts w:ascii="Times New Roman" w:eastAsia="Times New Roman" w:hAnsi="Times New Roman" w:cs="Times New Roman"/>
        </w:rPr>
        <w:t>f</w:t>
      </w:r>
      <w:r w:rsidR="7D4FDF97" w:rsidRPr="3E5D69E4">
        <w:rPr>
          <w:rFonts w:ascii="Times New Roman" w:eastAsia="Times New Roman" w:hAnsi="Times New Roman" w:cs="Times New Roman"/>
        </w:rPr>
        <w:t xml:space="preserve">rom </w:t>
      </w:r>
      <w:r w:rsidR="0093646F">
        <w:rPr>
          <w:rFonts w:ascii="Times New Roman" w:eastAsia="Times New Roman" w:hAnsi="Times New Roman" w:cs="Times New Roman"/>
        </w:rPr>
        <w:t>GED</w:t>
      </w:r>
      <w:r w:rsidR="7D4FDF97" w:rsidRPr="3E5D69E4">
        <w:rPr>
          <w:rFonts w:ascii="Times New Roman" w:eastAsia="Times New Roman" w:hAnsi="Times New Roman" w:cs="Times New Roman"/>
        </w:rPr>
        <w:t xml:space="preserve"> or </w:t>
      </w:r>
      <w:r w:rsidR="003A76B0">
        <w:rPr>
          <w:rFonts w:ascii="Times New Roman" w:eastAsia="Times New Roman" w:hAnsi="Times New Roman" w:cs="Times New Roman"/>
        </w:rPr>
        <w:t>h</w:t>
      </w:r>
      <w:r w:rsidR="7D4FDF97" w:rsidRPr="3E5D69E4">
        <w:rPr>
          <w:rFonts w:ascii="Times New Roman" w:eastAsia="Times New Roman" w:hAnsi="Times New Roman" w:cs="Times New Roman"/>
        </w:rPr>
        <w:t xml:space="preserve">igh </w:t>
      </w:r>
      <w:r w:rsidR="003A76B0">
        <w:rPr>
          <w:rFonts w:ascii="Times New Roman" w:eastAsia="Times New Roman" w:hAnsi="Times New Roman" w:cs="Times New Roman"/>
        </w:rPr>
        <w:t>s</w:t>
      </w:r>
      <w:r w:rsidR="7D4FDF97" w:rsidRPr="3E5D69E4">
        <w:rPr>
          <w:rFonts w:ascii="Times New Roman" w:eastAsia="Times New Roman" w:hAnsi="Times New Roman" w:cs="Times New Roman"/>
        </w:rPr>
        <w:t xml:space="preserve">chool </w:t>
      </w:r>
      <w:r w:rsidR="003A76B0">
        <w:rPr>
          <w:rFonts w:ascii="Times New Roman" w:eastAsia="Times New Roman" w:hAnsi="Times New Roman" w:cs="Times New Roman"/>
        </w:rPr>
        <w:t>d</w:t>
      </w:r>
      <w:r w:rsidR="7D4FDF97" w:rsidRPr="3E5D69E4">
        <w:rPr>
          <w:rFonts w:ascii="Times New Roman" w:eastAsia="Times New Roman" w:hAnsi="Times New Roman" w:cs="Times New Roman"/>
        </w:rPr>
        <w:t xml:space="preserve">iploma to some college or </w:t>
      </w:r>
      <w:r w:rsidR="651D7BAE" w:rsidRPr="3E5D69E4">
        <w:rPr>
          <w:rFonts w:ascii="Times New Roman" w:eastAsia="Times New Roman" w:hAnsi="Times New Roman" w:cs="Times New Roman"/>
        </w:rPr>
        <w:t>associate degree</w:t>
      </w:r>
      <w:r w:rsidR="7D4FDF97" w:rsidRPr="3E5D69E4">
        <w:rPr>
          <w:rFonts w:ascii="Times New Roman" w:eastAsia="Times New Roman" w:hAnsi="Times New Roman" w:cs="Times New Roman"/>
        </w:rPr>
        <w:t xml:space="preserve"> but not the completion of a </w:t>
      </w:r>
      <w:r w:rsidR="30B1C54D" w:rsidRPr="3E5D69E4">
        <w:rPr>
          <w:rFonts w:ascii="Times New Roman" w:eastAsia="Times New Roman" w:hAnsi="Times New Roman" w:cs="Times New Roman"/>
        </w:rPr>
        <w:t>bachelor</w:t>
      </w:r>
      <w:r w:rsidR="003A76B0">
        <w:rPr>
          <w:rFonts w:ascii="Times New Roman" w:eastAsia="Times New Roman" w:hAnsi="Times New Roman" w:cs="Times New Roman"/>
        </w:rPr>
        <w:t>’</w:t>
      </w:r>
      <w:r w:rsidR="30B1C54D" w:rsidRPr="3E5D69E4">
        <w:rPr>
          <w:rFonts w:ascii="Times New Roman" w:eastAsia="Times New Roman" w:hAnsi="Times New Roman" w:cs="Times New Roman"/>
        </w:rPr>
        <w:t>s degree</w:t>
      </w:r>
      <w:r w:rsidR="002A639C">
        <w:rPr>
          <w:rFonts w:ascii="Times New Roman" w:eastAsia="Times New Roman" w:hAnsi="Times New Roman" w:cs="Times New Roman"/>
        </w:rPr>
        <w:t>, with numeric value 1</w:t>
      </w:r>
      <w:r w:rsidR="005046BE">
        <w:rPr>
          <w:rFonts w:ascii="Times New Roman" w:eastAsia="Times New Roman" w:hAnsi="Times New Roman" w:cs="Times New Roman"/>
        </w:rPr>
        <w:t>, serving as the reference category for our model estimates, being the most common value for educational attainment</w:t>
      </w:r>
      <w:r w:rsidR="7D4FDF97" w:rsidRPr="3E5D69E4">
        <w:rPr>
          <w:rFonts w:ascii="Times New Roman" w:eastAsia="Times New Roman" w:hAnsi="Times New Roman" w:cs="Times New Roman"/>
        </w:rPr>
        <w:t>)</w:t>
      </w:r>
      <w:r w:rsidR="003A76B0">
        <w:rPr>
          <w:rFonts w:ascii="Times New Roman" w:eastAsia="Times New Roman" w:hAnsi="Times New Roman" w:cs="Times New Roman"/>
        </w:rPr>
        <w:t>,</w:t>
      </w:r>
      <w:r w:rsidR="7D4FDF97" w:rsidRPr="3E5D69E4">
        <w:rPr>
          <w:rFonts w:ascii="Times New Roman" w:eastAsia="Times New Roman" w:hAnsi="Times New Roman" w:cs="Times New Roman"/>
        </w:rPr>
        <w:t xml:space="preserve"> and </w:t>
      </w:r>
      <w:r w:rsidR="003A76B0">
        <w:rPr>
          <w:rFonts w:ascii="Times New Roman" w:eastAsia="Times New Roman" w:hAnsi="Times New Roman" w:cs="Times New Roman"/>
        </w:rPr>
        <w:t>h</w:t>
      </w:r>
      <w:r w:rsidR="7D4FDF97" w:rsidRPr="3E5D69E4">
        <w:rPr>
          <w:rFonts w:ascii="Times New Roman" w:eastAsia="Times New Roman" w:hAnsi="Times New Roman" w:cs="Times New Roman"/>
        </w:rPr>
        <w:t>igh (</w:t>
      </w:r>
      <w:r w:rsidR="7D361E8C" w:rsidRPr="3E5D69E4">
        <w:rPr>
          <w:rFonts w:ascii="Times New Roman" w:eastAsia="Times New Roman" w:hAnsi="Times New Roman" w:cs="Times New Roman"/>
        </w:rPr>
        <w:t>bachelor</w:t>
      </w:r>
      <w:r w:rsidR="003A76B0">
        <w:rPr>
          <w:rFonts w:ascii="Times New Roman" w:eastAsia="Times New Roman" w:hAnsi="Times New Roman" w:cs="Times New Roman"/>
        </w:rPr>
        <w:t>’</w:t>
      </w:r>
      <w:r w:rsidR="7D361E8C" w:rsidRPr="3E5D69E4">
        <w:rPr>
          <w:rFonts w:ascii="Times New Roman" w:eastAsia="Times New Roman" w:hAnsi="Times New Roman" w:cs="Times New Roman"/>
        </w:rPr>
        <w:t>s</w:t>
      </w:r>
      <w:r w:rsidR="7D4FDF97" w:rsidRPr="3E5D69E4">
        <w:rPr>
          <w:rFonts w:ascii="Times New Roman" w:eastAsia="Times New Roman" w:hAnsi="Times New Roman" w:cs="Times New Roman"/>
        </w:rPr>
        <w:t xml:space="preserve"> degree and </w:t>
      </w:r>
      <w:r w:rsidR="2DBEAF4C" w:rsidRPr="3E5D69E4">
        <w:rPr>
          <w:rFonts w:ascii="Times New Roman" w:eastAsia="Times New Roman" w:hAnsi="Times New Roman" w:cs="Times New Roman"/>
        </w:rPr>
        <w:t>beyond</w:t>
      </w:r>
      <w:r w:rsidR="002A639C">
        <w:rPr>
          <w:rFonts w:ascii="Times New Roman" w:eastAsia="Times New Roman" w:hAnsi="Times New Roman" w:cs="Times New Roman"/>
        </w:rPr>
        <w:t>, with numeric value 2 in the models</w:t>
      </w:r>
      <w:r w:rsidR="7D4FDF97" w:rsidRPr="3E5D69E4">
        <w:rPr>
          <w:rFonts w:ascii="Times New Roman" w:eastAsia="Times New Roman" w:hAnsi="Times New Roman" w:cs="Times New Roman"/>
        </w:rPr>
        <w:t xml:space="preserve">). </w:t>
      </w:r>
      <w:r w:rsidR="0093646F">
        <w:rPr>
          <w:rFonts w:ascii="Times New Roman" w:eastAsia="Times New Roman" w:hAnsi="Times New Roman" w:cs="Times New Roman"/>
        </w:rPr>
        <w:t>Cross-sectional</w:t>
      </w:r>
      <w:r w:rsidR="7D4FDF97" w:rsidRPr="3E5D69E4">
        <w:rPr>
          <w:rFonts w:ascii="Times New Roman" w:eastAsia="Times New Roman" w:hAnsi="Times New Roman" w:cs="Times New Roman"/>
        </w:rPr>
        <w:t xml:space="preserve"> sample weights were used</w:t>
      </w:r>
      <w:r w:rsidR="063588F0" w:rsidRPr="3E5D69E4">
        <w:rPr>
          <w:rFonts w:ascii="Times New Roman" w:eastAsia="Times New Roman" w:hAnsi="Times New Roman" w:cs="Times New Roman"/>
        </w:rPr>
        <w:t xml:space="preserve"> to make the trends comparable over time</w:t>
      </w:r>
      <w:r w:rsidR="7D4FDF97" w:rsidRPr="3E5D69E4">
        <w:rPr>
          <w:rFonts w:ascii="Times New Roman" w:eastAsia="Times New Roman" w:hAnsi="Times New Roman" w:cs="Times New Roman"/>
        </w:rPr>
        <w:t xml:space="preserve">. </w:t>
      </w:r>
      <w:r w:rsidR="009C2C29">
        <w:rPr>
          <w:rFonts w:ascii="Times New Roman" w:eastAsia="Times New Roman" w:hAnsi="Times New Roman" w:cs="Times New Roman"/>
        </w:rPr>
        <w:t>We used</w:t>
      </w:r>
      <w:r w:rsidR="00EA2CF4">
        <w:rPr>
          <w:rFonts w:ascii="Times New Roman" w:eastAsia="Times New Roman" w:hAnsi="Times New Roman" w:cs="Times New Roman"/>
        </w:rPr>
        <w:t xml:space="preserve"> the</w:t>
      </w:r>
      <w:r w:rsidR="009C2C29">
        <w:rPr>
          <w:rFonts w:ascii="Times New Roman" w:eastAsia="Times New Roman" w:hAnsi="Times New Roman" w:cs="Times New Roman"/>
        </w:rPr>
        <w:t xml:space="preserve"> R statistical software for our </w:t>
      </w:r>
      <w:r w:rsidR="00EA2CF4">
        <w:rPr>
          <w:rFonts w:ascii="Times New Roman" w:eastAsia="Times New Roman" w:hAnsi="Times New Roman" w:cs="Times New Roman"/>
        </w:rPr>
        <w:t xml:space="preserve">statistical </w:t>
      </w:r>
      <w:r w:rsidR="009C2C29">
        <w:rPr>
          <w:rFonts w:ascii="Times New Roman" w:eastAsia="Times New Roman" w:hAnsi="Times New Roman" w:cs="Times New Roman"/>
        </w:rPr>
        <w:t xml:space="preserve">analyses </w:t>
      </w:r>
      <w:r w:rsidR="007F4239">
        <w:rPr>
          <w:rFonts w:ascii="Times New Roman" w:eastAsia="Times New Roman" w:hAnsi="Times New Roman" w:cs="Times New Roman"/>
        </w:rPr>
        <w:fldChar w:fldCharType="begin"/>
      </w:r>
      <w:r w:rsidR="007F4239">
        <w:rPr>
          <w:rFonts w:ascii="Times New Roman" w:eastAsia="Times New Roman" w:hAnsi="Times New Roman" w:cs="Times New Roman"/>
        </w:rPr>
        <w:instrText xml:space="preserve"> ADDIN ZOTERO_ITEM CSL_CITATION {"citationID":"p6nyJkKL","properties":{"formattedCitation":"(R Core Team, 2015)","plainCitation":"(R Core Team, 2015)","noteIndex":0},"citationItems":[{"id":2620,"uris":["http://zotero.org/users/8991183/items/7SN74UBK"],"itemData":{"id":2620,"type":"software","event-place":"Vienna, Austria","publisher-place":"Vienna, Austria","title":"R: A Language and Environment for Statistical Computing. R Foundation for Statistical Computing","URL":"http://www.R-project.org/","author":[{"family":"R Core Team","given":""}],"issued":{"date-parts":[["2015"]]}}}],"schema":"https://github.com/citation-style-language/schema/raw/master/csl-citation.json"} </w:instrText>
      </w:r>
      <w:r w:rsidR="007F4239">
        <w:rPr>
          <w:rFonts w:ascii="Times New Roman" w:eastAsia="Times New Roman" w:hAnsi="Times New Roman" w:cs="Times New Roman"/>
        </w:rPr>
        <w:fldChar w:fldCharType="separate"/>
      </w:r>
      <w:r w:rsidR="007F4239" w:rsidRPr="007F4239">
        <w:rPr>
          <w:rFonts w:ascii="Times New Roman" w:hAnsi="Times New Roman" w:cs="Times New Roman"/>
        </w:rPr>
        <w:t>(R Core Team, 2015)</w:t>
      </w:r>
      <w:r w:rsidR="007F4239">
        <w:rPr>
          <w:rFonts w:ascii="Times New Roman" w:eastAsia="Times New Roman" w:hAnsi="Times New Roman" w:cs="Times New Roman"/>
        </w:rPr>
        <w:fldChar w:fldCharType="end"/>
      </w:r>
      <w:r w:rsidR="00EA2CF4">
        <w:rPr>
          <w:rFonts w:ascii="Times New Roman" w:eastAsia="Times New Roman" w:hAnsi="Times New Roman" w:cs="Times New Roman"/>
        </w:rPr>
        <w:t>.</w:t>
      </w:r>
    </w:p>
    <w:p w14:paraId="65E7C0E2" w14:textId="48159C25" w:rsidR="002D5AEF" w:rsidRDefault="002D5AEF" w:rsidP="00A12CF5">
      <w:pPr>
        <w:spacing w:after="0" w:line="480" w:lineRule="auto"/>
        <w:ind w:firstLine="720"/>
      </w:pPr>
    </w:p>
    <w:p w14:paraId="54C3E398" w14:textId="3A94D178" w:rsidR="002D5AEF" w:rsidRDefault="7D4FDF97" w:rsidP="00A12CF5">
      <w:pPr>
        <w:spacing w:after="0" w:line="480" w:lineRule="auto"/>
      </w:pPr>
      <w:r w:rsidRPr="00A12CF5">
        <w:rPr>
          <w:rFonts w:ascii="Times New Roman" w:eastAsia="Times New Roman" w:hAnsi="Times New Roman" w:cs="Times New Roman"/>
          <w:b/>
          <w:bCs/>
          <w:sz w:val="28"/>
          <w:szCs w:val="28"/>
        </w:rPr>
        <w:t>Results</w:t>
      </w:r>
    </w:p>
    <w:p w14:paraId="570AAF61" w14:textId="069F4B58" w:rsidR="002D5AEF" w:rsidRDefault="003A76B0" w:rsidP="00A12CF5">
      <w:pPr>
        <w:spacing w:after="0" w:line="480" w:lineRule="auto"/>
        <w:rPr>
          <w:rFonts w:ascii="Times New Roman" w:eastAsia="Times New Roman" w:hAnsi="Times New Roman" w:cs="Times New Roman"/>
        </w:rPr>
      </w:pPr>
      <w:r>
        <w:rPr>
          <w:rFonts w:ascii="Times New Roman" w:eastAsia="Times New Roman" w:hAnsi="Times New Roman" w:cs="Times New Roman"/>
        </w:rPr>
        <w:lastRenderedPageBreak/>
        <w:tab/>
        <w:t>Table 1 presents t</w:t>
      </w:r>
      <w:r w:rsidR="5443D416" w:rsidRPr="3E5D69E4">
        <w:rPr>
          <w:rFonts w:ascii="Times New Roman" w:eastAsia="Times New Roman" w:hAnsi="Times New Roman" w:cs="Times New Roman"/>
        </w:rPr>
        <w:t xml:space="preserve">he descriptive statistics </w:t>
      </w:r>
      <w:r>
        <w:rPr>
          <w:rFonts w:ascii="Times New Roman" w:eastAsia="Times New Roman" w:hAnsi="Times New Roman" w:cs="Times New Roman"/>
        </w:rPr>
        <w:t>for</w:t>
      </w:r>
      <w:r w:rsidRPr="3E5D69E4">
        <w:rPr>
          <w:rFonts w:ascii="Times New Roman" w:eastAsia="Times New Roman" w:hAnsi="Times New Roman" w:cs="Times New Roman"/>
        </w:rPr>
        <w:t xml:space="preserve"> </w:t>
      </w:r>
      <w:r w:rsidR="5443D416" w:rsidRPr="3E5D69E4">
        <w:rPr>
          <w:rFonts w:ascii="Times New Roman" w:eastAsia="Times New Roman" w:hAnsi="Times New Roman" w:cs="Times New Roman"/>
        </w:rPr>
        <w:t xml:space="preserve">some of the numeric variables </w:t>
      </w:r>
      <w:r>
        <w:rPr>
          <w:rFonts w:ascii="Times New Roman" w:eastAsia="Times New Roman" w:hAnsi="Times New Roman" w:cs="Times New Roman"/>
        </w:rPr>
        <w:t>in the sample</w:t>
      </w:r>
      <w:r w:rsidR="00F40B34">
        <w:rPr>
          <w:rFonts w:ascii="Times New Roman" w:eastAsia="Times New Roman" w:hAnsi="Times New Roman" w:cs="Times New Roman"/>
        </w:rPr>
        <w:t xml:space="preserve">, split </w:t>
      </w:r>
      <w:r w:rsidR="002A639C">
        <w:rPr>
          <w:rFonts w:ascii="Times New Roman" w:eastAsia="Times New Roman" w:hAnsi="Times New Roman" w:cs="Times New Roman"/>
        </w:rPr>
        <w:t xml:space="preserve">by decade and </w:t>
      </w:r>
      <w:r w:rsidR="00681E1F">
        <w:rPr>
          <w:rFonts w:ascii="Times New Roman" w:eastAsia="Times New Roman" w:hAnsi="Times New Roman" w:cs="Times New Roman"/>
        </w:rPr>
        <w:t>age group</w:t>
      </w:r>
      <w:r w:rsidR="00666170">
        <w:rPr>
          <w:rFonts w:ascii="Times New Roman" w:eastAsia="Times New Roman" w:hAnsi="Times New Roman" w:cs="Times New Roman"/>
        </w:rPr>
        <w:t xml:space="preserve">. Changes </w:t>
      </w:r>
      <w:r w:rsidR="00681E1F">
        <w:rPr>
          <w:rFonts w:ascii="Times New Roman" w:eastAsia="Times New Roman" w:hAnsi="Times New Roman" w:cs="Times New Roman"/>
        </w:rPr>
        <w:t>i</w:t>
      </w:r>
      <w:r w:rsidR="00666170">
        <w:rPr>
          <w:rFonts w:ascii="Times New Roman" w:eastAsia="Times New Roman" w:hAnsi="Times New Roman" w:cs="Times New Roman"/>
        </w:rPr>
        <w:t xml:space="preserve">n the population across </w:t>
      </w:r>
      <w:r w:rsidR="00D967BD">
        <w:rPr>
          <w:rFonts w:ascii="Times New Roman" w:eastAsia="Times New Roman" w:hAnsi="Times New Roman" w:cs="Times New Roman"/>
        </w:rPr>
        <w:t>the </w:t>
      </w:r>
      <w:r w:rsidR="00666170">
        <w:rPr>
          <w:rFonts w:ascii="Times New Roman" w:eastAsia="Times New Roman" w:hAnsi="Times New Roman" w:cs="Times New Roman"/>
        </w:rPr>
        <w:t xml:space="preserve">decade were minimal, with very similar values for </w:t>
      </w:r>
      <w:r w:rsidR="00DB032D">
        <w:rPr>
          <w:rFonts w:ascii="Times New Roman" w:eastAsia="Times New Roman" w:hAnsi="Times New Roman" w:cs="Times New Roman"/>
        </w:rPr>
        <w:t>the share of females</w:t>
      </w:r>
      <w:r w:rsidR="00D967BD">
        <w:rPr>
          <w:rFonts w:ascii="Times New Roman" w:eastAsia="Times New Roman" w:hAnsi="Times New Roman" w:cs="Times New Roman"/>
        </w:rPr>
        <w:t xml:space="preserve"> (53 to 54%</w:t>
      </w:r>
      <w:r w:rsidR="00FD1641">
        <w:rPr>
          <w:rFonts w:ascii="Times New Roman" w:eastAsia="Times New Roman" w:hAnsi="Times New Roman" w:cs="Times New Roman"/>
        </w:rPr>
        <w:t>)</w:t>
      </w:r>
      <w:r w:rsidR="00DB032D">
        <w:rPr>
          <w:rFonts w:ascii="Times New Roman" w:eastAsia="Times New Roman" w:hAnsi="Times New Roman" w:cs="Times New Roman"/>
        </w:rPr>
        <w:t>, average age</w:t>
      </w:r>
      <w:r w:rsidR="00FD1641">
        <w:rPr>
          <w:rFonts w:ascii="Times New Roman" w:eastAsia="Times New Roman" w:hAnsi="Times New Roman" w:cs="Times New Roman"/>
        </w:rPr>
        <w:t xml:space="preserve"> (62.9 and 62.6 years respectively)</w:t>
      </w:r>
      <w:r w:rsidR="00DB032D">
        <w:rPr>
          <w:rFonts w:ascii="Times New Roman" w:eastAsia="Times New Roman" w:hAnsi="Times New Roman" w:cs="Times New Roman"/>
        </w:rPr>
        <w:t xml:space="preserve">, </w:t>
      </w:r>
      <w:r w:rsidR="00F10FE4">
        <w:rPr>
          <w:rFonts w:ascii="Times New Roman" w:eastAsia="Times New Roman" w:hAnsi="Times New Roman" w:cs="Times New Roman"/>
        </w:rPr>
        <w:t xml:space="preserve">average </w:t>
      </w:r>
      <w:r w:rsidR="00DB032D">
        <w:rPr>
          <w:rFonts w:ascii="Times New Roman" w:eastAsia="Times New Roman" w:hAnsi="Times New Roman" w:cs="Times New Roman"/>
        </w:rPr>
        <w:t>prevalence of ADL and IADL limitations</w:t>
      </w:r>
      <w:r w:rsidR="00FD1641">
        <w:rPr>
          <w:rFonts w:ascii="Times New Roman" w:eastAsia="Times New Roman" w:hAnsi="Times New Roman" w:cs="Times New Roman"/>
        </w:rPr>
        <w:t xml:space="preserve"> (3</w:t>
      </w:r>
      <w:r w:rsidR="00034466">
        <w:rPr>
          <w:rFonts w:ascii="Times New Roman" w:eastAsia="Times New Roman" w:hAnsi="Times New Roman" w:cs="Times New Roman"/>
        </w:rPr>
        <w:t>%</w:t>
      </w:r>
      <w:r w:rsidR="00F10FE4">
        <w:rPr>
          <w:rFonts w:ascii="Times New Roman" w:eastAsia="Times New Roman" w:hAnsi="Times New Roman" w:cs="Times New Roman"/>
        </w:rPr>
        <w:t xml:space="preserve"> </w:t>
      </w:r>
      <w:r w:rsidR="00FD1641">
        <w:rPr>
          <w:rFonts w:ascii="Times New Roman" w:eastAsia="Times New Roman" w:hAnsi="Times New Roman" w:cs="Times New Roman"/>
        </w:rPr>
        <w:t>and 6</w:t>
      </w:r>
      <w:r w:rsidR="00034466">
        <w:rPr>
          <w:rFonts w:ascii="Times New Roman" w:eastAsia="Times New Roman" w:hAnsi="Times New Roman" w:cs="Times New Roman"/>
        </w:rPr>
        <w:t>%, respectively)</w:t>
      </w:r>
      <w:r w:rsidR="00DB032D">
        <w:rPr>
          <w:rFonts w:ascii="Times New Roman" w:eastAsia="Times New Roman" w:hAnsi="Times New Roman" w:cs="Times New Roman"/>
        </w:rPr>
        <w:t>, average educational attainment</w:t>
      </w:r>
      <w:r w:rsidR="00034466">
        <w:rPr>
          <w:rFonts w:ascii="Times New Roman" w:eastAsia="Times New Roman" w:hAnsi="Times New Roman" w:cs="Times New Roman"/>
        </w:rPr>
        <w:t xml:space="preserve"> (1.13 to 1.01)</w:t>
      </w:r>
      <w:r w:rsidR="00DB032D">
        <w:rPr>
          <w:rFonts w:ascii="Times New Roman" w:eastAsia="Times New Roman" w:hAnsi="Times New Roman" w:cs="Times New Roman"/>
        </w:rPr>
        <w:t xml:space="preserve"> and the share of U.S. born population </w:t>
      </w:r>
      <w:r w:rsidR="00034466">
        <w:rPr>
          <w:rFonts w:ascii="Times New Roman" w:eastAsia="Times New Roman" w:hAnsi="Times New Roman" w:cs="Times New Roman"/>
        </w:rPr>
        <w:t>(87% in each decade)</w:t>
      </w:r>
      <w:r>
        <w:rPr>
          <w:rFonts w:ascii="Times New Roman" w:eastAsia="Times New Roman" w:hAnsi="Times New Roman" w:cs="Times New Roman"/>
        </w:rPr>
        <w:t>.</w:t>
      </w:r>
      <w:r w:rsidR="7D4FDF97" w:rsidRPr="3E5D69E4">
        <w:rPr>
          <w:rFonts w:ascii="Times New Roman" w:eastAsia="Times New Roman" w:hAnsi="Times New Roman" w:cs="Times New Roman"/>
        </w:rPr>
        <w:t xml:space="preserve"> </w:t>
      </w:r>
      <w:r w:rsidR="6425A731" w:rsidRPr="3E5D69E4">
        <w:rPr>
          <w:rFonts w:ascii="Times New Roman" w:eastAsia="Times New Roman" w:hAnsi="Times New Roman" w:cs="Times New Roman"/>
        </w:rPr>
        <w:t>Regarding</w:t>
      </w:r>
      <w:r w:rsidR="7D4FDF97" w:rsidRPr="3E5D69E4">
        <w:rPr>
          <w:rFonts w:ascii="Times New Roman" w:eastAsia="Times New Roman" w:hAnsi="Times New Roman" w:cs="Times New Roman"/>
        </w:rPr>
        <w:t xml:space="preserve"> race and ethnicity, 69% of the sample was </w:t>
      </w:r>
      <w:r>
        <w:rPr>
          <w:rFonts w:ascii="Times New Roman" w:eastAsia="Times New Roman" w:hAnsi="Times New Roman" w:cs="Times New Roman"/>
        </w:rPr>
        <w:t>non-Hispanic</w:t>
      </w:r>
      <w:r w:rsidRPr="3E5D69E4">
        <w:rPr>
          <w:rFonts w:ascii="Times New Roman" w:eastAsia="Times New Roman" w:hAnsi="Times New Roman" w:cs="Times New Roman"/>
        </w:rPr>
        <w:t xml:space="preserve"> </w:t>
      </w:r>
      <w:r w:rsidR="7D4FDF97" w:rsidRPr="3E5D69E4">
        <w:rPr>
          <w:rFonts w:ascii="Times New Roman" w:eastAsia="Times New Roman" w:hAnsi="Times New Roman" w:cs="Times New Roman"/>
        </w:rPr>
        <w:t>White, 12</w:t>
      </w:r>
      <w:r>
        <w:rPr>
          <w:rFonts w:ascii="Times New Roman" w:eastAsia="Times New Roman" w:hAnsi="Times New Roman" w:cs="Times New Roman"/>
        </w:rPr>
        <w:t>.</w:t>
      </w:r>
      <w:r w:rsidR="7D4FDF97" w:rsidRPr="3E5D69E4">
        <w:rPr>
          <w:rFonts w:ascii="Times New Roman" w:eastAsia="Times New Roman" w:hAnsi="Times New Roman" w:cs="Times New Roman"/>
        </w:rPr>
        <w:t xml:space="preserve">2% </w:t>
      </w:r>
      <w:r>
        <w:rPr>
          <w:rFonts w:ascii="Times New Roman" w:eastAsia="Times New Roman" w:hAnsi="Times New Roman" w:cs="Times New Roman"/>
        </w:rPr>
        <w:t>non-Hispanic</w:t>
      </w:r>
      <w:r w:rsidRPr="3E5D69E4">
        <w:rPr>
          <w:rFonts w:ascii="Times New Roman" w:eastAsia="Times New Roman" w:hAnsi="Times New Roman" w:cs="Times New Roman"/>
        </w:rPr>
        <w:t xml:space="preserve"> </w:t>
      </w:r>
      <w:r w:rsidR="7D4FDF97" w:rsidRPr="3E5D69E4">
        <w:rPr>
          <w:rFonts w:ascii="Times New Roman" w:eastAsia="Times New Roman" w:hAnsi="Times New Roman" w:cs="Times New Roman"/>
        </w:rPr>
        <w:t xml:space="preserve">Black, </w:t>
      </w:r>
      <w:r>
        <w:rPr>
          <w:rFonts w:ascii="Times New Roman" w:eastAsia="Times New Roman" w:hAnsi="Times New Roman" w:cs="Times New Roman"/>
        </w:rPr>
        <w:t xml:space="preserve">and </w:t>
      </w:r>
      <w:r w:rsidR="7D4FDF97" w:rsidRPr="3E5D69E4">
        <w:rPr>
          <w:rFonts w:ascii="Times New Roman" w:eastAsia="Times New Roman" w:hAnsi="Times New Roman" w:cs="Times New Roman"/>
        </w:rPr>
        <w:t xml:space="preserve">6.4% and 12.4% Hispanic. </w:t>
      </w:r>
    </w:p>
    <w:p w14:paraId="7DAB1CDD" w14:textId="77777777" w:rsidR="00C43FE5" w:rsidRDefault="00C43FE5" w:rsidP="00A12CF5">
      <w:pPr>
        <w:spacing w:after="0" w:line="480" w:lineRule="auto"/>
        <w:rPr>
          <w:rFonts w:ascii="Times New Roman" w:eastAsia="Times New Roman" w:hAnsi="Times New Roman" w:cs="Times New Roman"/>
        </w:rPr>
      </w:pPr>
    </w:p>
    <w:p w14:paraId="1AEF5000" w14:textId="6F891F7D" w:rsidR="00C43FE5" w:rsidRPr="00274B15" w:rsidRDefault="00C43FE5" w:rsidP="00C43FE5">
      <w:pPr>
        <w:rPr>
          <w:sz w:val="22"/>
          <w:szCs w:val="22"/>
        </w:rPr>
      </w:pPr>
      <w:r>
        <w:rPr>
          <w:rFonts w:ascii="Times New Roman" w:eastAsia="Times New Roman" w:hAnsi="Times New Roman" w:cs="Times New Roman"/>
        </w:rPr>
        <w:t xml:space="preserve">Table 1: </w:t>
      </w:r>
      <w:r w:rsidRPr="00274B15">
        <w:rPr>
          <w:rFonts w:ascii="Times New Roman" w:eastAsia="Times New Roman" w:hAnsi="Times New Roman" w:cs="Times New Roman"/>
          <w:sz w:val="22"/>
          <w:szCs w:val="22"/>
          <w:u w:val="single"/>
        </w:rPr>
        <w:t>Descriptive characteristics of the sample</w:t>
      </w:r>
      <w:r>
        <w:rPr>
          <w:rFonts w:ascii="Times New Roman" w:eastAsia="Times New Roman" w:hAnsi="Times New Roman" w:cs="Times New Roman"/>
          <w:sz w:val="22"/>
          <w:szCs w:val="22"/>
          <w:u w:val="single"/>
        </w:rPr>
        <w:t xml:space="preserve"> by decade and age group</w:t>
      </w:r>
    </w:p>
    <w:p w14:paraId="5A6658EE" w14:textId="69DCDC0D" w:rsidR="005A0BE7" w:rsidRDefault="005A0BE7" w:rsidP="00A12CF5">
      <w:pPr>
        <w:spacing w:after="0" w:line="480" w:lineRule="auto"/>
        <w:rPr>
          <w:rFonts w:ascii="Times New Roman" w:eastAsia="Times New Roman" w:hAnsi="Times New Roman" w:cs="Times New Roman"/>
        </w:rPr>
      </w:pPr>
    </w:p>
    <w:p w14:paraId="54964905" w14:textId="2BCF7F50" w:rsidR="00FF5298" w:rsidRDefault="00FF5298" w:rsidP="00FF529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are variable trends based on the results of Tables 2-4 (which can also be observed in Figures 1-6). </w:t>
      </w:r>
      <w:r w:rsidRPr="67C8E18F">
        <w:rPr>
          <w:rFonts w:ascii="Times New Roman" w:eastAsia="Times New Roman" w:hAnsi="Times New Roman" w:cs="Times New Roman"/>
        </w:rPr>
        <w:t xml:space="preserve">Overall, </w:t>
      </w:r>
      <w:r>
        <w:rPr>
          <w:rFonts w:ascii="Times New Roman" w:eastAsia="Times New Roman" w:hAnsi="Times New Roman" w:cs="Times New Roman"/>
        </w:rPr>
        <w:t>women</w:t>
      </w:r>
      <w:r w:rsidRPr="67C8E18F">
        <w:rPr>
          <w:rFonts w:ascii="Times New Roman" w:eastAsia="Times New Roman" w:hAnsi="Times New Roman" w:cs="Times New Roman"/>
        </w:rPr>
        <w:t xml:space="preserve"> presented a higher prevalence of functional limitations than </w:t>
      </w:r>
      <w:r>
        <w:rPr>
          <w:rFonts w:ascii="Times New Roman" w:eastAsia="Times New Roman" w:hAnsi="Times New Roman" w:cs="Times New Roman"/>
        </w:rPr>
        <w:t>men</w:t>
      </w:r>
      <w:r w:rsidRPr="67C8E18F">
        <w:rPr>
          <w:rFonts w:ascii="Times New Roman" w:eastAsia="Times New Roman" w:hAnsi="Times New Roman" w:cs="Times New Roman"/>
        </w:rPr>
        <w:t xml:space="preserve">), and </w:t>
      </w:r>
      <w:r>
        <w:rPr>
          <w:rFonts w:ascii="Times New Roman" w:eastAsia="Times New Roman" w:hAnsi="Times New Roman" w:cs="Times New Roman"/>
        </w:rPr>
        <w:t xml:space="preserve">non-Hispanic Blacks </w:t>
      </w:r>
      <w:r w:rsidRPr="67C8E18F">
        <w:rPr>
          <w:rFonts w:ascii="Times New Roman" w:eastAsia="Times New Roman" w:hAnsi="Times New Roman" w:cs="Times New Roman"/>
        </w:rPr>
        <w:t xml:space="preserve">presented the highest prevalence in most cases. </w:t>
      </w:r>
    </w:p>
    <w:p w14:paraId="1F668BC0" w14:textId="1C301BA0" w:rsidR="002D5AEF" w:rsidRDefault="00060DEC" w:rsidP="00400CA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Table 2 </w:t>
      </w:r>
      <w:r w:rsidR="67A5AB0C" w:rsidRPr="5996E1DC">
        <w:rPr>
          <w:rFonts w:ascii="Times New Roman" w:eastAsia="Times New Roman" w:hAnsi="Times New Roman" w:cs="Times New Roman"/>
        </w:rPr>
        <w:t>present</w:t>
      </w:r>
      <w:r w:rsidR="00111E69">
        <w:rPr>
          <w:rFonts w:ascii="Times New Roman" w:eastAsia="Times New Roman" w:hAnsi="Times New Roman" w:cs="Times New Roman"/>
        </w:rPr>
        <w:t>s</w:t>
      </w:r>
      <w:r w:rsidR="7D4FDF97" w:rsidRPr="5996E1DC">
        <w:rPr>
          <w:rFonts w:ascii="Times New Roman" w:eastAsia="Times New Roman" w:hAnsi="Times New Roman" w:cs="Times New Roman"/>
        </w:rPr>
        <w:t xml:space="preserve"> the predicted probabilities </w:t>
      </w:r>
      <w:r w:rsidR="7EC706D0" w:rsidRPr="5996E1DC">
        <w:rPr>
          <w:rFonts w:ascii="Times New Roman" w:eastAsia="Times New Roman" w:hAnsi="Times New Roman" w:cs="Times New Roman"/>
        </w:rPr>
        <w:t xml:space="preserve">for </w:t>
      </w:r>
      <w:r w:rsidR="00D866E1">
        <w:rPr>
          <w:rFonts w:ascii="Times New Roman" w:eastAsia="Times New Roman" w:hAnsi="Times New Roman" w:cs="Times New Roman"/>
        </w:rPr>
        <w:t xml:space="preserve">the prevalence of </w:t>
      </w:r>
      <w:r w:rsidR="7D4FDF97" w:rsidRPr="5996E1DC">
        <w:rPr>
          <w:rFonts w:ascii="Times New Roman" w:eastAsia="Times New Roman" w:hAnsi="Times New Roman" w:cs="Times New Roman"/>
        </w:rPr>
        <w:t xml:space="preserve">ADL </w:t>
      </w:r>
      <w:r w:rsidR="320BE47F" w:rsidRPr="5996E1DC">
        <w:rPr>
          <w:rFonts w:ascii="Times New Roman" w:eastAsia="Times New Roman" w:hAnsi="Times New Roman" w:cs="Times New Roman"/>
        </w:rPr>
        <w:t xml:space="preserve">and IADL </w:t>
      </w:r>
      <w:r w:rsidR="00D866E1">
        <w:rPr>
          <w:rFonts w:ascii="Times New Roman" w:eastAsia="Times New Roman" w:hAnsi="Times New Roman" w:cs="Times New Roman"/>
        </w:rPr>
        <w:t>limitations</w:t>
      </w:r>
      <w:r w:rsidR="00D866E1" w:rsidRPr="5996E1DC">
        <w:rPr>
          <w:rFonts w:ascii="Times New Roman" w:eastAsia="Times New Roman" w:hAnsi="Times New Roman" w:cs="Times New Roman"/>
        </w:rPr>
        <w:t xml:space="preserve"> </w:t>
      </w:r>
      <w:r w:rsidR="7D4FDF97" w:rsidRPr="5996E1DC">
        <w:rPr>
          <w:rFonts w:ascii="Times New Roman" w:eastAsia="Times New Roman" w:hAnsi="Times New Roman" w:cs="Times New Roman"/>
        </w:rPr>
        <w:t>by race</w:t>
      </w:r>
      <w:r w:rsidR="48FA6999" w:rsidRPr="5996E1DC">
        <w:rPr>
          <w:rFonts w:ascii="Times New Roman" w:eastAsia="Times New Roman" w:hAnsi="Times New Roman" w:cs="Times New Roman"/>
        </w:rPr>
        <w:t xml:space="preserve"> </w:t>
      </w:r>
      <w:r>
        <w:rPr>
          <w:rFonts w:ascii="Times New Roman" w:eastAsia="Times New Roman" w:hAnsi="Times New Roman" w:cs="Times New Roman"/>
        </w:rPr>
        <w:t>and ethnicity</w:t>
      </w:r>
      <w:r w:rsidR="005D2BB4">
        <w:rPr>
          <w:rFonts w:ascii="Times New Roman" w:eastAsia="Times New Roman" w:hAnsi="Times New Roman" w:cs="Times New Roman"/>
        </w:rPr>
        <w:t xml:space="preserve"> from </w:t>
      </w:r>
      <w:r w:rsidR="007561C4">
        <w:rPr>
          <w:rFonts w:ascii="Times New Roman" w:eastAsia="Times New Roman" w:hAnsi="Times New Roman" w:cs="Times New Roman"/>
        </w:rPr>
        <w:t>the </w:t>
      </w:r>
      <w:r w:rsidR="005D2BB4">
        <w:rPr>
          <w:rFonts w:ascii="Times New Roman" w:eastAsia="Times New Roman" w:hAnsi="Times New Roman" w:cs="Times New Roman"/>
        </w:rPr>
        <w:t xml:space="preserve">year </w:t>
      </w:r>
      <w:r w:rsidR="00D866E1">
        <w:rPr>
          <w:rFonts w:ascii="Times New Roman" w:eastAsia="Times New Roman" w:hAnsi="Times New Roman" w:cs="Times New Roman"/>
        </w:rPr>
        <w:t>2000</w:t>
      </w:r>
      <w:r w:rsidR="00494AFC">
        <w:rPr>
          <w:rFonts w:ascii="Times New Roman" w:eastAsia="Times New Roman" w:hAnsi="Times New Roman" w:cs="Times New Roman"/>
        </w:rPr>
        <w:t xml:space="preserve"> </w:t>
      </w:r>
      <w:r w:rsidR="007561C4">
        <w:rPr>
          <w:rFonts w:ascii="Times New Roman" w:eastAsia="Times New Roman" w:hAnsi="Times New Roman" w:cs="Times New Roman"/>
        </w:rPr>
        <w:t xml:space="preserve">and the predicted trends across </w:t>
      </w:r>
      <w:r w:rsidR="00FF5298">
        <w:rPr>
          <w:rFonts w:ascii="Times New Roman" w:eastAsia="Times New Roman" w:hAnsi="Times New Roman" w:cs="Times New Roman"/>
        </w:rPr>
        <w:t>the </w:t>
      </w:r>
      <w:r w:rsidR="007561C4">
        <w:rPr>
          <w:rFonts w:ascii="Times New Roman" w:eastAsia="Times New Roman" w:hAnsi="Times New Roman" w:cs="Times New Roman"/>
        </w:rPr>
        <w:t>decade for the age group 50-64</w:t>
      </w:r>
      <w:r w:rsidR="7D4FDF97" w:rsidRPr="5996E1DC">
        <w:rPr>
          <w:rFonts w:ascii="Times New Roman" w:eastAsia="Times New Roman" w:hAnsi="Times New Roman" w:cs="Times New Roman"/>
        </w:rPr>
        <w:t xml:space="preserve">, stratified by </w:t>
      </w:r>
      <w:r w:rsidR="7866A49A" w:rsidRPr="5996E1DC">
        <w:rPr>
          <w:rFonts w:ascii="Times New Roman" w:eastAsia="Times New Roman" w:hAnsi="Times New Roman" w:cs="Times New Roman"/>
        </w:rPr>
        <w:t>sex</w:t>
      </w:r>
      <w:r w:rsidR="007561C4">
        <w:rPr>
          <w:rFonts w:ascii="Times New Roman" w:eastAsia="Times New Roman" w:hAnsi="Times New Roman" w:cs="Times New Roman"/>
        </w:rPr>
        <w:t xml:space="preserve"> and the predicted trends across</w:t>
      </w:r>
      <w:r w:rsidR="0008510A">
        <w:rPr>
          <w:rFonts w:ascii="Times New Roman" w:eastAsia="Times New Roman" w:hAnsi="Times New Roman" w:cs="Times New Roman"/>
        </w:rPr>
        <w:t xml:space="preserve"> each</w:t>
      </w:r>
      <w:r w:rsidR="00FF5298">
        <w:rPr>
          <w:rFonts w:ascii="Times New Roman" w:eastAsia="Times New Roman" w:hAnsi="Times New Roman" w:cs="Times New Roman"/>
        </w:rPr>
        <w:t> </w:t>
      </w:r>
      <w:r w:rsidR="007561C4">
        <w:rPr>
          <w:rFonts w:ascii="Times New Roman" w:eastAsia="Times New Roman" w:hAnsi="Times New Roman" w:cs="Times New Roman"/>
        </w:rPr>
        <w:t>decade</w:t>
      </w:r>
      <w:r w:rsidR="00817248">
        <w:rPr>
          <w:rFonts w:ascii="Times New Roman" w:eastAsia="Times New Roman" w:hAnsi="Times New Roman" w:cs="Times New Roman"/>
        </w:rPr>
        <w:t>.</w:t>
      </w:r>
      <w:r w:rsidR="2BBD8EDE" w:rsidRPr="5996E1DC">
        <w:rPr>
          <w:rFonts w:ascii="Times New Roman" w:eastAsia="Times New Roman" w:hAnsi="Times New Roman" w:cs="Times New Roman"/>
        </w:rPr>
        <w:t xml:space="preserve"> </w:t>
      </w:r>
      <w:r w:rsidR="00817248">
        <w:rPr>
          <w:rFonts w:ascii="Times New Roman" w:eastAsia="Times New Roman" w:hAnsi="Times New Roman" w:cs="Times New Roman"/>
        </w:rPr>
        <w:t xml:space="preserve">These predictions were </w:t>
      </w:r>
      <w:r w:rsidR="2BBD8EDE" w:rsidRPr="5996E1DC">
        <w:rPr>
          <w:rFonts w:ascii="Times New Roman" w:eastAsia="Times New Roman" w:hAnsi="Times New Roman" w:cs="Times New Roman"/>
        </w:rPr>
        <w:t xml:space="preserve">based on the results </w:t>
      </w:r>
      <w:r w:rsidR="001D672F">
        <w:rPr>
          <w:rFonts w:ascii="Times New Roman" w:eastAsia="Times New Roman" w:hAnsi="Times New Roman" w:cs="Times New Roman"/>
        </w:rPr>
        <w:t>from</w:t>
      </w:r>
      <w:r w:rsidR="2BBD8EDE" w:rsidRPr="5996E1DC">
        <w:rPr>
          <w:rFonts w:ascii="Times New Roman" w:eastAsia="Times New Roman" w:hAnsi="Times New Roman" w:cs="Times New Roman"/>
        </w:rPr>
        <w:t xml:space="preserve"> models 1 </w:t>
      </w:r>
      <w:r w:rsidR="00111E69">
        <w:rPr>
          <w:rFonts w:ascii="Times New Roman" w:eastAsia="Times New Roman" w:hAnsi="Times New Roman" w:cs="Times New Roman"/>
        </w:rPr>
        <w:t xml:space="preserve">to </w:t>
      </w:r>
      <w:r w:rsidR="0013236C">
        <w:rPr>
          <w:rFonts w:ascii="Times New Roman" w:eastAsia="Times New Roman" w:hAnsi="Times New Roman" w:cs="Times New Roman"/>
        </w:rPr>
        <w:t>12</w:t>
      </w:r>
      <w:r w:rsidR="66020AE7" w:rsidRPr="5996E1DC">
        <w:rPr>
          <w:rFonts w:ascii="Times New Roman" w:eastAsia="Times New Roman" w:hAnsi="Times New Roman" w:cs="Times New Roman"/>
        </w:rPr>
        <w:t xml:space="preserve"> (the coefficients for the models </w:t>
      </w:r>
      <w:r w:rsidR="001D672F">
        <w:rPr>
          <w:rFonts w:ascii="Times New Roman" w:eastAsia="Times New Roman" w:hAnsi="Times New Roman" w:cs="Times New Roman"/>
        </w:rPr>
        <w:t>are available</w:t>
      </w:r>
      <w:r w:rsidR="66020AE7" w:rsidRPr="5996E1DC">
        <w:rPr>
          <w:rFonts w:ascii="Times New Roman" w:eastAsia="Times New Roman" w:hAnsi="Times New Roman" w:cs="Times New Roman"/>
        </w:rPr>
        <w:t xml:space="preserve"> in the </w:t>
      </w:r>
      <w:r>
        <w:rPr>
          <w:rFonts w:ascii="Times New Roman" w:eastAsia="Times New Roman" w:hAnsi="Times New Roman" w:cs="Times New Roman"/>
        </w:rPr>
        <w:t>supplementary material</w:t>
      </w:r>
      <w:r w:rsidR="009445BA">
        <w:rPr>
          <w:rFonts w:ascii="Times New Roman" w:eastAsia="Times New Roman" w:hAnsi="Times New Roman" w:cs="Times New Roman"/>
        </w:rPr>
        <w:t xml:space="preserve">, along with </w:t>
      </w:r>
      <w:r w:rsidR="009445BA" w:rsidRPr="5996E1DC">
        <w:rPr>
          <w:rFonts w:ascii="Times New Roman" w:eastAsia="Times New Roman" w:hAnsi="Times New Roman" w:cs="Times New Roman"/>
        </w:rPr>
        <w:t xml:space="preserve">Figures 1 to </w:t>
      </w:r>
      <w:r w:rsidR="0008454F">
        <w:rPr>
          <w:rFonts w:ascii="Times New Roman" w:eastAsia="Times New Roman" w:hAnsi="Times New Roman" w:cs="Times New Roman"/>
        </w:rPr>
        <w:t>3</w:t>
      </w:r>
      <w:r w:rsidR="001D672F">
        <w:rPr>
          <w:rFonts w:ascii="Times New Roman" w:eastAsia="Times New Roman" w:hAnsi="Times New Roman" w:cs="Times New Roman"/>
        </w:rPr>
        <w:t>, which</w:t>
      </w:r>
      <w:r w:rsidR="009445BA">
        <w:rPr>
          <w:rFonts w:ascii="Times New Roman" w:eastAsia="Times New Roman" w:hAnsi="Times New Roman" w:cs="Times New Roman"/>
        </w:rPr>
        <w:t xml:space="preserve"> highlight the </w:t>
      </w:r>
      <w:r w:rsidR="001D672F">
        <w:rPr>
          <w:rFonts w:ascii="Times New Roman" w:eastAsia="Times New Roman" w:hAnsi="Times New Roman" w:cs="Times New Roman"/>
        </w:rPr>
        <w:t xml:space="preserve">overall </w:t>
      </w:r>
      <w:r w:rsidR="009445BA">
        <w:rPr>
          <w:rFonts w:ascii="Times New Roman" w:eastAsia="Times New Roman" w:hAnsi="Times New Roman" w:cs="Times New Roman"/>
        </w:rPr>
        <w:t>trend</w:t>
      </w:r>
      <w:r>
        <w:rPr>
          <w:rFonts w:ascii="Times New Roman" w:eastAsia="Times New Roman" w:hAnsi="Times New Roman" w:cs="Times New Roman"/>
        </w:rPr>
        <w:t>).</w:t>
      </w:r>
      <w:r w:rsidR="42EE6505" w:rsidRPr="5996E1DC">
        <w:rPr>
          <w:rFonts w:ascii="Times New Roman" w:eastAsia="Times New Roman" w:hAnsi="Times New Roman" w:cs="Times New Roman"/>
        </w:rPr>
        <w:t xml:space="preserve"> </w:t>
      </w:r>
      <w:r w:rsidR="424FB53A" w:rsidRPr="5996E1DC">
        <w:rPr>
          <w:rFonts w:ascii="Times New Roman" w:eastAsia="Times New Roman" w:hAnsi="Times New Roman" w:cs="Times New Roman"/>
        </w:rPr>
        <w:t>While</w:t>
      </w:r>
      <w:r w:rsidR="3D4D77B2" w:rsidRPr="5996E1DC">
        <w:rPr>
          <w:rFonts w:ascii="Times New Roman" w:eastAsia="Times New Roman" w:hAnsi="Times New Roman" w:cs="Times New Roman"/>
        </w:rPr>
        <w:t xml:space="preserve"> th</w:t>
      </w:r>
      <w:r w:rsidR="00817248">
        <w:rPr>
          <w:rFonts w:ascii="Times New Roman" w:eastAsia="Times New Roman" w:hAnsi="Times New Roman" w:cs="Times New Roman"/>
        </w:rPr>
        <w:t>e</w:t>
      </w:r>
      <w:r w:rsidR="3D4D77B2" w:rsidRPr="5996E1DC">
        <w:rPr>
          <w:rFonts w:ascii="Times New Roman" w:eastAsia="Times New Roman" w:hAnsi="Times New Roman" w:cs="Times New Roman"/>
        </w:rPr>
        <w:t xml:space="preserve">se </w:t>
      </w:r>
      <w:r w:rsidR="424FB53A" w:rsidRPr="5996E1DC">
        <w:rPr>
          <w:rFonts w:ascii="Times New Roman" w:eastAsia="Times New Roman" w:hAnsi="Times New Roman" w:cs="Times New Roman"/>
        </w:rPr>
        <w:t>models</w:t>
      </w:r>
      <w:r w:rsidR="6527429A" w:rsidRPr="5996E1DC">
        <w:rPr>
          <w:rFonts w:ascii="Times New Roman" w:eastAsia="Times New Roman" w:hAnsi="Times New Roman" w:cs="Times New Roman"/>
        </w:rPr>
        <w:t xml:space="preserve"> also</w:t>
      </w:r>
      <w:r w:rsidR="424FB53A" w:rsidRPr="5996E1DC">
        <w:rPr>
          <w:rFonts w:ascii="Times New Roman" w:eastAsia="Times New Roman" w:hAnsi="Times New Roman" w:cs="Times New Roman"/>
        </w:rPr>
        <w:t xml:space="preserve"> controlled </w:t>
      </w:r>
      <w:r w:rsidR="00817248">
        <w:rPr>
          <w:rFonts w:ascii="Times New Roman" w:eastAsia="Times New Roman" w:hAnsi="Times New Roman" w:cs="Times New Roman"/>
        </w:rPr>
        <w:t>for</w:t>
      </w:r>
      <w:r w:rsidR="00817248" w:rsidRPr="5996E1DC">
        <w:rPr>
          <w:rFonts w:ascii="Times New Roman" w:eastAsia="Times New Roman" w:hAnsi="Times New Roman" w:cs="Times New Roman"/>
        </w:rPr>
        <w:t xml:space="preserve"> </w:t>
      </w:r>
      <w:r w:rsidR="424FB53A" w:rsidRPr="5996E1DC">
        <w:rPr>
          <w:rFonts w:ascii="Times New Roman" w:eastAsia="Times New Roman" w:hAnsi="Times New Roman" w:cs="Times New Roman"/>
        </w:rPr>
        <w:t>nativity and educational attainment, we</w:t>
      </w:r>
      <w:r w:rsidR="003CDE2B" w:rsidRPr="5996E1DC">
        <w:rPr>
          <w:rFonts w:ascii="Times New Roman" w:eastAsia="Times New Roman" w:hAnsi="Times New Roman" w:cs="Times New Roman"/>
        </w:rPr>
        <w:t xml:space="preserve"> </w:t>
      </w:r>
      <w:r w:rsidR="00817248">
        <w:rPr>
          <w:rFonts w:ascii="Times New Roman" w:eastAsia="Times New Roman" w:hAnsi="Times New Roman" w:cs="Times New Roman"/>
        </w:rPr>
        <w:t>estimated the marginal probabilities based on</w:t>
      </w:r>
      <w:r w:rsidR="45E51BA5" w:rsidRPr="5996E1DC">
        <w:rPr>
          <w:rFonts w:ascii="Times New Roman" w:eastAsia="Times New Roman" w:hAnsi="Times New Roman" w:cs="Times New Roman"/>
        </w:rPr>
        <w:t xml:space="preserve"> the average values of th</w:t>
      </w:r>
      <w:r w:rsidR="00817248">
        <w:rPr>
          <w:rFonts w:ascii="Times New Roman" w:eastAsia="Times New Roman" w:hAnsi="Times New Roman" w:cs="Times New Roman"/>
        </w:rPr>
        <w:t>e</w:t>
      </w:r>
      <w:r w:rsidR="45E51BA5" w:rsidRPr="5996E1DC">
        <w:rPr>
          <w:rFonts w:ascii="Times New Roman" w:eastAsia="Times New Roman" w:hAnsi="Times New Roman" w:cs="Times New Roman"/>
        </w:rPr>
        <w:t>se covariates</w:t>
      </w:r>
      <w:r w:rsidR="00817248">
        <w:rPr>
          <w:rFonts w:ascii="Times New Roman" w:eastAsia="Times New Roman" w:hAnsi="Times New Roman" w:cs="Times New Roman"/>
        </w:rPr>
        <w:t xml:space="preserve">, </w:t>
      </w:r>
      <w:r w:rsidR="00355305">
        <w:rPr>
          <w:rFonts w:ascii="Times New Roman" w:eastAsia="Times New Roman" w:hAnsi="Times New Roman" w:cs="Times New Roman"/>
        </w:rPr>
        <w:t>as shown in</w:t>
      </w:r>
      <w:r w:rsidR="0008454F">
        <w:rPr>
          <w:rFonts w:ascii="Times New Roman" w:eastAsia="Times New Roman" w:hAnsi="Times New Roman" w:cs="Times New Roman"/>
        </w:rPr>
        <w:t xml:space="preserve"> the </w:t>
      </w:r>
      <w:r w:rsidR="00817248">
        <w:rPr>
          <w:rFonts w:ascii="Times New Roman" w:eastAsia="Times New Roman" w:hAnsi="Times New Roman" w:cs="Times New Roman"/>
        </w:rPr>
        <w:t>T</w:t>
      </w:r>
      <w:r w:rsidR="00355305">
        <w:rPr>
          <w:rFonts w:ascii="Times New Roman" w:eastAsia="Times New Roman" w:hAnsi="Times New Roman" w:cs="Times New Roman"/>
        </w:rPr>
        <w:t>able. We presented the</w:t>
      </w:r>
      <w:r w:rsidR="00034466">
        <w:rPr>
          <w:rFonts w:ascii="Times New Roman" w:eastAsia="Times New Roman" w:hAnsi="Times New Roman" w:cs="Times New Roman"/>
        </w:rPr>
        <w:t xml:space="preserve"> baseline</w:t>
      </w:r>
      <w:r w:rsidR="00355305">
        <w:rPr>
          <w:rFonts w:ascii="Times New Roman" w:eastAsia="Times New Roman" w:hAnsi="Times New Roman" w:cs="Times New Roman"/>
        </w:rPr>
        <w:t xml:space="preserve"> </w:t>
      </w:r>
      <w:r w:rsidR="00B9752F">
        <w:rPr>
          <w:rFonts w:ascii="Times New Roman" w:eastAsia="Times New Roman" w:hAnsi="Times New Roman" w:cs="Times New Roman"/>
        </w:rPr>
        <w:t xml:space="preserve">prevalence </w:t>
      </w:r>
      <w:r w:rsidR="00355305">
        <w:rPr>
          <w:rFonts w:ascii="Times New Roman" w:eastAsia="Times New Roman" w:hAnsi="Times New Roman" w:cs="Times New Roman"/>
        </w:rPr>
        <w:t>values for 200</w:t>
      </w:r>
      <w:r w:rsidR="00EC4F30">
        <w:rPr>
          <w:rFonts w:ascii="Times New Roman" w:eastAsia="Times New Roman" w:hAnsi="Times New Roman" w:cs="Times New Roman"/>
        </w:rPr>
        <w:t>0</w:t>
      </w:r>
      <w:r w:rsidR="00D9513E">
        <w:rPr>
          <w:rFonts w:ascii="Times New Roman" w:eastAsia="Times New Roman" w:hAnsi="Times New Roman" w:cs="Times New Roman"/>
        </w:rPr>
        <w:t>, 2010 and 2019</w:t>
      </w:r>
      <w:r w:rsidR="00EC4F30">
        <w:rPr>
          <w:rFonts w:ascii="Times New Roman" w:eastAsia="Times New Roman" w:hAnsi="Times New Roman" w:cs="Times New Roman"/>
        </w:rPr>
        <w:t xml:space="preserve">, </w:t>
      </w:r>
      <w:r w:rsidR="00817248">
        <w:rPr>
          <w:rFonts w:ascii="Times New Roman" w:eastAsia="Times New Roman" w:hAnsi="Times New Roman" w:cs="Times New Roman"/>
        </w:rPr>
        <w:t xml:space="preserve">along with </w:t>
      </w:r>
      <w:r w:rsidR="00EC4F30">
        <w:rPr>
          <w:rFonts w:ascii="Times New Roman" w:eastAsia="Times New Roman" w:hAnsi="Times New Roman" w:cs="Times New Roman"/>
        </w:rPr>
        <w:t>the</w:t>
      </w:r>
      <w:r w:rsidR="00D9513E">
        <w:rPr>
          <w:rFonts w:ascii="Times New Roman" w:eastAsia="Times New Roman" w:hAnsi="Times New Roman" w:cs="Times New Roman"/>
        </w:rPr>
        <w:t xml:space="preserve"> relative change in prevalence,</w:t>
      </w:r>
      <w:r w:rsidR="00817248">
        <w:rPr>
          <w:rFonts w:ascii="Times New Roman" w:eastAsia="Times New Roman" w:hAnsi="Times New Roman" w:cs="Times New Roman"/>
        </w:rPr>
        <w:t xml:space="preserve"> </w:t>
      </w:r>
      <w:r w:rsidR="00B57F57">
        <w:rPr>
          <w:rFonts w:ascii="Times New Roman" w:eastAsia="Times New Roman" w:hAnsi="Times New Roman" w:cs="Times New Roman"/>
        </w:rPr>
        <w:t>highlight</w:t>
      </w:r>
      <w:r w:rsidR="00214E4A">
        <w:rPr>
          <w:rFonts w:ascii="Times New Roman" w:eastAsia="Times New Roman" w:hAnsi="Times New Roman" w:cs="Times New Roman"/>
        </w:rPr>
        <w:t>ing</w:t>
      </w:r>
      <w:r w:rsidR="00B57F57">
        <w:rPr>
          <w:rFonts w:ascii="Times New Roman" w:eastAsia="Times New Roman" w:hAnsi="Times New Roman" w:cs="Times New Roman"/>
        </w:rPr>
        <w:t xml:space="preserve"> significant variations</w:t>
      </w:r>
      <w:r w:rsidR="00A15896">
        <w:rPr>
          <w:rFonts w:ascii="Times New Roman" w:eastAsia="Times New Roman" w:hAnsi="Times New Roman" w:cs="Times New Roman"/>
        </w:rPr>
        <w:t xml:space="preserve"> (defined</w:t>
      </w:r>
      <w:r w:rsidR="0033734A">
        <w:rPr>
          <w:rFonts w:ascii="Times New Roman" w:eastAsia="Times New Roman" w:hAnsi="Times New Roman" w:cs="Times New Roman"/>
        </w:rPr>
        <w:t xml:space="preserve"> as trends</w:t>
      </w:r>
      <w:r w:rsidR="00D9513E">
        <w:rPr>
          <w:rFonts w:ascii="Times New Roman" w:eastAsia="Times New Roman" w:hAnsi="Times New Roman" w:cs="Times New Roman"/>
        </w:rPr>
        <w:t xml:space="preserve"> that</w:t>
      </w:r>
      <w:r w:rsidR="002C63F8">
        <w:rPr>
          <w:rFonts w:ascii="Times New Roman" w:eastAsia="Times New Roman" w:hAnsi="Times New Roman" w:cs="Times New Roman"/>
        </w:rPr>
        <w:t xml:space="preserve"> are </w:t>
      </w:r>
      <w:r w:rsidR="00FF2E74">
        <w:rPr>
          <w:rFonts w:ascii="Times New Roman" w:eastAsia="Times New Roman" w:hAnsi="Times New Roman" w:cs="Times New Roman"/>
        </w:rPr>
        <w:t>different</w:t>
      </w:r>
      <w:r w:rsidR="002C63F8">
        <w:rPr>
          <w:rFonts w:ascii="Times New Roman" w:eastAsia="Times New Roman" w:hAnsi="Times New Roman" w:cs="Times New Roman"/>
        </w:rPr>
        <w:t xml:space="preserve"> from the baseline</w:t>
      </w:r>
      <w:r w:rsidR="00D9513E">
        <w:rPr>
          <w:rFonts w:ascii="Times New Roman" w:eastAsia="Times New Roman" w:hAnsi="Times New Roman" w:cs="Times New Roman"/>
        </w:rPr>
        <w:t xml:space="preserve"> </w:t>
      </w:r>
      <w:r w:rsidR="002C63F8">
        <w:rPr>
          <w:rFonts w:ascii="Times New Roman" w:eastAsia="Times New Roman" w:hAnsi="Times New Roman" w:cs="Times New Roman"/>
        </w:rPr>
        <w:t>considering a 95% confidence interval)</w:t>
      </w:r>
      <w:r w:rsidR="00FF2E74">
        <w:rPr>
          <w:rFonts w:ascii="Times New Roman" w:eastAsia="Times New Roman" w:hAnsi="Times New Roman" w:cs="Times New Roman"/>
        </w:rPr>
        <w:t xml:space="preserve"> across each decade </w:t>
      </w:r>
      <w:proofErr w:type="gramStart"/>
      <w:r w:rsidR="00FF2E74">
        <w:rPr>
          <w:rFonts w:ascii="Times New Roman" w:eastAsia="Times New Roman" w:hAnsi="Times New Roman" w:cs="Times New Roman"/>
        </w:rPr>
        <w:t>and also</w:t>
      </w:r>
      <w:proofErr w:type="gramEnd"/>
      <w:r w:rsidR="00FF2E74">
        <w:rPr>
          <w:rFonts w:ascii="Times New Roman" w:eastAsia="Times New Roman" w:hAnsi="Times New Roman" w:cs="Times New Roman"/>
        </w:rPr>
        <w:t xml:space="preserve"> comparing the estimate of 2018 with the value for the year 2000. </w:t>
      </w:r>
      <w:r w:rsidR="0033734A">
        <w:rPr>
          <w:rFonts w:ascii="Times New Roman" w:eastAsia="Times New Roman" w:hAnsi="Times New Roman" w:cs="Times New Roman"/>
        </w:rPr>
        <w:t xml:space="preserve"> </w:t>
      </w:r>
    </w:p>
    <w:p w14:paraId="692C095B" w14:textId="77777777" w:rsidR="002A7A27" w:rsidRDefault="002A7A27" w:rsidP="00400CA8">
      <w:pPr>
        <w:spacing w:after="0" w:line="480" w:lineRule="auto"/>
        <w:rPr>
          <w:rFonts w:ascii="Times New Roman" w:eastAsia="Times New Roman" w:hAnsi="Times New Roman" w:cs="Times New Roman"/>
        </w:rPr>
      </w:pPr>
    </w:p>
    <w:p w14:paraId="5CB617C3" w14:textId="0EC3E296" w:rsidR="002A7A27" w:rsidRDefault="002A7A27" w:rsidP="002A7A27">
      <w:pPr>
        <w:rPr>
          <w:rFonts w:ascii="Times New Roman" w:eastAsia="Times New Roman" w:hAnsi="Times New Roman" w:cs="Times New Roman"/>
          <w:u w:val="single"/>
        </w:rPr>
      </w:pPr>
      <w:r w:rsidRPr="009E48BA">
        <w:t xml:space="preserve">Table </w:t>
      </w:r>
      <w:proofErr w:type="gramStart"/>
      <w:r w:rsidRPr="009E48BA">
        <w:t>2 :</w:t>
      </w:r>
      <w:proofErr w:type="gramEnd"/>
      <w:r w:rsidRPr="009E48BA">
        <w:t xml:space="preserve"> </w:t>
      </w:r>
      <w:r w:rsidRPr="004955FF">
        <w:rPr>
          <w:rFonts w:ascii="Times New Roman" w:eastAsia="Times New Roman" w:hAnsi="Times New Roman" w:cs="Times New Roman"/>
          <w:sz w:val="22"/>
          <w:szCs w:val="22"/>
          <w:u w:val="single"/>
        </w:rPr>
        <w:t>Predicted</w:t>
      </w:r>
      <w:r>
        <w:rPr>
          <w:rFonts w:ascii="Times New Roman" w:eastAsia="Times New Roman" w:hAnsi="Times New Roman" w:cs="Times New Roman"/>
          <w:sz w:val="22"/>
          <w:szCs w:val="22"/>
          <w:u w:val="single"/>
        </w:rPr>
        <w:t xml:space="preserve"> </w:t>
      </w:r>
      <w:r w:rsidRPr="004955FF">
        <w:rPr>
          <w:rFonts w:ascii="Times New Roman" w:eastAsia="Times New Roman" w:hAnsi="Times New Roman" w:cs="Times New Roman"/>
          <w:sz w:val="22"/>
          <w:szCs w:val="22"/>
          <w:u w:val="single"/>
        </w:rPr>
        <w:t xml:space="preserve">ADL </w:t>
      </w:r>
      <w:r>
        <w:rPr>
          <w:rFonts w:ascii="Times New Roman" w:eastAsia="Times New Roman" w:hAnsi="Times New Roman" w:cs="Times New Roman"/>
          <w:sz w:val="22"/>
          <w:szCs w:val="22"/>
          <w:u w:val="single"/>
        </w:rPr>
        <w:t xml:space="preserve">and IADL </w:t>
      </w:r>
      <w:r w:rsidRPr="004955FF">
        <w:rPr>
          <w:rFonts w:ascii="Times New Roman" w:eastAsia="Times New Roman" w:hAnsi="Times New Roman" w:cs="Times New Roman"/>
          <w:sz w:val="22"/>
          <w:szCs w:val="22"/>
          <w:u w:val="single"/>
        </w:rPr>
        <w:t xml:space="preserve">prevalence </w:t>
      </w:r>
      <w:r>
        <w:rPr>
          <w:rFonts w:ascii="Times New Roman" w:eastAsia="Times New Roman" w:hAnsi="Times New Roman" w:cs="Times New Roman"/>
          <w:u w:val="single"/>
        </w:rPr>
        <w:t>and Relative Change</w:t>
      </w:r>
      <w:r w:rsidRPr="004955FF">
        <w:rPr>
          <w:rFonts w:ascii="Times New Roman" w:eastAsia="Times New Roman" w:hAnsi="Times New Roman" w:cs="Times New Roman"/>
          <w:sz w:val="22"/>
          <w:szCs w:val="22"/>
          <w:u w:val="single"/>
        </w:rPr>
        <w:t xml:space="preserve"> by sex,</w:t>
      </w:r>
      <w:r>
        <w:rPr>
          <w:rFonts w:ascii="Times New Roman" w:eastAsia="Times New Roman" w:hAnsi="Times New Roman" w:cs="Times New Roman"/>
          <w:u w:val="single"/>
        </w:rPr>
        <w:t xml:space="preserve"> </w:t>
      </w:r>
      <w:r w:rsidRPr="004955FF">
        <w:rPr>
          <w:rFonts w:ascii="Times New Roman" w:eastAsia="Times New Roman" w:hAnsi="Times New Roman" w:cs="Times New Roman"/>
          <w:sz w:val="22"/>
          <w:szCs w:val="22"/>
          <w:u w:val="single"/>
        </w:rPr>
        <w:t>race and ethnicity</w:t>
      </w:r>
      <w:r w:rsidR="00AF45C2">
        <w:rPr>
          <w:rFonts w:ascii="Times New Roman" w:eastAsia="Times New Roman" w:hAnsi="Times New Roman" w:cs="Times New Roman"/>
          <w:sz w:val="22"/>
          <w:szCs w:val="22"/>
          <w:u w:val="single"/>
        </w:rPr>
        <w:t xml:space="preserve"> for years</w:t>
      </w:r>
      <w:r w:rsidRPr="004955FF">
        <w:rPr>
          <w:rFonts w:ascii="Times New Roman" w:eastAsia="Times New Roman" w:hAnsi="Times New Roman" w:cs="Times New Roman"/>
          <w:sz w:val="22"/>
          <w:szCs w:val="22"/>
          <w:u w:val="single"/>
        </w:rPr>
        <w:t xml:space="preserve"> 2000</w:t>
      </w:r>
      <w:r w:rsidR="00AF45C2">
        <w:rPr>
          <w:rFonts w:ascii="Times New Roman" w:eastAsia="Times New Roman" w:hAnsi="Times New Roman" w:cs="Times New Roman"/>
          <w:sz w:val="22"/>
          <w:szCs w:val="22"/>
          <w:u w:val="single"/>
        </w:rPr>
        <w:t>, 2010 and 2018</w:t>
      </w:r>
      <w:r>
        <w:rPr>
          <w:rFonts w:ascii="Times New Roman" w:eastAsia="Times New Roman" w:hAnsi="Times New Roman" w:cs="Times New Roman"/>
          <w:u w:val="single"/>
        </w:rPr>
        <w:t xml:space="preserve">, group aged 50-64 </w:t>
      </w:r>
    </w:p>
    <w:p w14:paraId="05D01721" w14:textId="77777777" w:rsidR="002A7A27" w:rsidRDefault="002A7A27" w:rsidP="00A12CF5">
      <w:pPr>
        <w:spacing w:after="0" w:line="480" w:lineRule="auto"/>
        <w:ind w:firstLine="720"/>
        <w:rPr>
          <w:rFonts w:ascii="Times New Roman" w:eastAsia="Times New Roman" w:hAnsi="Times New Roman" w:cs="Times New Roman"/>
        </w:rPr>
      </w:pPr>
    </w:p>
    <w:p w14:paraId="57EF0EBB" w14:textId="7A4BBAB0" w:rsidR="00A6615B" w:rsidRDefault="7D4FDF97" w:rsidP="00A12CF5">
      <w:pPr>
        <w:spacing w:after="0" w:line="480" w:lineRule="auto"/>
        <w:ind w:firstLine="720"/>
        <w:rPr>
          <w:rFonts w:ascii="Times New Roman" w:eastAsia="Times New Roman" w:hAnsi="Times New Roman" w:cs="Times New Roman"/>
        </w:rPr>
      </w:pPr>
      <w:r w:rsidRPr="3E5D69E4">
        <w:rPr>
          <w:rFonts w:ascii="Times New Roman" w:eastAsia="Times New Roman" w:hAnsi="Times New Roman" w:cs="Times New Roman"/>
        </w:rPr>
        <w:t xml:space="preserve">The </w:t>
      </w:r>
      <w:r w:rsidR="00817248">
        <w:rPr>
          <w:rFonts w:ascii="Times New Roman" w:eastAsia="Times New Roman" w:hAnsi="Times New Roman" w:cs="Times New Roman"/>
        </w:rPr>
        <w:t xml:space="preserve">50-64 age </w:t>
      </w:r>
      <w:r w:rsidRPr="3E5D69E4">
        <w:rPr>
          <w:rFonts w:ascii="Times New Roman" w:eastAsia="Times New Roman" w:hAnsi="Times New Roman" w:cs="Times New Roman"/>
        </w:rPr>
        <w:t>group presented a slow but steady increase of prevalence</w:t>
      </w:r>
      <w:r w:rsidR="4C1764BC" w:rsidRPr="3E5D69E4">
        <w:rPr>
          <w:rFonts w:ascii="Times New Roman" w:eastAsia="Times New Roman" w:hAnsi="Times New Roman" w:cs="Times New Roman"/>
        </w:rPr>
        <w:t xml:space="preserve"> of </w:t>
      </w:r>
      <w:r w:rsidR="00817248">
        <w:rPr>
          <w:rFonts w:ascii="Times New Roman" w:eastAsia="Times New Roman" w:hAnsi="Times New Roman" w:cs="Times New Roman"/>
        </w:rPr>
        <w:t xml:space="preserve">ADL and IADL </w:t>
      </w:r>
      <w:r w:rsidR="4C1764BC" w:rsidRPr="3E5D69E4">
        <w:rPr>
          <w:rFonts w:ascii="Times New Roman" w:eastAsia="Times New Roman" w:hAnsi="Times New Roman" w:cs="Times New Roman"/>
        </w:rPr>
        <w:t>limitations</w:t>
      </w:r>
      <w:r w:rsidRPr="3E5D69E4">
        <w:rPr>
          <w:rFonts w:ascii="Times New Roman" w:eastAsia="Times New Roman" w:hAnsi="Times New Roman" w:cs="Times New Roman"/>
        </w:rPr>
        <w:t xml:space="preserve"> during 2000</w:t>
      </w:r>
      <w:r w:rsidR="008D37C8">
        <w:rPr>
          <w:rFonts w:ascii="Times New Roman" w:eastAsia="Times New Roman" w:hAnsi="Times New Roman" w:cs="Times New Roman"/>
        </w:rPr>
        <w:t>-2010</w:t>
      </w:r>
      <w:r w:rsidR="00CCC8F7" w:rsidRPr="3E5D69E4">
        <w:rPr>
          <w:rFonts w:ascii="Times New Roman" w:eastAsia="Times New Roman" w:hAnsi="Times New Roman" w:cs="Times New Roman"/>
        </w:rPr>
        <w:t xml:space="preserve"> for </w:t>
      </w:r>
      <w:r w:rsidR="009C68BB">
        <w:rPr>
          <w:rFonts w:ascii="Times New Roman" w:eastAsia="Times New Roman" w:hAnsi="Times New Roman" w:cs="Times New Roman"/>
        </w:rPr>
        <w:t xml:space="preserve">male </w:t>
      </w:r>
      <w:r w:rsidR="00817248">
        <w:rPr>
          <w:rFonts w:ascii="Times New Roman" w:eastAsia="Times New Roman" w:hAnsi="Times New Roman" w:cs="Times New Roman"/>
        </w:rPr>
        <w:t>non-Hispanic</w:t>
      </w:r>
      <w:r w:rsidR="00817248" w:rsidRPr="3E5D69E4">
        <w:rPr>
          <w:rFonts w:ascii="Times New Roman" w:eastAsia="Times New Roman" w:hAnsi="Times New Roman" w:cs="Times New Roman"/>
        </w:rPr>
        <w:t xml:space="preserve"> </w:t>
      </w:r>
      <w:r w:rsidR="00CCC8F7" w:rsidRPr="3E5D69E4">
        <w:rPr>
          <w:rFonts w:ascii="Times New Roman" w:eastAsia="Times New Roman" w:hAnsi="Times New Roman" w:cs="Times New Roman"/>
        </w:rPr>
        <w:t>Blacks</w:t>
      </w:r>
      <w:r w:rsidR="00C047F8">
        <w:rPr>
          <w:rFonts w:ascii="Times New Roman" w:eastAsia="Times New Roman" w:hAnsi="Times New Roman" w:cs="Times New Roman"/>
        </w:rPr>
        <w:t xml:space="preserve">. The group </w:t>
      </w:r>
      <w:r w:rsidR="00B93B3E">
        <w:rPr>
          <w:rFonts w:ascii="Times New Roman" w:eastAsia="Times New Roman" w:hAnsi="Times New Roman" w:cs="Times New Roman"/>
        </w:rPr>
        <w:t xml:space="preserve">presented the largest baseline prevalences, with </w:t>
      </w:r>
      <w:r w:rsidR="00C40044">
        <w:rPr>
          <w:rFonts w:ascii="Times New Roman" w:eastAsia="Times New Roman" w:hAnsi="Times New Roman" w:cs="Times New Roman"/>
        </w:rPr>
        <w:t xml:space="preserve">values of </w:t>
      </w:r>
      <w:r w:rsidR="00B93B3E">
        <w:rPr>
          <w:rFonts w:ascii="Times New Roman" w:eastAsia="Times New Roman" w:hAnsi="Times New Roman" w:cs="Times New Roman"/>
        </w:rPr>
        <w:t>1.94</w:t>
      </w:r>
      <w:r w:rsidR="009C68BB">
        <w:rPr>
          <w:rFonts w:ascii="Times New Roman" w:eastAsia="Times New Roman" w:hAnsi="Times New Roman" w:cs="Times New Roman"/>
        </w:rPr>
        <w:t xml:space="preserve"> and 2.30 for ADL and IADL respectively</w:t>
      </w:r>
      <w:r w:rsidR="00C40044">
        <w:rPr>
          <w:rFonts w:ascii="Times New Roman" w:eastAsia="Times New Roman" w:hAnsi="Times New Roman" w:cs="Times New Roman"/>
        </w:rPr>
        <w:t xml:space="preserve"> by year 2000</w:t>
      </w:r>
      <w:r w:rsidR="00B93B3E">
        <w:rPr>
          <w:rFonts w:ascii="Times New Roman" w:eastAsia="Times New Roman" w:hAnsi="Times New Roman" w:cs="Times New Roman"/>
        </w:rPr>
        <w:t>, with</w:t>
      </w:r>
      <w:r w:rsidR="00EB0E46">
        <w:rPr>
          <w:rFonts w:ascii="Times New Roman" w:eastAsia="Times New Roman" w:hAnsi="Times New Roman" w:cs="Times New Roman"/>
        </w:rPr>
        <w:t xml:space="preserve"> </w:t>
      </w:r>
      <w:r w:rsidR="005B19BD">
        <w:rPr>
          <w:rFonts w:ascii="Times New Roman" w:eastAsia="Times New Roman" w:hAnsi="Times New Roman" w:cs="Times New Roman"/>
        </w:rPr>
        <w:t xml:space="preserve">relative increases </w:t>
      </w:r>
      <w:r w:rsidR="00EB0E46">
        <w:rPr>
          <w:rFonts w:ascii="Times New Roman" w:eastAsia="Times New Roman" w:hAnsi="Times New Roman" w:cs="Times New Roman"/>
        </w:rPr>
        <w:t>of</w:t>
      </w:r>
      <w:r w:rsidR="00970F05">
        <w:rPr>
          <w:rFonts w:ascii="Times New Roman" w:eastAsia="Times New Roman" w:hAnsi="Times New Roman" w:cs="Times New Roman"/>
        </w:rPr>
        <w:t xml:space="preserve"> 60.3%</w:t>
      </w:r>
      <w:r w:rsidR="008D37C8">
        <w:rPr>
          <w:rFonts w:ascii="Times New Roman" w:eastAsia="Times New Roman" w:hAnsi="Times New Roman" w:cs="Times New Roman"/>
        </w:rPr>
        <w:t xml:space="preserve"> and</w:t>
      </w:r>
      <w:r w:rsidR="008F791B">
        <w:rPr>
          <w:rFonts w:ascii="Times New Roman" w:eastAsia="Times New Roman" w:hAnsi="Times New Roman" w:cs="Times New Roman"/>
        </w:rPr>
        <w:t xml:space="preserve"> 46.4% for</w:t>
      </w:r>
      <w:r w:rsidR="002D2833">
        <w:rPr>
          <w:rFonts w:ascii="Times New Roman" w:eastAsia="Times New Roman" w:hAnsi="Times New Roman" w:cs="Times New Roman"/>
        </w:rPr>
        <w:t xml:space="preserve"> </w:t>
      </w:r>
      <w:r w:rsidR="008F791B">
        <w:rPr>
          <w:rFonts w:ascii="Times New Roman" w:eastAsia="Times New Roman" w:hAnsi="Times New Roman" w:cs="Times New Roman"/>
        </w:rPr>
        <w:t>ADL and IADL</w:t>
      </w:r>
      <w:r w:rsidR="00C61D0F">
        <w:rPr>
          <w:rFonts w:ascii="Times New Roman" w:eastAsia="Times New Roman" w:hAnsi="Times New Roman" w:cs="Times New Roman"/>
        </w:rPr>
        <w:t>. For females, w</w:t>
      </w:r>
      <w:r w:rsidR="00C40044">
        <w:rPr>
          <w:rFonts w:ascii="Times New Roman" w:eastAsia="Times New Roman" w:hAnsi="Times New Roman" w:cs="Times New Roman"/>
        </w:rPr>
        <w:t>e observed</w:t>
      </w:r>
      <w:r w:rsidR="00C61D0F">
        <w:rPr>
          <w:rFonts w:ascii="Times New Roman" w:eastAsia="Times New Roman" w:hAnsi="Times New Roman" w:cs="Times New Roman"/>
        </w:rPr>
        <w:t xml:space="preserve"> an average relative </w:t>
      </w:r>
      <w:r w:rsidR="00AA16DF">
        <w:rPr>
          <w:rFonts w:ascii="Times New Roman" w:eastAsia="Times New Roman" w:hAnsi="Times New Roman" w:cs="Times New Roman"/>
        </w:rPr>
        <w:t>increase</w:t>
      </w:r>
      <w:r w:rsidR="00C61D0F">
        <w:rPr>
          <w:rFonts w:ascii="Times New Roman" w:eastAsia="Times New Roman" w:hAnsi="Times New Roman" w:cs="Times New Roman"/>
        </w:rPr>
        <w:t xml:space="preserve"> of</w:t>
      </w:r>
      <w:r w:rsidR="00F161EF">
        <w:rPr>
          <w:rFonts w:ascii="Times New Roman" w:eastAsia="Times New Roman" w:hAnsi="Times New Roman" w:cs="Times New Roman"/>
        </w:rPr>
        <w:t xml:space="preserve"> </w:t>
      </w:r>
      <w:r w:rsidR="000050BA">
        <w:rPr>
          <w:rFonts w:ascii="Times New Roman" w:eastAsia="Times New Roman" w:hAnsi="Times New Roman" w:cs="Times New Roman"/>
        </w:rPr>
        <w:t>72.6</w:t>
      </w:r>
      <w:r w:rsidR="00111C8D">
        <w:rPr>
          <w:rFonts w:ascii="Times New Roman" w:eastAsia="Times New Roman" w:hAnsi="Times New Roman" w:cs="Times New Roman"/>
        </w:rPr>
        <w:t xml:space="preserve">% and </w:t>
      </w:r>
      <w:r w:rsidR="000050BA">
        <w:rPr>
          <w:rFonts w:ascii="Times New Roman" w:eastAsia="Times New Roman" w:hAnsi="Times New Roman" w:cs="Times New Roman"/>
        </w:rPr>
        <w:t>29.3</w:t>
      </w:r>
      <w:r w:rsidR="00AB5B1E">
        <w:rPr>
          <w:rFonts w:ascii="Times New Roman" w:eastAsia="Times New Roman" w:hAnsi="Times New Roman" w:cs="Times New Roman"/>
        </w:rPr>
        <w:t>% for</w:t>
      </w:r>
      <w:r w:rsidR="00B60743">
        <w:rPr>
          <w:rFonts w:ascii="Times New Roman" w:eastAsia="Times New Roman" w:hAnsi="Times New Roman" w:cs="Times New Roman"/>
        </w:rPr>
        <w:t xml:space="preserve"> ADL</w:t>
      </w:r>
      <w:r w:rsidR="00F06846">
        <w:rPr>
          <w:rFonts w:ascii="Times New Roman" w:eastAsia="Times New Roman" w:hAnsi="Times New Roman" w:cs="Times New Roman"/>
        </w:rPr>
        <w:t xml:space="preserve"> and IAD</w:t>
      </w:r>
      <w:r w:rsidR="00111C8D">
        <w:rPr>
          <w:rFonts w:ascii="Times New Roman" w:eastAsia="Times New Roman" w:hAnsi="Times New Roman" w:cs="Times New Roman"/>
        </w:rPr>
        <w:t xml:space="preserve">L </w:t>
      </w:r>
      <w:r w:rsidR="00AA16DF">
        <w:rPr>
          <w:rFonts w:ascii="Times New Roman" w:eastAsia="Times New Roman" w:hAnsi="Times New Roman" w:cs="Times New Roman"/>
        </w:rPr>
        <w:t xml:space="preserve">between 2000 and </w:t>
      </w:r>
      <w:r w:rsidR="00AB5B1E">
        <w:rPr>
          <w:rFonts w:ascii="Times New Roman" w:eastAsia="Times New Roman" w:hAnsi="Times New Roman" w:cs="Times New Roman"/>
        </w:rPr>
        <w:t>20</w:t>
      </w:r>
      <w:r w:rsidR="00685A72">
        <w:rPr>
          <w:rFonts w:ascii="Times New Roman" w:eastAsia="Times New Roman" w:hAnsi="Times New Roman" w:cs="Times New Roman"/>
        </w:rPr>
        <w:t>10</w:t>
      </w:r>
      <w:r w:rsidR="00F06846">
        <w:rPr>
          <w:rFonts w:ascii="Times New Roman" w:eastAsia="Times New Roman" w:hAnsi="Times New Roman" w:cs="Times New Roman"/>
        </w:rPr>
        <w:t xml:space="preserve">. </w:t>
      </w:r>
      <w:r w:rsidR="000050BA">
        <w:rPr>
          <w:rFonts w:ascii="Times New Roman" w:eastAsia="Times New Roman" w:hAnsi="Times New Roman" w:cs="Times New Roman"/>
        </w:rPr>
        <w:t xml:space="preserve"> </w:t>
      </w:r>
      <w:r w:rsidR="00CCC8F7" w:rsidRPr="3E5D69E4">
        <w:rPr>
          <w:rFonts w:ascii="Times New Roman" w:eastAsia="Times New Roman" w:hAnsi="Times New Roman" w:cs="Times New Roman"/>
        </w:rPr>
        <w:t xml:space="preserve">However, </w:t>
      </w:r>
      <w:r w:rsidR="68210239" w:rsidRPr="3E5D69E4">
        <w:rPr>
          <w:rFonts w:ascii="Times New Roman" w:eastAsia="Times New Roman" w:hAnsi="Times New Roman" w:cs="Times New Roman"/>
        </w:rPr>
        <w:t>after the first decade</w:t>
      </w:r>
      <w:r w:rsidR="00CCC8F7" w:rsidRPr="3E5D69E4">
        <w:rPr>
          <w:rFonts w:ascii="Times New Roman" w:eastAsia="Times New Roman" w:hAnsi="Times New Roman" w:cs="Times New Roman"/>
        </w:rPr>
        <w:t>, the</w:t>
      </w:r>
      <w:r w:rsidR="62CD7558" w:rsidRPr="3E5D69E4">
        <w:rPr>
          <w:rFonts w:ascii="Times New Roman" w:eastAsia="Times New Roman" w:hAnsi="Times New Roman" w:cs="Times New Roman"/>
        </w:rPr>
        <w:t xml:space="preserve"> </w:t>
      </w:r>
      <w:r w:rsidR="4FBB91CD" w:rsidRPr="3E5D69E4">
        <w:rPr>
          <w:rFonts w:ascii="Times New Roman" w:eastAsia="Times New Roman" w:hAnsi="Times New Roman" w:cs="Times New Roman"/>
        </w:rPr>
        <w:t xml:space="preserve">slope of </w:t>
      </w:r>
      <w:r w:rsidR="62CD7558" w:rsidRPr="3E5D69E4">
        <w:rPr>
          <w:rFonts w:ascii="Times New Roman" w:eastAsia="Times New Roman" w:hAnsi="Times New Roman" w:cs="Times New Roman"/>
        </w:rPr>
        <w:t>sustained</w:t>
      </w:r>
      <w:r w:rsidR="00CCC8F7" w:rsidRPr="3E5D69E4">
        <w:rPr>
          <w:rFonts w:ascii="Times New Roman" w:eastAsia="Times New Roman" w:hAnsi="Times New Roman" w:cs="Times New Roman"/>
        </w:rPr>
        <w:t xml:space="preserve"> increase</w:t>
      </w:r>
      <w:r w:rsidR="4D6CB839" w:rsidRPr="3E5D69E4">
        <w:rPr>
          <w:rFonts w:ascii="Times New Roman" w:eastAsia="Times New Roman" w:hAnsi="Times New Roman" w:cs="Times New Roman"/>
        </w:rPr>
        <w:t xml:space="preserve"> for </w:t>
      </w:r>
      <w:r w:rsidR="00817248">
        <w:rPr>
          <w:rFonts w:ascii="Times New Roman" w:eastAsia="Times New Roman" w:hAnsi="Times New Roman" w:cs="Times New Roman"/>
        </w:rPr>
        <w:t xml:space="preserve">non-Hispanic </w:t>
      </w:r>
      <w:r w:rsidR="00CF6BBD">
        <w:rPr>
          <w:rFonts w:ascii="Times New Roman" w:eastAsia="Times New Roman" w:hAnsi="Times New Roman" w:cs="Times New Roman"/>
        </w:rPr>
        <w:t xml:space="preserve">Blacks </w:t>
      </w:r>
      <w:r w:rsidR="07F9E09B" w:rsidRPr="3E5D69E4">
        <w:rPr>
          <w:rFonts w:ascii="Times New Roman" w:eastAsia="Times New Roman" w:hAnsi="Times New Roman" w:cs="Times New Roman"/>
        </w:rPr>
        <w:t xml:space="preserve">mostly </w:t>
      </w:r>
      <w:r w:rsidR="131CDF3C" w:rsidRPr="3E5D69E4">
        <w:rPr>
          <w:rFonts w:ascii="Times New Roman" w:eastAsia="Times New Roman" w:hAnsi="Times New Roman" w:cs="Times New Roman"/>
        </w:rPr>
        <w:t>stagnated</w:t>
      </w:r>
      <w:r w:rsidR="00367858">
        <w:rPr>
          <w:rFonts w:ascii="Times New Roman" w:eastAsia="Times New Roman" w:hAnsi="Times New Roman" w:cs="Times New Roman"/>
        </w:rPr>
        <w:t xml:space="preserve"> or slowed</w:t>
      </w:r>
      <w:r w:rsidR="00FE1028">
        <w:rPr>
          <w:rFonts w:ascii="Times New Roman" w:eastAsia="Times New Roman" w:hAnsi="Times New Roman" w:cs="Times New Roman"/>
        </w:rPr>
        <w:t>, with deviation of trends being non-significant</w:t>
      </w:r>
      <w:r w:rsidR="00CCC8F7" w:rsidRPr="3E5D69E4">
        <w:rPr>
          <w:rFonts w:ascii="Times New Roman" w:eastAsia="Times New Roman" w:hAnsi="Times New Roman" w:cs="Times New Roman"/>
        </w:rPr>
        <w:t>.</w:t>
      </w:r>
      <w:r w:rsidR="00CE21FB">
        <w:rPr>
          <w:rFonts w:ascii="Times New Roman" w:eastAsia="Times New Roman" w:hAnsi="Times New Roman" w:cs="Times New Roman"/>
        </w:rPr>
        <w:t xml:space="preserve"> Non-Hispanic Whites also presented increases in a similar direction, </w:t>
      </w:r>
      <w:r w:rsidR="00FF596A">
        <w:rPr>
          <w:rFonts w:ascii="Times New Roman" w:eastAsia="Times New Roman" w:hAnsi="Times New Roman" w:cs="Times New Roman"/>
        </w:rPr>
        <w:t>but with a smaller baseline prevalence</w:t>
      </w:r>
      <w:r w:rsidR="00600652">
        <w:rPr>
          <w:rFonts w:ascii="Times New Roman" w:eastAsia="Times New Roman" w:hAnsi="Times New Roman" w:cs="Times New Roman"/>
        </w:rPr>
        <w:t xml:space="preserve"> </w:t>
      </w:r>
      <w:r w:rsidR="003F4F8A">
        <w:rPr>
          <w:rFonts w:ascii="Times New Roman" w:eastAsia="Times New Roman" w:hAnsi="Times New Roman" w:cs="Times New Roman"/>
        </w:rPr>
        <w:t xml:space="preserve">(with values ranging between </w:t>
      </w:r>
      <w:r w:rsidR="00E42D69">
        <w:rPr>
          <w:rFonts w:ascii="Times New Roman" w:eastAsia="Times New Roman" w:hAnsi="Times New Roman" w:cs="Times New Roman"/>
        </w:rPr>
        <w:t>0.75 and 2 prevalence points lower</w:t>
      </w:r>
      <w:r w:rsidR="00A072AC">
        <w:rPr>
          <w:rFonts w:ascii="Times New Roman" w:eastAsia="Times New Roman" w:hAnsi="Times New Roman" w:cs="Times New Roman"/>
        </w:rPr>
        <w:t>)</w:t>
      </w:r>
      <w:r w:rsidR="00853CB4">
        <w:rPr>
          <w:rFonts w:ascii="Times New Roman" w:eastAsia="Times New Roman" w:hAnsi="Times New Roman" w:cs="Times New Roman"/>
        </w:rPr>
        <w:t xml:space="preserve"> and possibly lower relative increases than their non-Hispanic Black counterparts</w:t>
      </w:r>
      <w:r w:rsidR="00FF596A">
        <w:rPr>
          <w:rFonts w:ascii="Times New Roman" w:eastAsia="Times New Roman" w:hAnsi="Times New Roman" w:cs="Times New Roman"/>
        </w:rPr>
        <w:t xml:space="preserve">. </w:t>
      </w:r>
      <w:r w:rsidR="00092424">
        <w:rPr>
          <w:rFonts w:ascii="Times New Roman" w:eastAsia="Times New Roman" w:hAnsi="Times New Roman" w:cs="Times New Roman"/>
        </w:rPr>
        <w:t>In t</w:t>
      </w:r>
      <w:r w:rsidR="00A6615B">
        <w:rPr>
          <w:rFonts w:ascii="Times New Roman" w:eastAsia="Times New Roman" w:hAnsi="Times New Roman" w:cs="Times New Roman"/>
        </w:rPr>
        <w:t xml:space="preserve">he </w:t>
      </w:r>
      <w:r w:rsidR="006F683A">
        <w:rPr>
          <w:rFonts w:ascii="Times New Roman" w:eastAsia="Times New Roman" w:hAnsi="Times New Roman" w:cs="Times New Roman"/>
        </w:rPr>
        <w:t>first decade</w:t>
      </w:r>
      <w:r w:rsidR="00092424">
        <w:rPr>
          <w:rFonts w:ascii="Times New Roman" w:eastAsia="Times New Roman" w:hAnsi="Times New Roman" w:cs="Times New Roman"/>
        </w:rPr>
        <w:t xml:space="preserve"> we observed</w:t>
      </w:r>
      <w:r w:rsidR="006F683A">
        <w:rPr>
          <w:rFonts w:ascii="Times New Roman" w:eastAsia="Times New Roman" w:hAnsi="Times New Roman" w:cs="Times New Roman"/>
        </w:rPr>
        <w:t xml:space="preserve"> </w:t>
      </w:r>
      <w:r w:rsidR="00A6615B">
        <w:rPr>
          <w:rFonts w:ascii="Times New Roman" w:eastAsia="Times New Roman" w:hAnsi="Times New Roman" w:cs="Times New Roman"/>
        </w:rPr>
        <w:t>an</w:t>
      </w:r>
      <w:r w:rsidR="00EC6A8F">
        <w:rPr>
          <w:rFonts w:ascii="Times New Roman" w:eastAsia="Times New Roman" w:hAnsi="Times New Roman" w:cs="Times New Roman"/>
        </w:rPr>
        <w:t xml:space="preserve"> ADL </w:t>
      </w:r>
      <w:r w:rsidR="009C7F4E">
        <w:rPr>
          <w:rFonts w:ascii="Times New Roman" w:eastAsia="Times New Roman" w:hAnsi="Times New Roman" w:cs="Times New Roman"/>
        </w:rPr>
        <w:t>relative increase of</w:t>
      </w:r>
      <w:r w:rsidR="007E083C">
        <w:rPr>
          <w:rFonts w:ascii="Times New Roman" w:eastAsia="Times New Roman" w:hAnsi="Times New Roman" w:cs="Times New Roman"/>
        </w:rPr>
        <w:t xml:space="preserve"> </w:t>
      </w:r>
      <w:r w:rsidR="00732863">
        <w:rPr>
          <w:rFonts w:ascii="Times New Roman" w:eastAsia="Times New Roman" w:hAnsi="Times New Roman" w:cs="Times New Roman"/>
        </w:rPr>
        <w:t>49</w:t>
      </w:r>
      <w:r w:rsidR="000427CC">
        <w:rPr>
          <w:rFonts w:ascii="Times New Roman" w:eastAsia="Times New Roman" w:hAnsi="Times New Roman" w:cs="Times New Roman"/>
        </w:rPr>
        <w:t>.</w:t>
      </w:r>
      <w:r w:rsidR="00732863">
        <w:rPr>
          <w:rFonts w:ascii="Times New Roman" w:eastAsia="Times New Roman" w:hAnsi="Times New Roman" w:cs="Times New Roman"/>
        </w:rPr>
        <w:t>1</w:t>
      </w:r>
      <w:r w:rsidR="000427CC">
        <w:rPr>
          <w:rFonts w:ascii="Times New Roman" w:eastAsia="Times New Roman" w:hAnsi="Times New Roman" w:cs="Times New Roman"/>
        </w:rPr>
        <w:t xml:space="preserve">% and </w:t>
      </w:r>
      <w:r w:rsidR="00732863">
        <w:rPr>
          <w:rFonts w:ascii="Times New Roman" w:eastAsia="Times New Roman" w:hAnsi="Times New Roman" w:cs="Times New Roman"/>
        </w:rPr>
        <w:t>51</w:t>
      </w:r>
      <w:r w:rsidR="000427CC">
        <w:rPr>
          <w:rFonts w:ascii="Times New Roman" w:eastAsia="Times New Roman" w:hAnsi="Times New Roman" w:cs="Times New Roman"/>
        </w:rPr>
        <w:t>.</w:t>
      </w:r>
      <w:r w:rsidR="00732863">
        <w:rPr>
          <w:rFonts w:ascii="Times New Roman" w:eastAsia="Times New Roman" w:hAnsi="Times New Roman" w:cs="Times New Roman"/>
        </w:rPr>
        <w:t>3</w:t>
      </w:r>
      <w:r w:rsidR="000427CC">
        <w:rPr>
          <w:rFonts w:ascii="Times New Roman" w:eastAsia="Times New Roman" w:hAnsi="Times New Roman" w:cs="Times New Roman"/>
        </w:rPr>
        <w:t>% by the end of the</w:t>
      </w:r>
      <w:r w:rsidR="00AB5B1E">
        <w:rPr>
          <w:rFonts w:ascii="Times New Roman" w:eastAsia="Times New Roman" w:hAnsi="Times New Roman" w:cs="Times New Roman"/>
        </w:rPr>
        <w:t xml:space="preserve"> first</w:t>
      </w:r>
      <w:r w:rsidR="000427CC">
        <w:rPr>
          <w:rFonts w:ascii="Times New Roman" w:eastAsia="Times New Roman" w:hAnsi="Times New Roman" w:cs="Times New Roman"/>
        </w:rPr>
        <w:t xml:space="preserve"> decade</w:t>
      </w:r>
      <w:r w:rsidR="001761F2">
        <w:rPr>
          <w:rFonts w:ascii="Times New Roman" w:eastAsia="Times New Roman" w:hAnsi="Times New Roman" w:cs="Times New Roman"/>
        </w:rPr>
        <w:t xml:space="preserve"> for males and females respectively</w:t>
      </w:r>
      <w:r w:rsidR="00092424">
        <w:rPr>
          <w:rFonts w:ascii="Times New Roman" w:eastAsia="Times New Roman" w:hAnsi="Times New Roman" w:cs="Times New Roman"/>
        </w:rPr>
        <w:t xml:space="preserve"> (</w:t>
      </w:r>
      <w:r w:rsidR="00732863">
        <w:rPr>
          <w:rFonts w:ascii="Times New Roman" w:eastAsia="Times New Roman" w:hAnsi="Times New Roman" w:cs="Times New Roman"/>
        </w:rPr>
        <w:t xml:space="preserve">representing increases of </w:t>
      </w:r>
      <w:r w:rsidR="001761F2">
        <w:rPr>
          <w:rFonts w:ascii="Times New Roman" w:eastAsia="Times New Roman" w:hAnsi="Times New Roman" w:cs="Times New Roman"/>
        </w:rPr>
        <w:t>0.8 prevalence points in each case)</w:t>
      </w:r>
      <w:r w:rsidR="009C7F4E">
        <w:rPr>
          <w:rFonts w:ascii="Times New Roman" w:eastAsia="Times New Roman" w:hAnsi="Times New Roman" w:cs="Times New Roman"/>
        </w:rPr>
        <w:t xml:space="preserve">. </w:t>
      </w:r>
      <w:r w:rsidR="001761F2">
        <w:rPr>
          <w:rFonts w:ascii="Times New Roman" w:eastAsia="Times New Roman" w:hAnsi="Times New Roman" w:cs="Times New Roman"/>
        </w:rPr>
        <w:t>We also observed an</w:t>
      </w:r>
      <w:r w:rsidR="00EC6A8F">
        <w:rPr>
          <w:rFonts w:ascii="Times New Roman" w:eastAsia="Times New Roman" w:hAnsi="Times New Roman" w:cs="Times New Roman"/>
        </w:rPr>
        <w:t xml:space="preserve"> increase for IADL </w:t>
      </w:r>
      <w:r w:rsidR="000C731E">
        <w:rPr>
          <w:rFonts w:ascii="Times New Roman" w:eastAsia="Times New Roman" w:hAnsi="Times New Roman" w:cs="Times New Roman"/>
        </w:rPr>
        <w:t>for males and females</w:t>
      </w:r>
      <w:r w:rsidR="000427CC">
        <w:rPr>
          <w:rFonts w:ascii="Times New Roman" w:eastAsia="Times New Roman" w:hAnsi="Times New Roman" w:cs="Times New Roman"/>
        </w:rPr>
        <w:t>, representing</w:t>
      </w:r>
      <w:r w:rsidR="0068529C">
        <w:rPr>
          <w:rFonts w:ascii="Times New Roman" w:eastAsia="Times New Roman" w:hAnsi="Times New Roman" w:cs="Times New Roman"/>
        </w:rPr>
        <w:t xml:space="preserve"> increases of </w:t>
      </w:r>
      <w:r w:rsidR="00600652">
        <w:rPr>
          <w:rFonts w:ascii="Times New Roman" w:eastAsia="Times New Roman" w:hAnsi="Times New Roman" w:cs="Times New Roman"/>
        </w:rPr>
        <w:t>32</w:t>
      </w:r>
      <w:r w:rsidR="0068529C">
        <w:rPr>
          <w:rFonts w:ascii="Times New Roman" w:eastAsia="Times New Roman" w:hAnsi="Times New Roman" w:cs="Times New Roman"/>
        </w:rPr>
        <w:t>.</w:t>
      </w:r>
      <w:r w:rsidR="00600652">
        <w:rPr>
          <w:rFonts w:ascii="Times New Roman" w:eastAsia="Times New Roman" w:hAnsi="Times New Roman" w:cs="Times New Roman"/>
        </w:rPr>
        <w:t>8</w:t>
      </w:r>
      <w:r w:rsidR="0068529C">
        <w:rPr>
          <w:rFonts w:ascii="Times New Roman" w:eastAsia="Times New Roman" w:hAnsi="Times New Roman" w:cs="Times New Roman"/>
        </w:rPr>
        <w:t xml:space="preserve">% and </w:t>
      </w:r>
      <w:r w:rsidR="00600652">
        <w:rPr>
          <w:rFonts w:ascii="Times New Roman" w:eastAsia="Times New Roman" w:hAnsi="Times New Roman" w:cs="Times New Roman"/>
        </w:rPr>
        <w:t>27</w:t>
      </w:r>
      <w:r w:rsidR="0068529C">
        <w:rPr>
          <w:rFonts w:ascii="Times New Roman" w:eastAsia="Times New Roman" w:hAnsi="Times New Roman" w:cs="Times New Roman"/>
        </w:rPr>
        <w:t>.</w:t>
      </w:r>
      <w:r w:rsidR="00600652">
        <w:rPr>
          <w:rFonts w:ascii="Times New Roman" w:eastAsia="Times New Roman" w:hAnsi="Times New Roman" w:cs="Times New Roman"/>
        </w:rPr>
        <w:t>6</w:t>
      </w:r>
      <w:r w:rsidR="0068529C">
        <w:rPr>
          <w:rFonts w:ascii="Times New Roman" w:eastAsia="Times New Roman" w:hAnsi="Times New Roman" w:cs="Times New Roman"/>
        </w:rPr>
        <w:t>%</w:t>
      </w:r>
      <w:r w:rsidR="000C731E">
        <w:rPr>
          <w:rFonts w:ascii="Times New Roman" w:eastAsia="Times New Roman" w:hAnsi="Times New Roman" w:cs="Times New Roman"/>
        </w:rPr>
        <w:t xml:space="preserve"> by the end of the decade</w:t>
      </w:r>
      <w:r w:rsidR="00EC6A8F">
        <w:rPr>
          <w:rFonts w:ascii="Times New Roman" w:eastAsia="Times New Roman" w:hAnsi="Times New Roman" w:cs="Times New Roman"/>
        </w:rPr>
        <w:t xml:space="preserve">. </w:t>
      </w:r>
      <w:r w:rsidR="00172CB9">
        <w:rPr>
          <w:rFonts w:ascii="Times New Roman" w:eastAsia="Times New Roman" w:hAnsi="Times New Roman" w:cs="Times New Roman"/>
        </w:rPr>
        <w:t xml:space="preserve">However, just like </w:t>
      </w:r>
      <w:r w:rsidR="00DE7910">
        <w:rPr>
          <w:rFonts w:ascii="Times New Roman" w:eastAsia="Times New Roman" w:hAnsi="Times New Roman" w:cs="Times New Roman"/>
        </w:rPr>
        <w:t>for</w:t>
      </w:r>
      <w:r w:rsidR="00172CB9">
        <w:rPr>
          <w:rFonts w:ascii="Times New Roman" w:eastAsia="Times New Roman" w:hAnsi="Times New Roman" w:cs="Times New Roman"/>
        </w:rPr>
        <w:t xml:space="preserve"> non-Hispanic Black</w:t>
      </w:r>
      <w:r w:rsidR="00DE7910">
        <w:rPr>
          <w:rFonts w:ascii="Times New Roman" w:eastAsia="Times New Roman" w:hAnsi="Times New Roman" w:cs="Times New Roman"/>
        </w:rPr>
        <w:t>s</w:t>
      </w:r>
      <w:r w:rsidR="00172CB9">
        <w:rPr>
          <w:rFonts w:ascii="Times New Roman" w:eastAsia="Times New Roman" w:hAnsi="Times New Roman" w:cs="Times New Roman"/>
        </w:rPr>
        <w:t xml:space="preserve">, </w:t>
      </w:r>
      <w:r w:rsidR="006B4CFD">
        <w:rPr>
          <w:rFonts w:ascii="Times New Roman" w:eastAsia="Times New Roman" w:hAnsi="Times New Roman" w:cs="Times New Roman"/>
        </w:rPr>
        <w:t>those trends</w:t>
      </w:r>
      <w:r w:rsidR="00172CB9">
        <w:rPr>
          <w:rFonts w:ascii="Times New Roman" w:eastAsia="Times New Roman" w:hAnsi="Times New Roman" w:cs="Times New Roman"/>
        </w:rPr>
        <w:t xml:space="preserve"> halted during the 2010-2018 period. </w:t>
      </w:r>
    </w:p>
    <w:p w14:paraId="0C24131A" w14:textId="374DBCC5" w:rsidR="002D5AEF" w:rsidRDefault="7E8BAB69" w:rsidP="00FF6100">
      <w:pPr>
        <w:spacing w:after="0" w:line="480" w:lineRule="auto"/>
        <w:ind w:firstLine="720"/>
        <w:rPr>
          <w:rFonts w:ascii="Times New Roman" w:eastAsia="Times New Roman" w:hAnsi="Times New Roman" w:cs="Times New Roman"/>
        </w:rPr>
      </w:pPr>
      <w:r w:rsidRPr="3E5D69E4">
        <w:rPr>
          <w:rFonts w:ascii="Times New Roman" w:eastAsia="Times New Roman" w:hAnsi="Times New Roman" w:cs="Times New Roman"/>
        </w:rPr>
        <w:t xml:space="preserve"> Hispanics, however, </w:t>
      </w:r>
      <w:r w:rsidR="00834626">
        <w:rPr>
          <w:rFonts w:ascii="Times New Roman" w:eastAsia="Times New Roman" w:hAnsi="Times New Roman" w:cs="Times New Roman"/>
        </w:rPr>
        <w:t>presented</w:t>
      </w:r>
      <w:r w:rsidR="00697260">
        <w:rPr>
          <w:rFonts w:ascii="Times New Roman" w:eastAsia="Times New Roman" w:hAnsi="Times New Roman" w:cs="Times New Roman"/>
        </w:rPr>
        <w:t xml:space="preserve"> baseline</w:t>
      </w:r>
      <w:r w:rsidRPr="3E5D69E4">
        <w:rPr>
          <w:rFonts w:ascii="Times New Roman" w:eastAsia="Times New Roman" w:hAnsi="Times New Roman" w:cs="Times New Roman"/>
        </w:rPr>
        <w:t xml:space="preserve"> </w:t>
      </w:r>
      <w:r w:rsidR="674C5333" w:rsidRPr="3E5D69E4">
        <w:rPr>
          <w:rFonts w:ascii="Times New Roman" w:eastAsia="Times New Roman" w:hAnsi="Times New Roman" w:cs="Times New Roman"/>
        </w:rPr>
        <w:t>levels</w:t>
      </w:r>
      <w:r w:rsidR="007C7F83">
        <w:rPr>
          <w:rFonts w:ascii="Times New Roman" w:eastAsia="Times New Roman" w:hAnsi="Times New Roman" w:cs="Times New Roman"/>
        </w:rPr>
        <w:t xml:space="preserve"> for ADL</w:t>
      </w:r>
      <w:r w:rsidR="00697260">
        <w:rPr>
          <w:rFonts w:ascii="Times New Roman" w:eastAsia="Times New Roman" w:hAnsi="Times New Roman" w:cs="Times New Roman"/>
        </w:rPr>
        <w:t xml:space="preserve"> and IADL in 2000 comparable to non-Hispanic Whites, </w:t>
      </w:r>
      <w:r w:rsidR="002D4807">
        <w:rPr>
          <w:rFonts w:ascii="Times New Roman" w:eastAsia="Times New Roman" w:hAnsi="Times New Roman" w:cs="Times New Roman"/>
        </w:rPr>
        <w:t>whic</w:t>
      </w:r>
      <w:r w:rsidR="45C92A7A" w:rsidRPr="3E5D69E4">
        <w:rPr>
          <w:rFonts w:ascii="Times New Roman" w:eastAsia="Times New Roman" w:hAnsi="Times New Roman" w:cs="Times New Roman"/>
        </w:rPr>
        <w:t>h were</w:t>
      </w:r>
      <w:r w:rsidR="000F7096">
        <w:rPr>
          <w:rFonts w:ascii="Times New Roman" w:eastAsia="Times New Roman" w:hAnsi="Times New Roman" w:cs="Times New Roman"/>
        </w:rPr>
        <w:t xml:space="preserve"> also</w:t>
      </w:r>
      <w:r w:rsidR="45C92A7A" w:rsidRPr="3E5D69E4">
        <w:rPr>
          <w:rFonts w:ascii="Times New Roman" w:eastAsia="Times New Roman" w:hAnsi="Times New Roman" w:cs="Times New Roman"/>
        </w:rPr>
        <w:t xml:space="preserve"> </w:t>
      </w:r>
      <w:r w:rsidR="00140C09">
        <w:rPr>
          <w:rFonts w:ascii="Times New Roman" w:eastAsia="Times New Roman" w:hAnsi="Times New Roman" w:cs="Times New Roman"/>
        </w:rPr>
        <w:t xml:space="preserve">stagnant over the </w:t>
      </w:r>
      <w:r w:rsidR="00D56C73">
        <w:rPr>
          <w:rFonts w:ascii="Times New Roman" w:eastAsia="Times New Roman" w:hAnsi="Times New Roman" w:cs="Times New Roman"/>
        </w:rPr>
        <w:t>decade</w:t>
      </w:r>
      <w:r w:rsidR="00834626">
        <w:rPr>
          <w:rFonts w:ascii="Times New Roman" w:eastAsia="Times New Roman" w:hAnsi="Times New Roman" w:cs="Times New Roman"/>
        </w:rPr>
        <w:t>. However</w:t>
      </w:r>
      <w:r w:rsidR="00184ED9">
        <w:rPr>
          <w:rFonts w:ascii="Times New Roman" w:eastAsia="Times New Roman" w:hAnsi="Times New Roman" w:cs="Times New Roman"/>
        </w:rPr>
        <w:t xml:space="preserve">, </w:t>
      </w:r>
      <w:r w:rsidR="00140C09">
        <w:rPr>
          <w:rFonts w:ascii="Times New Roman" w:eastAsia="Times New Roman" w:hAnsi="Times New Roman" w:cs="Times New Roman"/>
        </w:rPr>
        <w:t>since 2010</w:t>
      </w:r>
      <w:r w:rsidR="00A23A9A">
        <w:rPr>
          <w:rFonts w:ascii="Times New Roman" w:eastAsia="Times New Roman" w:hAnsi="Times New Roman" w:cs="Times New Roman"/>
        </w:rPr>
        <w:t xml:space="preserve">, they presented the </w:t>
      </w:r>
      <w:r w:rsidR="000F7096">
        <w:rPr>
          <w:rFonts w:ascii="Times New Roman" w:eastAsia="Times New Roman" w:hAnsi="Times New Roman" w:cs="Times New Roman"/>
        </w:rPr>
        <w:t>largest increases in prevalence</w:t>
      </w:r>
      <w:r w:rsidR="00A23A9A">
        <w:rPr>
          <w:rFonts w:ascii="Times New Roman" w:eastAsia="Times New Roman" w:hAnsi="Times New Roman" w:cs="Times New Roman"/>
        </w:rPr>
        <w:t xml:space="preserve"> </w:t>
      </w:r>
      <w:r w:rsidR="00D747EE">
        <w:rPr>
          <w:rFonts w:ascii="Times New Roman" w:eastAsia="Times New Roman" w:hAnsi="Times New Roman" w:cs="Times New Roman"/>
        </w:rPr>
        <w:t>for females</w:t>
      </w:r>
      <w:r w:rsidR="00F7619B">
        <w:rPr>
          <w:rFonts w:ascii="Times New Roman" w:eastAsia="Times New Roman" w:hAnsi="Times New Roman" w:cs="Times New Roman"/>
        </w:rPr>
        <w:t xml:space="preserve"> (for males we </w:t>
      </w:r>
      <w:r w:rsidR="002D4807">
        <w:rPr>
          <w:rFonts w:ascii="Times New Roman" w:eastAsia="Times New Roman" w:hAnsi="Times New Roman" w:cs="Times New Roman"/>
        </w:rPr>
        <w:t>could not</w:t>
      </w:r>
      <w:r w:rsidR="00F7619B">
        <w:rPr>
          <w:rFonts w:ascii="Times New Roman" w:eastAsia="Times New Roman" w:hAnsi="Times New Roman" w:cs="Times New Roman"/>
        </w:rPr>
        <w:t xml:space="preserve"> e</w:t>
      </w:r>
      <w:r w:rsidR="00D747EE">
        <w:rPr>
          <w:rFonts w:ascii="Times New Roman" w:eastAsia="Times New Roman" w:hAnsi="Times New Roman" w:cs="Times New Roman"/>
        </w:rPr>
        <w:t xml:space="preserve">stablish </w:t>
      </w:r>
      <w:r w:rsidR="002D4807">
        <w:rPr>
          <w:rFonts w:ascii="Times New Roman" w:eastAsia="Times New Roman" w:hAnsi="Times New Roman" w:cs="Times New Roman"/>
        </w:rPr>
        <w:t>a clear deviation from the previous</w:t>
      </w:r>
      <w:r w:rsidR="00D747EE">
        <w:rPr>
          <w:rFonts w:ascii="Times New Roman" w:eastAsia="Times New Roman" w:hAnsi="Times New Roman" w:cs="Times New Roman"/>
        </w:rPr>
        <w:t xml:space="preserve"> trend</w:t>
      </w:r>
      <w:r w:rsidR="0008225A">
        <w:rPr>
          <w:rFonts w:ascii="Times New Roman" w:eastAsia="Times New Roman" w:hAnsi="Times New Roman" w:cs="Times New Roman"/>
        </w:rPr>
        <w:t xml:space="preserve"> although increases seemed to be apparent</w:t>
      </w:r>
      <w:r w:rsidR="00D747EE">
        <w:rPr>
          <w:rFonts w:ascii="Times New Roman" w:eastAsia="Times New Roman" w:hAnsi="Times New Roman" w:cs="Times New Roman"/>
        </w:rPr>
        <w:t xml:space="preserve">), with </w:t>
      </w:r>
      <w:r w:rsidR="0008225A">
        <w:rPr>
          <w:rFonts w:ascii="Times New Roman" w:eastAsia="Times New Roman" w:hAnsi="Times New Roman" w:cs="Times New Roman"/>
        </w:rPr>
        <w:t xml:space="preserve">relative </w:t>
      </w:r>
      <w:r w:rsidR="00C465F4">
        <w:rPr>
          <w:rFonts w:ascii="Times New Roman" w:eastAsia="Times New Roman" w:hAnsi="Times New Roman" w:cs="Times New Roman"/>
        </w:rPr>
        <w:t>increases of</w:t>
      </w:r>
      <w:r w:rsidR="0008225A">
        <w:rPr>
          <w:rFonts w:ascii="Times New Roman" w:eastAsia="Times New Roman" w:hAnsi="Times New Roman" w:cs="Times New Roman"/>
        </w:rPr>
        <w:t xml:space="preserve"> </w:t>
      </w:r>
      <w:r w:rsidR="00DA3572">
        <w:rPr>
          <w:rFonts w:ascii="Times New Roman" w:eastAsia="Times New Roman" w:hAnsi="Times New Roman" w:cs="Times New Roman"/>
        </w:rPr>
        <w:t>59.5% and 35.4%</w:t>
      </w:r>
      <w:r w:rsidR="00C465F4">
        <w:rPr>
          <w:rFonts w:ascii="Times New Roman" w:eastAsia="Times New Roman" w:hAnsi="Times New Roman" w:cs="Times New Roman"/>
        </w:rPr>
        <w:t xml:space="preserve"> for ADL and IADL</w:t>
      </w:r>
      <w:r w:rsidR="00DA3572">
        <w:rPr>
          <w:rFonts w:ascii="Times New Roman" w:eastAsia="Times New Roman" w:hAnsi="Times New Roman" w:cs="Times New Roman"/>
        </w:rPr>
        <w:t xml:space="preserve"> between 2010 and 2018</w:t>
      </w:r>
      <w:r w:rsidR="00C465F4">
        <w:rPr>
          <w:rFonts w:ascii="Times New Roman" w:eastAsia="Times New Roman" w:hAnsi="Times New Roman" w:cs="Times New Roman"/>
        </w:rPr>
        <w:t xml:space="preserve">, representing an </w:t>
      </w:r>
      <w:r w:rsidR="00C465F4">
        <w:rPr>
          <w:rFonts w:ascii="Times New Roman" w:eastAsia="Times New Roman" w:hAnsi="Times New Roman" w:cs="Times New Roman"/>
        </w:rPr>
        <w:lastRenderedPageBreak/>
        <w:t xml:space="preserve">overall change </w:t>
      </w:r>
      <w:r w:rsidR="00DA3572">
        <w:rPr>
          <w:rFonts w:ascii="Times New Roman" w:eastAsia="Times New Roman" w:hAnsi="Times New Roman" w:cs="Times New Roman"/>
        </w:rPr>
        <w:t>of 83.6% and 48.5% for the whole 18-year period</w:t>
      </w:r>
      <w:r w:rsidR="00FF6100">
        <w:rPr>
          <w:rFonts w:ascii="Times New Roman" w:eastAsia="Times New Roman" w:hAnsi="Times New Roman" w:cs="Times New Roman"/>
        </w:rPr>
        <w:t>, but with estimated prevalences still below the ones observed for non-Hispanic Blacks.</w:t>
      </w:r>
    </w:p>
    <w:p w14:paraId="109D9AE1" w14:textId="77777777" w:rsidR="003910D8" w:rsidRDefault="003910D8" w:rsidP="003910D8"/>
    <w:p w14:paraId="094B51AE" w14:textId="6E1CAFCE" w:rsidR="003910D8" w:rsidRDefault="003910D8" w:rsidP="003910D8">
      <w:pPr>
        <w:rPr>
          <w:rFonts w:ascii="Times New Roman" w:eastAsia="Times New Roman" w:hAnsi="Times New Roman" w:cs="Times New Roman"/>
          <w:u w:val="single"/>
        </w:rPr>
      </w:pPr>
      <w:r w:rsidRPr="009E48BA">
        <w:t xml:space="preserve">Table </w:t>
      </w:r>
      <w:proofErr w:type="gramStart"/>
      <w:r>
        <w:t>3</w:t>
      </w:r>
      <w:r w:rsidRPr="009E48BA">
        <w:t xml:space="preserve"> :</w:t>
      </w:r>
      <w:proofErr w:type="gramEnd"/>
      <w:r w:rsidRPr="009E48BA">
        <w:t xml:space="preserve"> </w:t>
      </w:r>
      <w:r w:rsidR="00FF6100" w:rsidRPr="004955FF">
        <w:rPr>
          <w:rFonts w:ascii="Times New Roman" w:eastAsia="Times New Roman" w:hAnsi="Times New Roman" w:cs="Times New Roman"/>
          <w:sz w:val="22"/>
          <w:szCs w:val="22"/>
          <w:u w:val="single"/>
        </w:rPr>
        <w:t>Predicted</w:t>
      </w:r>
      <w:r w:rsidR="00FF6100">
        <w:rPr>
          <w:rFonts w:ascii="Times New Roman" w:eastAsia="Times New Roman" w:hAnsi="Times New Roman" w:cs="Times New Roman"/>
          <w:sz w:val="22"/>
          <w:szCs w:val="22"/>
          <w:u w:val="single"/>
        </w:rPr>
        <w:t xml:space="preserve"> </w:t>
      </w:r>
      <w:r w:rsidR="00FF6100" w:rsidRPr="004955FF">
        <w:rPr>
          <w:rFonts w:ascii="Times New Roman" w:eastAsia="Times New Roman" w:hAnsi="Times New Roman" w:cs="Times New Roman"/>
          <w:sz w:val="22"/>
          <w:szCs w:val="22"/>
          <w:u w:val="single"/>
        </w:rPr>
        <w:t xml:space="preserve">ADL </w:t>
      </w:r>
      <w:r w:rsidR="00FF6100">
        <w:rPr>
          <w:rFonts w:ascii="Times New Roman" w:eastAsia="Times New Roman" w:hAnsi="Times New Roman" w:cs="Times New Roman"/>
          <w:sz w:val="22"/>
          <w:szCs w:val="22"/>
          <w:u w:val="single"/>
        </w:rPr>
        <w:t xml:space="preserve">and IADL </w:t>
      </w:r>
      <w:r w:rsidR="00FF6100" w:rsidRPr="004955FF">
        <w:rPr>
          <w:rFonts w:ascii="Times New Roman" w:eastAsia="Times New Roman" w:hAnsi="Times New Roman" w:cs="Times New Roman"/>
          <w:sz w:val="22"/>
          <w:szCs w:val="22"/>
          <w:u w:val="single"/>
        </w:rPr>
        <w:t xml:space="preserve">prevalence </w:t>
      </w:r>
      <w:r w:rsidR="00FF6100">
        <w:rPr>
          <w:rFonts w:ascii="Times New Roman" w:eastAsia="Times New Roman" w:hAnsi="Times New Roman" w:cs="Times New Roman"/>
          <w:u w:val="single"/>
        </w:rPr>
        <w:t>and Relative Change</w:t>
      </w:r>
      <w:r w:rsidR="00FF6100" w:rsidRPr="004955FF">
        <w:rPr>
          <w:rFonts w:ascii="Times New Roman" w:eastAsia="Times New Roman" w:hAnsi="Times New Roman" w:cs="Times New Roman"/>
          <w:sz w:val="22"/>
          <w:szCs w:val="22"/>
          <w:u w:val="single"/>
        </w:rPr>
        <w:t xml:space="preserve"> by sex,</w:t>
      </w:r>
      <w:r w:rsidR="00FF6100">
        <w:rPr>
          <w:rFonts w:ascii="Times New Roman" w:eastAsia="Times New Roman" w:hAnsi="Times New Roman" w:cs="Times New Roman"/>
          <w:u w:val="single"/>
        </w:rPr>
        <w:t xml:space="preserve"> </w:t>
      </w:r>
      <w:r w:rsidR="00FF6100" w:rsidRPr="004955FF">
        <w:rPr>
          <w:rFonts w:ascii="Times New Roman" w:eastAsia="Times New Roman" w:hAnsi="Times New Roman" w:cs="Times New Roman"/>
          <w:sz w:val="22"/>
          <w:szCs w:val="22"/>
          <w:u w:val="single"/>
        </w:rPr>
        <w:t>race and ethnicity</w:t>
      </w:r>
      <w:r w:rsidR="00FF6100">
        <w:rPr>
          <w:rFonts w:ascii="Times New Roman" w:eastAsia="Times New Roman" w:hAnsi="Times New Roman" w:cs="Times New Roman"/>
          <w:sz w:val="22"/>
          <w:szCs w:val="22"/>
          <w:u w:val="single"/>
        </w:rPr>
        <w:t xml:space="preserve"> for years</w:t>
      </w:r>
      <w:r w:rsidR="00FF6100" w:rsidRPr="004955FF">
        <w:rPr>
          <w:rFonts w:ascii="Times New Roman" w:eastAsia="Times New Roman" w:hAnsi="Times New Roman" w:cs="Times New Roman"/>
          <w:sz w:val="22"/>
          <w:szCs w:val="22"/>
          <w:u w:val="single"/>
        </w:rPr>
        <w:t xml:space="preserve"> 2000</w:t>
      </w:r>
      <w:r w:rsidR="00FF6100">
        <w:rPr>
          <w:rFonts w:ascii="Times New Roman" w:eastAsia="Times New Roman" w:hAnsi="Times New Roman" w:cs="Times New Roman"/>
          <w:sz w:val="22"/>
          <w:szCs w:val="22"/>
          <w:u w:val="single"/>
        </w:rPr>
        <w:t>, 2010 and 2018</w:t>
      </w:r>
      <w:r w:rsidR="00FF6100">
        <w:rPr>
          <w:rFonts w:ascii="Times New Roman" w:eastAsia="Times New Roman" w:hAnsi="Times New Roman" w:cs="Times New Roman"/>
          <w:u w:val="single"/>
        </w:rPr>
        <w:t xml:space="preserve">, </w:t>
      </w:r>
      <w:r>
        <w:rPr>
          <w:rFonts w:ascii="Times New Roman" w:eastAsia="Times New Roman" w:hAnsi="Times New Roman" w:cs="Times New Roman"/>
          <w:u w:val="single"/>
        </w:rPr>
        <w:t xml:space="preserve">group aged 65-74 </w:t>
      </w:r>
    </w:p>
    <w:p w14:paraId="5FB7289B" w14:textId="77777777" w:rsidR="003910D8" w:rsidRDefault="003910D8" w:rsidP="00A12CF5">
      <w:pPr>
        <w:spacing w:after="0" w:line="480" w:lineRule="auto"/>
        <w:ind w:firstLine="720"/>
        <w:rPr>
          <w:rFonts w:ascii="Times New Roman" w:eastAsia="Times New Roman" w:hAnsi="Times New Roman" w:cs="Times New Roman"/>
        </w:rPr>
      </w:pPr>
    </w:p>
    <w:p w14:paraId="684B39AE" w14:textId="7736F02C" w:rsidR="001728F9" w:rsidRDefault="003910D8"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Table 3 presented the results for the f</w:t>
      </w:r>
      <w:r w:rsidR="07BD85FE" w:rsidRPr="3E5D69E4">
        <w:rPr>
          <w:rFonts w:ascii="Times New Roman" w:eastAsia="Times New Roman" w:hAnsi="Times New Roman" w:cs="Times New Roman"/>
        </w:rPr>
        <w:t xml:space="preserve">or the </w:t>
      </w:r>
      <w:r w:rsidR="0077292A">
        <w:rPr>
          <w:rFonts w:ascii="Times New Roman" w:eastAsia="Times New Roman" w:hAnsi="Times New Roman" w:cs="Times New Roman"/>
        </w:rPr>
        <w:t xml:space="preserve">65-74 age </w:t>
      </w:r>
      <w:r w:rsidR="07BD85FE" w:rsidRPr="3E5D69E4">
        <w:rPr>
          <w:rFonts w:ascii="Times New Roman" w:eastAsia="Times New Roman" w:hAnsi="Times New Roman" w:cs="Times New Roman"/>
        </w:rPr>
        <w:t>group</w:t>
      </w:r>
      <w:r>
        <w:rPr>
          <w:rFonts w:ascii="Times New Roman" w:eastAsia="Times New Roman" w:hAnsi="Times New Roman" w:cs="Times New Roman"/>
        </w:rPr>
        <w:t>.</w:t>
      </w:r>
      <w:r w:rsidR="001728F9">
        <w:rPr>
          <w:rFonts w:ascii="Times New Roman" w:eastAsia="Times New Roman" w:hAnsi="Times New Roman" w:cs="Times New Roman"/>
        </w:rPr>
        <w:t xml:space="preserve"> </w:t>
      </w:r>
      <w:r w:rsidR="00314361">
        <w:rPr>
          <w:rFonts w:ascii="Times New Roman" w:eastAsia="Times New Roman" w:hAnsi="Times New Roman" w:cs="Times New Roman"/>
        </w:rPr>
        <w:t>Once a</w:t>
      </w:r>
      <w:r w:rsidR="00BC2F06">
        <w:rPr>
          <w:rFonts w:ascii="Times New Roman" w:eastAsia="Times New Roman" w:hAnsi="Times New Roman" w:cs="Times New Roman"/>
        </w:rPr>
        <w:t xml:space="preserve">gain, </w:t>
      </w:r>
      <w:r w:rsidR="001728F9">
        <w:rPr>
          <w:rFonts w:ascii="Times New Roman" w:eastAsia="Times New Roman" w:hAnsi="Times New Roman" w:cs="Times New Roman"/>
        </w:rPr>
        <w:t xml:space="preserve">non-Hispanic Blacks </w:t>
      </w:r>
      <w:r w:rsidR="00BC2F06">
        <w:rPr>
          <w:rFonts w:ascii="Times New Roman" w:eastAsia="Times New Roman" w:hAnsi="Times New Roman" w:cs="Times New Roman"/>
        </w:rPr>
        <w:t>had</w:t>
      </w:r>
      <w:r w:rsidR="001728F9">
        <w:rPr>
          <w:rFonts w:ascii="Times New Roman" w:eastAsia="Times New Roman" w:hAnsi="Times New Roman" w:cs="Times New Roman"/>
        </w:rPr>
        <w:t xml:space="preserve"> higher</w:t>
      </w:r>
      <w:r w:rsidR="00BC2F06">
        <w:rPr>
          <w:rFonts w:ascii="Times New Roman" w:eastAsia="Times New Roman" w:hAnsi="Times New Roman" w:cs="Times New Roman"/>
        </w:rPr>
        <w:t xml:space="preserve"> baseline</w:t>
      </w:r>
      <w:r w:rsidR="001728F9">
        <w:rPr>
          <w:rFonts w:ascii="Times New Roman" w:eastAsia="Times New Roman" w:hAnsi="Times New Roman" w:cs="Times New Roman"/>
        </w:rPr>
        <w:t xml:space="preserve"> prevalences than non-Hispanic Whites</w:t>
      </w:r>
      <w:r w:rsidR="00BC2F06">
        <w:rPr>
          <w:rFonts w:ascii="Times New Roman" w:eastAsia="Times New Roman" w:hAnsi="Times New Roman" w:cs="Times New Roman"/>
        </w:rPr>
        <w:t xml:space="preserve"> and Hispanics</w:t>
      </w:r>
      <w:r w:rsidR="00C5189E">
        <w:rPr>
          <w:rFonts w:ascii="Times New Roman" w:eastAsia="Times New Roman" w:hAnsi="Times New Roman" w:cs="Times New Roman"/>
        </w:rPr>
        <w:t xml:space="preserve">, with differences above one prevalence point in all cases (and </w:t>
      </w:r>
      <w:r w:rsidR="00C0240B">
        <w:rPr>
          <w:rFonts w:ascii="Times New Roman" w:eastAsia="Times New Roman" w:hAnsi="Times New Roman" w:cs="Times New Roman"/>
        </w:rPr>
        <w:t>almost doubling the baseline estimates of the remaining groups for female IADL)</w:t>
      </w:r>
      <w:r w:rsidR="001728F9">
        <w:rPr>
          <w:rFonts w:ascii="Times New Roman" w:eastAsia="Times New Roman" w:hAnsi="Times New Roman" w:cs="Times New Roman"/>
        </w:rPr>
        <w:t xml:space="preserve">. </w:t>
      </w:r>
    </w:p>
    <w:p w14:paraId="09F033DE" w14:textId="4505994A" w:rsidR="00F27F43" w:rsidRDefault="008077E8"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Within this age group, in</w:t>
      </w:r>
      <w:r w:rsidR="002B1E7B">
        <w:rPr>
          <w:rFonts w:ascii="Times New Roman" w:eastAsia="Times New Roman" w:hAnsi="Times New Roman" w:cs="Times New Roman"/>
        </w:rPr>
        <w:t xml:space="preserve"> </w:t>
      </w:r>
      <w:r>
        <w:rPr>
          <w:rFonts w:ascii="Times New Roman" w:eastAsia="Times New Roman" w:hAnsi="Times New Roman" w:cs="Times New Roman"/>
        </w:rPr>
        <w:t xml:space="preserve">most </w:t>
      </w:r>
      <w:r w:rsidR="002B1E7B">
        <w:rPr>
          <w:rFonts w:ascii="Times New Roman" w:eastAsia="Times New Roman" w:hAnsi="Times New Roman" w:cs="Times New Roman"/>
        </w:rPr>
        <w:t xml:space="preserve">cases we </w:t>
      </w:r>
      <w:r w:rsidR="00FD1C5D">
        <w:rPr>
          <w:rFonts w:ascii="Times New Roman" w:eastAsia="Times New Roman" w:hAnsi="Times New Roman" w:cs="Times New Roman"/>
        </w:rPr>
        <w:t>could not observe a clear</w:t>
      </w:r>
      <w:r w:rsidR="00183067">
        <w:rPr>
          <w:rFonts w:ascii="Times New Roman" w:eastAsia="Times New Roman" w:hAnsi="Times New Roman" w:cs="Times New Roman"/>
        </w:rPr>
        <w:t xml:space="preserve"> prevalence</w:t>
      </w:r>
      <w:r w:rsidR="00FD1C5D">
        <w:rPr>
          <w:rFonts w:ascii="Times New Roman" w:eastAsia="Times New Roman" w:hAnsi="Times New Roman" w:cs="Times New Roman"/>
        </w:rPr>
        <w:t xml:space="preserve"> trend</w:t>
      </w:r>
      <w:r w:rsidR="00183067">
        <w:rPr>
          <w:rFonts w:ascii="Times New Roman" w:eastAsia="Times New Roman" w:hAnsi="Times New Roman" w:cs="Times New Roman"/>
        </w:rPr>
        <w:t>. However, we can point out that</w:t>
      </w:r>
      <w:r w:rsidR="00FD1C5D">
        <w:rPr>
          <w:rFonts w:ascii="Times New Roman" w:eastAsia="Times New Roman" w:hAnsi="Times New Roman" w:cs="Times New Roman"/>
        </w:rPr>
        <w:t xml:space="preserve"> ADL limitations</w:t>
      </w:r>
      <w:r w:rsidR="00BF7ECE">
        <w:rPr>
          <w:rFonts w:ascii="Times New Roman" w:eastAsia="Times New Roman" w:hAnsi="Times New Roman" w:cs="Times New Roman"/>
        </w:rPr>
        <w:t xml:space="preserve"> among female</w:t>
      </w:r>
      <w:r w:rsidR="00183067">
        <w:rPr>
          <w:rFonts w:ascii="Times New Roman" w:eastAsia="Times New Roman" w:hAnsi="Times New Roman" w:cs="Times New Roman"/>
        </w:rPr>
        <w:t>s</w:t>
      </w:r>
      <w:r w:rsidR="00BF7ECE">
        <w:rPr>
          <w:rFonts w:ascii="Times New Roman" w:eastAsia="Times New Roman" w:hAnsi="Times New Roman" w:cs="Times New Roman"/>
        </w:rPr>
        <w:t xml:space="preserve"> have increased for non-Hispanic Whites during the first decade </w:t>
      </w:r>
      <w:r w:rsidR="00A92FB2">
        <w:rPr>
          <w:rFonts w:ascii="Times New Roman" w:eastAsia="Times New Roman" w:hAnsi="Times New Roman" w:cs="Times New Roman"/>
        </w:rPr>
        <w:t xml:space="preserve">with an increase of </w:t>
      </w:r>
      <w:r w:rsidR="00BF7ECE">
        <w:rPr>
          <w:rFonts w:ascii="Times New Roman" w:eastAsia="Times New Roman" w:hAnsi="Times New Roman" w:cs="Times New Roman"/>
        </w:rPr>
        <w:t>37.7%</w:t>
      </w:r>
      <w:r w:rsidR="00A92FB2">
        <w:rPr>
          <w:rFonts w:ascii="Times New Roman" w:eastAsia="Times New Roman" w:hAnsi="Times New Roman" w:cs="Times New Roman"/>
        </w:rPr>
        <w:t xml:space="preserve">, only to </w:t>
      </w:r>
      <w:r w:rsidR="004C140A">
        <w:rPr>
          <w:rFonts w:ascii="Times New Roman" w:eastAsia="Times New Roman" w:hAnsi="Times New Roman" w:cs="Times New Roman"/>
        </w:rPr>
        <w:t>stagnate between 2010 and 2018</w:t>
      </w:r>
      <w:r w:rsidR="00A92FB2">
        <w:rPr>
          <w:rFonts w:ascii="Times New Roman" w:eastAsia="Times New Roman" w:hAnsi="Times New Roman" w:cs="Times New Roman"/>
        </w:rPr>
        <w:t xml:space="preserve">, like the 50-64 </w:t>
      </w:r>
      <w:r w:rsidR="004C140A">
        <w:rPr>
          <w:rFonts w:ascii="Times New Roman" w:eastAsia="Times New Roman" w:hAnsi="Times New Roman" w:cs="Times New Roman"/>
        </w:rPr>
        <w:t>age group). Moreover, we also found a prevalence increase for</w:t>
      </w:r>
      <w:r w:rsidR="002C2E76">
        <w:rPr>
          <w:rFonts w:ascii="Times New Roman" w:eastAsia="Times New Roman" w:hAnsi="Times New Roman" w:cs="Times New Roman"/>
        </w:rPr>
        <w:t xml:space="preserve"> non-Hispanic Blacks </w:t>
      </w:r>
      <w:r w:rsidR="001A573A">
        <w:rPr>
          <w:rFonts w:ascii="Times New Roman" w:eastAsia="Times New Roman" w:hAnsi="Times New Roman" w:cs="Times New Roman"/>
        </w:rPr>
        <w:t xml:space="preserve">in the 18-year period (with </w:t>
      </w:r>
      <w:r w:rsidR="00A92FB2">
        <w:rPr>
          <w:rFonts w:ascii="Times New Roman" w:eastAsia="Times New Roman" w:hAnsi="Times New Roman" w:cs="Times New Roman"/>
        </w:rPr>
        <w:t xml:space="preserve">an overall </w:t>
      </w:r>
      <w:r w:rsidR="001A573A">
        <w:rPr>
          <w:rFonts w:ascii="Times New Roman" w:eastAsia="Times New Roman" w:hAnsi="Times New Roman" w:cs="Times New Roman"/>
        </w:rPr>
        <w:t xml:space="preserve">increase of </w:t>
      </w:r>
      <w:r w:rsidR="00A92FB2">
        <w:rPr>
          <w:rFonts w:ascii="Times New Roman" w:eastAsia="Times New Roman" w:hAnsi="Times New Roman" w:cs="Times New Roman"/>
        </w:rPr>
        <w:t>58.7%)</w:t>
      </w:r>
      <w:r w:rsidR="001A573A">
        <w:rPr>
          <w:rFonts w:ascii="Times New Roman" w:eastAsia="Times New Roman" w:hAnsi="Times New Roman" w:cs="Times New Roman"/>
        </w:rPr>
        <w:t>, possibly driven by increases in both decades</w:t>
      </w:r>
      <w:r w:rsidR="004C17E1">
        <w:rPr>
          <w:rFonts w:ascii="Times New Roman" w:eastAsia="Times New Roman" w:hAnsi="Times New Roman" w:cs="Times New Roman"/>
        </w:rPr>
        <w:t>, representing the largest increase of all groups the analyzed period</w:t>
      </w:r>
      <w:r w:rsidR="001A573A">
        <w:rPr>
          <w:rFonts w:ascii="Times New Roman" w:eastAsia="Times New Roman" w:hAnsi="Times New Roman" w:cs="Times New Roman"/>
        </w:rPr>
        <w:t>.</w:t>
      </w:r>
    </w:p>
    <w:p w14:paraId="45169520" w14:textId="3F71E814" w:rsidR="002B1E7B" w:rsidRDefault="00F27F43"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For Hispanics, while we</w:t>
      </w:r>
      <w:r w:rsidR="002108BD">
        <w:rPr>
          <w:rFonts w:ascii="Times New Roman" w:eastAsia="Times New Roman" w:hAnsi="Times New Roman" w:cs="Times New Roman"/>
        </w:rPr>
        <w:t xml:space="preserve"> could not establish a clear deviation from the baseline</w:t>
      </w:r>
      <w:r w:rsidR="00123FE6">
        <w:rPr>
          <w:rFonts w:ascii="Times New Roman" w:eastAsia="Times New Roman" w:hAnsi="Times New Roman" w:cs="Times New Roman"/>
        </w:rPr>
        <w:t xml:space="preserve"> (arguably due to sample size)</w:t>
      </w:r>
      <w:r>
        <w:rPr>
          <w:rFonts w:ascii="Times New Roman" w:eastAsia="Times New Roman" w:hAnsi="Times New Roman" w:cs="Times New Roman"/>
        </w:rPr>
        <w:t>, the trend suggest</w:t>
      </w:r>
      <w:r w:rsidR="00123FE6">
        <w:rPr>
          <w:rFonts w:ascii="Times New Roman" w:eastAsia="Times New Roman" w:hAnsi="Times New Roman" w:cs="Times New Roman"/>
        </w:rPr>
        <w:t>s</w:t>
      </w:r>
      <w:r>
        <w:rPr>
          <w:rFonts w:ascii="Times New Roman" w:eastAsia="Times New Roman" w:hAnsi="Times New Roman" w:cs="Times New Roman"/>
        </w:rPr>
        <w:t xml:space="preserve"> </w:t>
      </w:r>
      <w:r w:rsidR="00123FE6">
        <w:rPr>
          <w:rFonts w:ascii="Times New Roman" w:eastAsia="Times New Roman" w:hAnsi="Times New Roman" w:cs="Times New Roman"/>
        </w:rPr>
        <w:t>possible</w:t>
      </w:r>
      <w:r w:rsidR="00A24097">
        <w:rPr>
          <w:rFonts w:ascii="Times New Roman" w:eastAsia="Times New Roman" w:hAnsi="Times New Roman" w:cs="Times New Roman"/>
        </w:rPr>
        <w:t xml:space="preserve"> strong increases in prevalence </w:t>
      </w:r>
      <w:r w:rsidR="002F1D49">
        <w:rPr>
          <w:rFonts w:ascii="Times New Roman" w:eastAsia="Times New Roman" w:hAnsi="Times New Roman" w:cs="Times New Roman"/>
        </w:rPr>
        <w:t xml:space="preserve">between 2010 and 2018, representing possible increases </w:t>
      </w:r>
      <w:r w:rsidR="00123FE6">
        <w:rPr>
          <w:rFonts w:ascii="Times New Roman" w:eastAsia="Times New Roman" w:hAnsi="Times New Roman" w:cs="Times New Roman"/>
        </w:rPr>
        <w:t>above 40% in all cases for the 18-year period</w:t>
      </w:r>
      <w:r w:rsidR="00DF09E6">
        <w:rPr>
          <w:rFonts w:ascii="Times New Roman" w:eastAsia="Times New Roman" w:hAnsi="Times New Roman" w:cs="Times New Roman"/>
        </w:rPr>
        <w:t>, representing the largest gains of all groups (except ADL for females)</w:t>
      </w:r>
      <w:r w:rsidR="004C17E1">
        <w:rPr>
          <w:rFonts w:ascii="Times New Roman" w:eastAsia="Times New Roman" w:hAnsi="Times New Roman" w:cs="Times New Roman"/>
        </w:rPr>
        <w:t xml:space="preserve">. </w:t>
      </w:r>
    </w:p>
    <w:p w14:paraId="240C9D6B" w14:textId="77777777" w:rsidR="00DF09E6" w:rsidRDefault="00DF09E6" w:rsidP="00A12CF5">
      <w:pPr>
        <w:spacing w:after="0" w:line="480" w:lineRule="auto"/>
        <w:ind w:firstLine="720"/>
      </w:pPr>
    </w:p>
    <w:p w14:paraId="22AB28E3" w14:textId="1B68F1B0" w:rsidR="00C904F0" w:rsidRDefault="00C904F0" w:rsidP="00A12CF5">
      <w:pPr>
        <w:spacing w:after="0" w:line="480" w:lineRule="auto"/>
        <w:ind w:firstLine="720"/>
        <w:rPr>
          <w:rFonts w:ascii="Times New Roman" w:eastAsia="Times New Roman" w:hAnsi="Times New Roman" w:cs="Times New Roman"/>
          <w:u w:val="single"/>
        </w:rPr>
      </w:pPr>
      <w:r w:rsidRPr="009E48BA">
        <w:t xml:space="preserve">Table </w:t>
      </w:r>
      <w:proofErr w:type="gramStart"/>
      <w:r>
        <w:t>4</w:t>
      </w:r>
      <w:r w:rsidRPr="009E48BA">
        <w:t xml:space="preserve"> :</w:t>
      </w:r>
      <w:proofErr w:type="gramEnd"/>
      <w:r w:rsidRPr="009E48BA">
        <w:t xml:space="preserve"> </w:t>
      </w:r>
      <w:r w:rsidR="00FF6100" w:rsidRPr="004955FF">
        <w:rPr>
          <w:rFonts w:ascii="Times New Roman" w:eastAsia="Times New Roman" w:hAnsi="Times New Roman" w:cs="Times New Roman"/>
          <w:sz w:val="22"/>
          <w:szCs w:val="22"/>
          <w:u w:val="single"/>
        </w:rPr>
        <w:t>Predicted</w:t>
      </w:r>
      <w:r w:rsidR="00FF6100">
        <w:rPr>
          <w:rFonts w:ascii="Times New Roman" w:eastAsia="Times New Roman" w:hAnsi="Times New Roman" w:cs="Times New Roman"/>
          <w:sz w:val="22"/>
          <w:szCs w:val="22"/>
          <w:u w:val="single"/>
        </w:rPr>
        <w:t xml:space="preserve"> </w:t>
      </w:r>
      <w:r w:rsidR="00FF6100" w:rsidRPr="004955FF">
        <w:rPr>
          <w:rFonts w:ascii="Times New Roman" w:eastAsia="Times New Roman" w:hAnsi="Times New Roman" w:cs="Times New Roman"/>
          <w:sz w:val="22"/>
          <w:szCs w:val="22"/>
          <w:u w:val="single"/>
        </w:rPr>
        <w:t xml:space="preserve">ADL </w:t>
      </w:r>
      <w:r w:rsidR="00FF6100">
        <w:rPr>
          <w:rFonts w:ascii="Times New Roman" w:eastAsia="Times New Roman" w:hAnsi="Times New Roman" w:cs="Times New Roman"/>
          <w:sz w:val="22"/>
          <w:szCs w:val="22"/>
          <w:u w:val="single"/>
        </w:rPr>
        <w:t xml:space="preserve">and IADL </w:t>
      </w:r>
      <w:r w:rsidR="00FF6100" w:rsidRPr="004955FF">
        <w:rPr>
          <w:rFonts w:ascii="Times New Roman" w:eastAsia="Times New Roman" w:hAnsi="Times New Roman" w:cs="Times New Roman"/>
          <w:sz w:val="22"/>
          <w:szCs w:val="22"/>
          <w:u w:val="single"/>
        </w:rPr>
        <w:t xml:space="preserve">prevalence </w:t>
      </w:r>
      <w:r w:rsidR="00FF6100">
        <w:rPr>
          <w:rFonts w:ascii="Times New Roman" w:eastAsia="Times New Roman" w:hAnsi="Times New Roman" w:cs="Times New Roman"/>
          <w:u w:val="single"/>
        </w:rPr>
        <w:t>and Relative Change</w:t>
      </w:r>
      <w:r w:rsidR="00FF6100" w:rsidRPr="004955FF">
        <w:rPr>
          <w:rFonts w:ascii="Times New Roman" w:eastAsia="Times New Roman" w:hAnsi="Times New Roman" w:cs="Times New Roman"/>
          <w:sz w:val="22"/>
          <w:szCs w:val="22"/>
          <w:u w:val="single"/>
        </w:rPr>
        <w:t xml:space="preserve"> by sex,</w:t>
      </w:r>
      <w:r w:rsidR="00FF6100">
        <w:rPr>
          <w:rFonts w:ascii="Times New Roman" w:eastAsia="Times New Roman" w:hAnsi="Times New Roman" w:cs="Times New Roman"/>
          <w:u w:val="single"/>
        </w:rPr>
        <w:t xml:space="preserve"> </w:t>
      </w:r>
      <w:r w:rsidR="00FF6100" w:rsidRPr="004955FF">
        <w:rPr>
          <w:rFonts w:ascii="Times New Roman" w:eastAsia="Times New Roman" w:hAnsi="Times New Roman" w:cs="Times New Roman"/>
          <w:sz w:val="22"/>
          <w:szCs w:val="22"/>
          <w:u w:val="single"/>
        </w:rPr>
        <w:t>race and ethnicity</w:t>
      </w:r>
      <w:r w:rsidR="00FF6100">
        <w:rPr>
          <w:rFonts w:ascii="Times New Roman" w:eastAsia="Times New Roman" w:hAnsi="Times New Roman" w:cs="Times New Roman"/>
          <w:sz w:val="22"/>
          <w:szCs w:val="22"/>
          <w:u w:val="single"/>
        </w:rPr>
        <w:t xml:space="preserve"> for years</w:t>
      </w:r>
      <w:r w:rsidR="00FF6100" w:rsidRPr="004955FF">
        <w:rPr>
          <w:rFonts w:ascii="Times New Roman" w:eastAsia="Times New Roman" w:hAnsi="Times New Roman" w:cs="Times New Roman"/>
          <w:sz w:val="22"/>
          <w:szCs w:val="22"/>
          <w:u w:val="single"/>
        </w:rPr>
        <w:t xml:space="preserve"> 2000</w:t>
      </w:r>
      <w:r w:rsidR="00FF6100">
        <w:rPr>
          <w:rFonts w:ascii="Times New Roman" w:eastAsia="Times New Roman" w:hAnsi="Times New Roman" w:cs="Times New Roman"/>
          <w:sz w:val="22"/>
          <w:szCs w:val="22"/>
          <w:u w:val="single"/>
        </w:rPr>
        <w:t>, 2010 and 2018</w:t>
      </w:r>
      <w:r w:rsidR="00FF6100">
        <w:rPr>
          <w:rFonts w:ascii="Times New Roman" w:eastAsia="Times New Roman" w:hAnsi="Times New Roman" w:cs="Times New Roman"/>
          <w:u w:val="single"/>
        </w:rPr>
        <w:t xml:space="preserve">, </w:t>
      </w:r>
      <w:r>
        <w:rPr>
          <w:rFonts w:ascii="Times New Roman" w:eastAsia="Times New Roman" w:hAnsi="Times New Roman" w:cs="Times New Roman"/>
          <w:u w:val="single"/>
        </w:rPr>
        <w:t>group aged 75-84</w:t>
      </w:r>
    </w:p>
    <w:p w14:paraId="2A5AF9A8" w14:textId="77777777" w:rsidR="00C904F0" w:rsidRDefault="00C904F0" w:rsidP="00A12CF5">
      <w:pPr>
        <w:spacing w:after="0" w:line="480" w:lineRule="auto"/>
        <w:ind w:firstLine="720"/>
        <w:rPr>
          <w:rFonts w:ascii="Times New Roman" w:eastAsia="Times New Roman" w:hAnsi="Times New Roman" w:cs="Times New Roman"/>
        </w:rPr>
      </w:pPr>
    </w:p>
    <w:p w14:paraId="1560F8A7" w14:textId="580C78D9" w:rsidR="00372381" w:rsidRDefault="00C904F0" w:rsidP="00F768EA">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Table 4 analyzed trends for the 75-84 age group</w:t>
      </w:r>
      <w:r w:rsidR="00CE3FEA">
        <w:rPr>
          <w:rFonts w:ascii="Times New Roman" w:eastAsia="Times New Roman" w:hAnsi="Times New Roman" w:cs="Times New Roman"/>
        </w:rPr>
        <w:t>, which</w:t>
      </w:r>
      <w:r>
        <w:rPr>
          <w:rFonts w:ascii="Times New Roman" w:eastAsia="Times New Roman" w:hAnsi="Times New Roman" w:cs="Times New Roman"/>
        </w:rPr>
        <w:t xml:space="preserve"> </w:t>
      </w:r>
      <w:r w:rsidRPr="67C8E18F">
        <w:rPr>
          <w:rFonts w:ascii="Times New Roman" w:eastAsia="Times New Roman" w:hAnsi="Times New Roman" w:cs="Times New Roman"/>
        </w:rPr>
        <w:t>presented a markedly higher prevalence</w:t>
      </w:r>
      <w:r w:rsidR="00FA688A">
        <w:rPr>
          <w:rFonts w:ascii="Times New Roman" w:eastAsia="Times New Roman" w:hAnsi="Times New Roman" w:cs="Times New Roman"/>
        </w:rPr>
        <w:t xml:space="preserve"> in the year 2000</w:t>
      </w:r>
      <w:r w:rsidRPr="67C8E18F">
        <w:rPr>
          <w:rFonts w:ascii="Times New Roman" w:eastAsia="Times New Roman" w:hAnsi="Times New Roman" w:cs="Times New Roman"/>
        </w:rPr>
        <w:t xml:space="preserve"> </w:t>
      </w:r>
      <w:r w:rsidR="00FA688A">
        <w:rPr>
          <w:rFonts w:ascii="Times New Roman" w:eastAsia="Times New Roman" w:hAnsi="Times New Roman" w:cs="Times New Roman"/>
        </w:rPr>
        <w:t>f</w:t>
      </w:r>
      <w:r w:rsidRPr="67C8E18F">
        <w:rPr>
          <w:rFonts w:ascii="Times New Roman" w:eastAsia="Times New Roman" w:hAnsi="Times New Roman" w:cs="Times New Roman"/>
        </w:rPr>
        <w:t xml:space="preserve">or </w:t>
      </w:r>
      <w:r>
        <w:rPr>
          <w:rFonts w:ascii="Times New Roman" w:eastAsia="Times New Roman" w:hAnsi="Times New Roman" w:cs="Times New Roman"/>
        </w:rPr>
        <w:t>ADL and IADL</w:t>
      </w:r>
      <w:r w:rsidRPr="67C8E18F">
        <w:rPr>
          <w:rFonts w:ascii="Times New Roman" w:eastAsia="Times New Roman" w:hAnsi="Times New Roman" w:cs="Times New Roman"/>
        </w:rPr>
        <w:t xml:space="preserve"> limitations</w:t>
      </w:r>
      <w:r w:rsidR="00FA688A">
        <w:rPr>
          <w:rFonts w:ascii="Times New Roman" w:eastAsia="Times New Roman" w:hAnsi="Times New Roman" w:cs="Times New Roman"/>
        </w:rPr>
        <w:t>, with baseline prevalence estimates almost doubling</w:t>
      </w:r>
      <w:r w:rsidR="001E489B">
        <w:rPr>
          <w:rFonts w:ascii="Times New Roman" w:eastAsia="Times New Roman" w:hAnsi="Times New Roman" w:cs="Times New Roman"/>
        </w:rPr>
        <w:t xml:space="preserve"> or doubling</w:t>
      </w:r>
      <w:r w:rsidR="00FA688A">
        <w:rPr>
          <w:rFonts w:ascii="Times New Roman" w:eastAsia="Times New Roman" w:hAnsi="Times New Roman" w:cs="Times New Roman"/>
        </w:rPr>
        <w:t xml:space="preserve"> the ones observed for the 65-74 age group</w:t>
      </w:r>
      <w:r w:rsidR="0080208E">
        <w:rPr>
          <w:rFonts w:ascii="Times New Roman" w:eastAsia="Times New Roman" w:hAnsi="Times New Roman" w:cs="Times New Roman"/>
        </w:rPr>
        <w:t xml:space="preserve">, </w:t>
      </w:r>
      <w:r w:rsidR="006832C0">
        <w:rPr>
          <w:rFonts w:ascii="Times New Roman" w:eastAsia="Times New Roman" w:hAnsi="Times New Roman" w:cs="Times New Roman"/>
        </w:rPr>
        <w:t>Non</w:t>
      </w:r>
      <w:r w:rsidR="0080208E">
        <w:rPr>
          <w:rFonts w:ascii="Times New Roman" w:eastAsia="Times New Roman" w:hAnsi="Times New Roman" w:cs="Times New Roman"/>
        </w:rPr>
        <w:t xml:space="preserve">-Hispanic Blacks </w:t>
      </w:r>
      <w:r w:rsidR="006832C0">
        <w:rPr>
          <w:rFonts w:ascii="Times New Roman" w:eastAsia="Times New Roman" w:hAnsi="Times New Roman" w:cs="Times New Roman"/>
        </w:rPr>
        <w:t>presented</w:t>
      </w:r>
      <w:r w:rsidR="0080208E">
        <w:rPr>
          <w:rFonts w:ascii="Times New Roman" w:eastAsia="Times New Roman" w:hAnsi="Times New Roman" w:cs="Times New Roman"/>
        </w:rPr>
        <w:t xml:space="preserve"> the highest values</w:t>
      </w:r>
      <w:r w:rsidR="001C59A2">
        <w:rPr>
          <w:rFonts w:ascii="Times New Roman" w:eastAsia="Times New Roman" w:hAnsi="Times New Roman" w:cs="Times New Roman"/>
        </w:rPr>
        <w:t xml:space="preserve"> (except ADL for males, slightly under the estimate for Hispanics)</w:t>
      </w:r>
      <w:r w:rsidR="00483240">
        <w:rPr>
          <w:rFonts w:ascii="Times New Roman" w:eastAsia="Times New Roman" w:hAnsi="Times New Roman" w:cs="Times New Roman"/>
        </w:rPr>
        <w:t>, wi</w:t>
      </w:r>
      <w:r w:rsidR="006832C0">
        <w:rPr>
          <w:rFonts w:ascii="Times New Roman" w:eastAsia="Times New Roman" w:hAnsi="Times New Roman" w:cs="Times New Roman"/>
        </w:rPr>
        <w:t>th</w:t>
      </w:r>
      <w:r w:rsidR="00843B11">
        <w:rPr>
          <w:rFonts w:ascii="Times New Roman" w:eastAsia="Times New Roman" w:hAnsi="Times New Roman" w:cs="Times New Roman"/>
        </w:rPr>
        <w:t xml:space="preserve"> an</w:t>
      </w:r>
      <w:r w:rsidR="001C59A2">
        <w:rPr>
          <w:rFonts w:ascii="Times New Roman" w:eastAsia="Times New Roman" w:hAnsi="Times New Roman" w:cs="Times New Roman"/>
        </w:rPr>
        <w:t xml:space="preserve"> ADL of 11.6 percent points, </w:t>
      </w:r>
      <w:r w:rsidR="00862011">
        <w:rPr>
          <w:rFonts w:ascii="Times New Roman" w:eastAsia="Times New Roman" w:hAnsi="Times New Roman" w:cs="Times New Roman"/>
        </w:rPr>
        <w:t>doubling the estimate for non-Hispanic whites, a</w:t>
      </w:r>
      <w:r w:rsidR="001C59A2">
        <w:rPr>
          <w:rFonts w:ascii="Times New Roman" w:eastAsia="Times New Roman" w:hAnsi="Times New Roman" w:cs="Times New Roman"/>
        </w:rPr>
        <w:t>nd a</w:t>
      </w:r>
      <w:r w:rsidR="006832C0">
        <w:rPr>
          <w:rFonts w:ascii="Times New Roman" w:eastAsia="Times New Roman" w:hAnsi="Times New Roman" w:cs="Times New Roman"/>
        </w:rPr>
        <w:t xml:space="preserve"> IADL for females</w:t>
      </w:r>
      <w:r w:rsidR="00843B11">
        <w:rPr>
          <w:rFonts w:ascii="Times New Roman" w:eastAsia="Times New Roman" w:hAnsi="Times New Roman" w:cs="Times New Roman"/>
        </w:rPr>
        <w:t xml:space="preserve"> of </w:t>
      </w:r>
      <w:r w:rsidR="006832C0">
        <w:rPr>
          <w:rFonts w:ascii="Times New Roman" w:eastAsia="Times New Roman" w:hAnsi="Times New Roman" w:cs="Times New Roman"/>
        </w:rPr>
        <w:t>23.4</w:t>
      </w:r>
      <w:r w:rsidR="00843B11">
        <w:rPr>
          <w:rFonts w:ascii="Times New Roman" w:eastAsia="Times New Roman" w:hAnsi="Times New Roman" w:cs="Times New Roman"/>
        </w:rPr>
        <w:t xml:space="preserve"> percent points</w:t>
      </w:r>
      <w:r w:rsidR="006832C0">
        <w:rPr>
          <w:rFonts w:ascii="Times New Roman" w:eastAsia="Times New Roman" w:hAnsi="Times New Roman" w:cs="Times New Roman"/>
        </w:rPr>
        <w:t>, a</w:t>
      </w:r>
      <w:r w:rsidR="00483240">
        <w:rPr>
          <w:rFonts w:ascii="Times New Roman" w:eastAsia="Times New Roman" w:hAnsi="Times New Roman" w:cs="Times New Roman"/>
        </w:rPr>
        <w:t xml:space="preserve">lmost </w:t>
      </w:r>
      <w:r w:rsidR="00843B11">
        <w:rPr>
          <w:rFonts w:ascii="Times New Roman" w:eastAsia="Times New Roman" w:hAnsi="Times New Roman" w:cs="Times New Roman"/>
        </w:rPr>
        <w:t>a 9</w:t>
      </w:r>
      <w:r w:rsidR="00483240">
        <w:rPr>
          <w:rFonts w:ascii="Times New Roman" w:eastAsia="Times New Roman" w:hAnsi="Times New Roman" w:cs="Times New Roman"/>
        </w:rPr>
        <w:t xml:space="preserve"> point gap </w:t>
      </w:r>
      <w:r w:rsidR="006832C0">
        <w:rPr>
          <w:rFonts w:ascii="Times New Roman" w:eastAsia="Times New Roman" w:hAnsi="Times New Roman" w:cs="Times New Roman"/>
        </w:rPr>
        <w:t>compared to non-Hispanic Whites and Hispanics</w:t>
      </w:r>
      <w:r w:rsidR="00372381">
        <w:rPr>
          <w:rFonts w:ascii="Times New Roman" w:eastAsia="Times New Roman" w:hAnsi="Times New Roman" w:cs="Times New Roman"/>
        </w:rPr>
        <w:t>.</w:t>
      </w:r>
    </w:p>
    <w:p w14:paraId="7EEC1636" w14:textId="62FE3464" w:rsidR="00D95282" w:rsidRDefault="002972B8" w:rsidP="00F768EA">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I</w:t>
      </w:r>
      <w:r w:rsidR="00D95282">
        <w:rPr>
          <w:rFonts w:ascii="Times New Roman" w:eastAsia="Times New Roman" w:hAnsi="Times New Roman" w:cs="Times New Roman"/>
        </w:rPr>
        <w:t>n the majority of cases, we could not observe a clear trend, which might result in an apparent stagnation over the 18</w:t>
      </w:r>
      <w:r w:rsidR="00C63C75">
        <w:rPr>
          <w:rFonts w:ascii="Times New Roman" w:eastAsia="Times New Roman" w:hAnsi="Times New Roman" w:cs="Times New Roman"/>
        </w:rPr>
        <w:t xml:space="preserve"> </w:t>
      </w:r>
      <w:r w:rsidR="00D95282">
        <w:rPr>
          <w:rFonts w:ascii="Times New Roman" w:eastAsia="Times New Roman" w:hAnsi="Times New Roman" w:cs="Times New Roman"/>
        </w:rPr>
        <w:t>year</w:t>
      </w:r>
      <w:r w:rsidR="00C63C75">
        <w:rPr>
          <w:rFonts w:ascii="Times New Roman" w:eastAsia="Times New Roman" w:hAnsi="Times New Roman" w:cs="Times New Roman"/>
        </w:rPr>
        <w:t>s analyzed</w:t>
      </w:r>
      <w:r w:rsidR="00D95282">
        <w:rPr>
          <w:rFonts w:ascii="Times New Roman" w:eastAsia="Times New Roman" w:hAnsi="Times New Roman" w:cs="Times New Roman"/>
        </w:rPr>
        <w:t xml:space="preserve">, with the exception </w:t>
      </w:r>
      <w:r w:rsidR="00D61762">
        <w:rPr>
          <w:rFonts w:ascii="Times New Roman" w:eastAsia="Times New Roman" w:hAnsi="Times New Roman" w:cs="Times New Roman"/>
        </w:rPr>
        <w:t>of IADL prevalence changes for Hispanic females, with an observed relative increase of 62.2% in 2018 compared to 2000 (</w:t>
      </w:r>
      <w:r w:rsidR="007B37A3">
        <w:rPr>
          <w:rFonts w:ascii="Times New Roman" w:eastAsia="Times New Roman" w:hAnsi="Times New Roman" w:cs="Times New Roman"/>
        </w:rPr>
        <w:t xml:space="preserve">which could be representing a </w:t>
      </w:r>
      <w:r w:rsidR="00C63C75">
        <w:rPr>
          <w:rFonts w:ascii="Times New Roman" w:eastAsia="Times New Roman" w:hAnsi="Times New Roman" w:cs="Times New Roman"/>
        </w:rPr>
        <w:t>5-point</w:t>
      </w:r>
      <w:r w:rsidR="007B37A3">
        <w:rPr>
          <w:rFonts w:ascii="Times New Roman" w:eastAsia="Times New Roman" w:hAnsi="Times New Roman" w:cs="Times New Roman"/>
        </w:rPr>
        <w:t xml:space="preserve"> prevalence increase)</w:t>
      </w:r>
      <w:r w:rsidR="00C7224D">
        <w:rPr>
          <w:rFonts w:ascii="Times New Roman" w:eastAsia="Times New Roman" w:hAnsi="Times New Roman" w:cs="Times New Roman"/>
        </w:rPr>
        <w:t>, driven by increases in both decades but possibly</w:t>
      </w:r>
      <w:r w:rsidR="006328E7">
        <w:rPr>
          <w:rFonts w:ascii="Times New Roman" w:eastAsia="Times New Roman" w:hAnsi="Times New Roman" w:cs="Times New Roman"/>
        </w:rPr>
        <w:t xml:space="preserve"> largest increases were found in 2000-2010</w:t>
      </w:r>
      <w:r w:rsidR="00D61762">
        <w:rPr>
          <w:rFonts w:ascii="Times New Roman" w:eastAsia="Times New Roman" w:hAnsi="Times New Roman" w:cs="Times New Roman"/>
        </w:rPr>
        <w:t>.</w:t>
      </w:r>
      <w:r w:rsidR="00B17F3B">
        <w:rPr>
          <w:rFonts w:ascii="Times New Roman" w:eastAsia="Times New Roman" w:hAnsi="Times New Roman" w:cs="Times New Roman"/>
        </w:rPr>
        <w:t xml:space="preserve"> </w:t>
      </w:r>
      <w:r w:rsidR="00202973">
        <w:rPr>
          <w:rFonts w:ascii="Times New Roman" w:eastAsia="Times New Roman" w:hAnsi="Times New Roman" w:cs="Times New Roman"/>
        </w:rPr>
        <w:t>IADL</w:t>
      </w:r>
      <w:r w:rsidR="001A4AE2">
        <w:rPr>
          <w:rFonts w:ascii="Times New Roman" w:eastAsia="Times New Roman" w:hAnsi="Times New Roman" w:cs="Times New Roman"/>
        </w:rPr>
        <w:t xml:space="preserve"> prevalence</w:t>
      </w:r>
      <w:r w:rsidR="00202973">
        <w:rPr>
          <w:rFonts w:ascii="Times New Roman" w:eastAsia="Times New Roman" w:hAnsi="Times New Roman" w:cs="Times New Roman"/>
        </w:rPr>
        <w:t xml:space="preserve"> for</w:t>
      </w:r>
      <w:r w:rsidR="001A4AE2">
        <w:rPr>
          <w:rFonts w:ascii="Times New Roman" w:eastAsia="Times New Roman" w:hAnsi="Times New Roman" w:cs="Times New Roman"/>
        </w:rPr>
        <w:t xml:space="preserve"> Hispanic</w:t>
      </w:r>
      <w:r w:rsidR="00202973">
        <w:rPr>
          <w:rFonts w:ascii="Times New Roman" w:eastAsia="Times New Roman" w:hAnsi="Times New Roman" w:cs="Times New Roman"/>
        </w:rPr>
        <w:t xml:space="preserve"> females also seemed to be much higher by 2018 than in 2000</w:t>
      </w:r>
      <w:r w:rsidR="006328E7">
        <w:rPr>
          <w:rFonts w:ascii="Times New Roman" w:eastAsia="Times New Roman" w:hAnsi="Times New Roman" w:cs="Times New Roman"/>
        </w:rPr>
        <w:t xml:space="preserve"> in a similar trend as ADL</w:t>
      </w:r>
      <w:r w:rsidR="001A4AE2">
        <w:rPr>
          <w:rFonts w:ascii="Times New Roman" w:eastAsia="Times New Roman" w:hAnsi="Times New Roman" w:cs="Times New Roman"/>
        </w:rPr>
        <w:t xml:space="preserve">, but we cannot ascertain it based on our sample size. </w:t>
      </w:r>
      <w:r w:rsidR="006328E7">
        <w:rPr>
          <w:rFonts w:ascii="Times New Roman" w:eastAsia="Times New Roman" w:hAnsi="Times New Roman" w:cs="Times New Roman"/>
        </w:rPr>
        <w:t xml:space="preserve">For males, </w:t>
      </w:r>
      <w:r w:rsidR="00A8493B">
        <w:rPr>
          <w:rFonts w:ascii="Times New Roman" w:eastAsia="Times New Roman" w:hAnsi="Times New Roman" w:cs="Times New Roman"/>
        </w:rPr>
        <w:t xml:space="preserve">we observed stagnation or a possible small decline of prevalence in both ADL and IADL. </w:t>
      </w:r>
    </w:p>
    <w:p w14:paraId="35B1AF67" w14:textId="364C8721" w:rsidR="002972B8" w:rsidRDefault="002972B8" w:rsidP="002972B8">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For non-Hispanic Whites, we observed very little change over the 18-year period</w:t>
      </w:r>
      <w:r w:rsidR="00F203DB">
        <w:rPr>
          <w:rFonts w:ascii="Times New Roman" w:eastAsia="Times New Roman" w:hAnsi="Times New Roman" w:cs="Times New Roman"/>
        </w:rPr>
        <w:t xml:space="preserve"> in almost all cases</w:t>
      </w:r>
      <w:r>
        <w:rPr>
          <w:rFonts w:ascii="Times New Roman" w:eastAsia="Times New Roman" w:hAnsi="Times New Roman" w:cs="Times New Roman"/>
        </w:rPr>
        <w:t>, with no clear</w:t>
      </w:r>
      <w:r w:rsidR="00BE27F2">
        <w:rPr>
          <w:rFonts w:ascii="Times New Roman" w:eastAsia="Times New Roman" w:hAnsi="Times New Roman" w:cs="Times New Roman"/>
        </w:rPr>
        <w:t>-</w:t>
      </w:r>
      <w:r>
        <w:rPr>
          <w:rFonts w:ascii="Times New Roman" w:eastAsia="Times New Roman" w:hAnsi="Times New Roman" w:cs="Times New Roman"/>
        </w:rPr>
        <w:t>cut variations</w:t>
      </w:r>
      <w:r w:rsidR="00F203DB">
        <w:rPr>
          <w:rFonts w:ascii="Times New Roman" w:eastAsia="Times New Roman" w:hAnsi="Times New Roman" w:cs="Times New Roman"/>
        </w:rPr>
        <w:t xml:space="preserve">. For non-Hispanic Blacks, </w:t>
      </w:r>
      <w:r w:rsidR="00BB02E9">
        <w:rPr>
          <w:rFonts w:ascii="Times New Roman" w:eastAsia="Times New Roman" w:hAnsi="Times New Roman" w:cs="Times New Roman"/>
        </w:rPr>
        <w:t>while there might be some decline in IADL prevalence for both males and females</w:t>
      </w:r>
      <w:r w:rsidR="003D6115">
        <w:rPr>
          <w:rFonts w:ascii="Times New Roman" w:eastAsia="Times New Roman" w:hAnsi="Times New Roman" w:cs="Times New Roman"/>
        </w:rPr>
        <w:t xml:space="preserve"> between 2000 and 2018</w:t>
      </w:r>
      <w:r w:rsidR="00BB02E9">
        <w:rPr>
          <w:rFonts w:ascii="Times New Roman" w:eastAsia="Times New Roman" w:hAnsi="Times New Roman" w:cs="Times New Roman"/>
        </w:rPr>
        <w:t xml:space="preserve">, the opposite might be happening for ADL, with </w:t>
      </w:r>
      <w:r w:rsidR="00CE45CA">
        <w:rPr>
          <w:rFonts w:ascii="Times New Roman" w:eastAsia="Times New Roman" w:hAnsi="Times New Roman" w:cs="Times New Roman"/>
        </w:rPr>
        <w:t>slight (but might not be different from the baseline estimates) increases driven by the 2000-2010 period</w:t>
      </w:r>
      <w:r w:rsidR="003D6115">
        <w:rPr>
          <w:rFonts w:ascii="Times New Roman" w:eastAsia="Times New Roman" w:hAnsi="Times New Roman" w:cs="Times New Roman"/>
        </w:rPr>
        <w:t xml:space="preserve"> and stagnating between 2010-2018</w:t>
      </w:r>
      <w:r w:rsidR="00F75B24">
        <w:rPr>
          <w:rFonts w:ascii="Times New Roman" w:eastAsia="Times New Roman" w:hAnsi="Times New Roman" w:cs="Times New Roman"/>
        </w:rPr>
        <w:t xml:space="preserve">. Combined </w:t>
      </w:r>
      <w:r w:rsidR="0089050F">
        <w:rPr>
          <w:rFonts w:ascii="Times New Roman" w:eastAsia="Times New Roman" w:hAnsi="Times New Roman" w:cs="Times New Roman"/>
        </w:rPr>
        <w:t>wi</w:t>
      </w:r>
      <w:r w:rsidR="00F75B24">
        <w:rPr>
          <w:rFonts w:ascii="Times New Roman" w:eastAsia="Times New Roman" w:hAnsi="Times New Roman" w:cs="Times New Roman"/>
        </w:rPr>
        <w:t>t</w:t>
      </w:r>
      <w:r w:rsidR="0089050F">
        <w:rPr>
          <w:rFonts w:ascii="Times New Roman" w:eastAsia="Times New Roman" w:hAnsi="Times New Roman" w:cs="Times New Roman"/>
        </w:rPr>
        <w:t>h</w:t>
      </w:r>
      <w:r w:rsidR="00F75B24">
        <w:rPr>
          <w:rFonts w:ascii="Times New Roman" w:eastAsia="Times New Roman" w:hAnsi="Times New Roman" w:cs="Times New Roman"/>
        </w:rPr>
        <w:t xml:space="preserve"> the apparent increase we observed for Hispanics, </w:t>
      </w:r>
      <w:r w:rsidR="0089050F">
        <w:rPr>
          <w:rFonts w:ascii="Times New Roman" w:eastAsia="Times New Roman" w:hAnsi="Times New Roman" w:cs="Times New Roman"/>
        </w:rPr>
        <w:t>this means that the gap with non-Hispanic Whites might have increased in some cases by 2018.</w:t>
      </w:r>
      <w:r w:rsidR="00CE45CA">
        <w:rPr>
          <w:rFonts w:ascii="Times New Roman" w:eastAsia="Times New Roman" w:hAnsi="Times New Roman" w:cs="Times New Roman"/>
        </w:rPr>
        <w:t xml:space="preserve"> </w:t>
      </w:r>
    </w:p>
    <w:p w14:paraId="268AA80D" w14:textId="5A8BA904" w:rsidR="00274B15" w:rsidRDefault="00621C14"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Regarding</w:t>
      </w:r>
      <w:r w:rsidR="4F974AEA" w:rsidRPr="5996E1DC">
        <w:rPr>
          <w:rFonts w:ascii="Times New Roman" w:eastAsia="Times New Roman" w:hAnsi="Times New Roman" w:cs="Times New Roman"/>
        </w:rPr>
        <w:t xml:space="preserve"> the role of educational attainment, all models </w:t>
      </w:r>
      <w:r>
        <w:rPr>
          <w:rFonts w:ascii="Times New Roman" w:eastAsia="Times New Roman" w:hAnsi="Times New Roman" w:cs="Times New Roman"/>
        </w:rPr>
        <w:t>had</w:t>
      </w:r>
      <w:r w:rsidR="4F974AEA" w:rsidRPr="5996E1DC">
        <w:rPr>
          <w:rFonts w:ascii="Times New Roman" w:eastAsia="Times New Roman" w:hAnsi="Times New Roman" w:cs="Times New Roman"/>
        </w:rPr>
        <w:t xml:space="preserve"> a clear association between higher education</w:t>
      </w:r>
      <w:r>
        <w:rPr>
          <w:rFonts w:ascii="Times New Roman" w:eastAsia="Times New Roman" w:hAnsi="Times New Roman" w:cs="Times New Roman"/>
        </w:rPr>
        <w:t>al attainment</w:t>
      </w:r>
      <w:r w:rsidR="4F974AEA" w:rsidRPr="5996E1DC">
        <w:rPr>
          <w:rFonts w:ascii="Times New Roman" w:eastAsia="Times New Roman" w:hAnsi="Times New Roman" w:cs="Times New Roman"/>
        </w:rPr>
        <w:t xml:space="preserve"> and</w:t>
      </w:r>
      <w:r w:rsidR="674522D5" w:rsidRPr="5996E1DC">
        <w:rPr>
          <w:rFonts w:ascii="Times New Roman" w:eastAsia="Times New Roman" w:hAnsi="Times New Roman" w:cs="Times New Roman"/>
        </w:rPr>
        <w:t xml:space="preserve"> presenting a</w:t>
      </w:r>
      <w:r w:rsidR="4F974AEA" w:rsidRPr="5996E1DC">
        <w:rPr>
          <w:rFonts w:ascii="Times New Roman" w:eastAsia="Times New Roman" w:hAnsi="Times New Roman" w:cs="Times New Roman"/>
        </w:rPr>
        <w:t xml:space="preserve"> lower prevalence of ADL and IADL</w:t>
      </w:r>
      <w:r w:rsidR="00433AB1">
        <w:rPr>
          <w:rFonts w:ascii="Times New Roman" w:eastAsia="Times New Roman" w:hAnsi="Times New Roman" w:cs="Times New Roman"/>
        </w:rPr>
        <w:t xml:space="preserve"> </w:t>
      </w:r>
      <w:r>
        <w:rPr>
          <w:rFonts w:ascii="Times New Roman" w:eastAsia="Times New Roman" w:hAnsi="Times New Roman" w:cs="Times New Roman"/>
        </w:rPr>
        <w:t>limitations</w:t>
      </w:r>
      <w:r w:rsidR="00E73C21">
        <w:rPr>
          <w:rFonts w:ascii="Times New Roman" w:eastAsia="Times New Roman" w:hAnsi="Times New Roman" w:cs="Times New Roman"/>
        </w:rPr>
        <w:t>. As mentioned in the methods section,</w:t>
      </w:r>
      <w:r w:rsidR="00DD3876">
        <w:rPr>
          <w:rFonts w:ascii="Times New Roman" w:eastAsia="Times New Roman" w:hAnsi="Times New Roman" w:cs="Times New Roman"/>
        </w:rPr>
        <w:t xml:space="preserve"> </w:t>
      </w:r>
      <w:r w:rsidR="00A60B37">
        <w:rPr>
          <w:rFonts w:ascii="Times New Roman" w:eastAsia="Times New Roman" w:hAnsi="Times New Roman" w:cs="Times New Roman"/>
        </w:rPr>
        <w:t xml:space="preserve">our estimates are based on </w:t>
      </w:r>
      <w:r w:rsidR="00DD3876">
        <w:rPr>
          <w:rFonts w:ascii="Times New Roman" w:eastAsia="Times New Roman" w:hAnsi="Times New Roman" w:cs="Times New Roman"/>
        </w:rPr>
        <w:t>the</w:t>
      </w:r>
      <w:r w:rsidR="00801A37">
        <w:rPr>
          <w:rFonts w:ascii="Times New Roman" w:eastAsia="Times New Roman" w:hAnsi="Times New Roman" w:cs="Times New Roman"/>
        </w:rPr>
        <w:t xml:space="preserve"> most common </w:t>
      </w:r>
      <w:r w:rsidR="00A60B37">
        <w:rPr>
          <w:rFonts w:ascii="Times New Roman" w:eastAsia="Times New Roman" w:hAnsi="Times New Roman" w:cs="Times New Roman"/>
        </w:rPr>
        <w:t>category of educational attainment</w:t>
      </w:r>
      <w:r w:rsidR="00801A37">
        <w:rPr>
          <w:rFonts w:ascii="Times New Roman" w:eastAsia="Times New Roman" w:hAnsi="Times New Roman" w:cs="Times New Roman"/>
        </w:rPr>
        <w:t>, which</w:t>
      </w:r>
      <w:r w:rsidR="00FB0A48">
        <w:rPr>
          <w:rFonts w:ascii="Times New Roman" w:eastAsia="Times New Roman" w:hAnsi="Times New Roman" w:cs="Times New Roman"/>
        </w:rPr>
        <w:t xml:space="preserve"> is those who had a</w:t>
      </w:r>
      <w:r w:rsidR="00A60B37">
        <w:rPr>
          <w:rFonts w:ascii="Times New Roman" w:eastAsia="Times New Roman" w:hAnsi="Times New Roman" w:cs="Times New Roman"/>
        </w:rPr>
        <w:t xml:space="preserve"> f</w:t>
      </w:r>
      <w:r w:rsidR="00A60B37" w:rsidRPr="3E5D69E4">
        <w:rPr>
          <w:rFonts w:ascii="Times New Roman" w:eastAsia="Times New Roman" w:hAnsi="Times New Roman" w:cs="Times New Roman"/>
        </w:rPr>
        <w:t xml:space="preserve">rom </w:t>
      </w:r>
      <w:r w:rsidR="00A60B37">
        <w:rPr>
          <w:rFonts w:ascii="Times New Roman" w:eastAsia="Times New Roman" w:hAnsi="Times New Roman" w:cs="Times New Roman"/>
        </w:rPr>
        <w:t>GED</w:t>
      </w:r>
      <w:r w:rsidR="00A60B37" w:rsidRPr="3E5D69E4">
        <w:rPr>
          <w:rFonts w:ascii="Times New Roman" w:eastAsia="Times New Roman" w:hAnsi="Times New Roman" w:cs="Times New Roman"/>
        </w:rPr>
        <w:t xml:space="preserve"> or </w:t>
      </w:r>
      <w:r w:rsidR="00A60B37">
        <w:rPr>
          <w:rFonts w:ascii="Times New Roman" w:eastAsia="Times New Roman" w:hAnsi="Times New Roman" w:cs="Times New Roman"/>
        </w:rPr>
        <w:t>h</w:t>
      </w:r>
      <w:r w:rsidR="00A60B37" w:rsidRPr="3E5D69E4">
        <w:rPr>
          <w:rFonts w:ascii="Times New Roman" w:eastAsia="Times New Roman" w:hAnsi="Times New Roman" w:cs="Times New Roman"/>
        </w:rPr>
        <w:t xml:space="preserve">igh </w:t>
      </w:r>
      <w:r w:rsidR="00A60B37">
        <w:rPr>
          <w:rFonts w:ascii="Times New Roman" w:eastAsia="Times New Roman" w:hAnsi="Times New Roman" w:cs="Times New Roman"/>
        </w:rPr>
        <w:t>s</w:t>
      </w:r>
      <w:r w:rsidR="00A60B37" w:rsidRPr="3E5D69E4">
        <w:rPr>
          <w:rFonts w:ascii="Times New Roman" w:eastAsia="Times New Roman" w:hAnsi="Times New Roman" w:cs="Times New Roman"/>
        </w:rPr>
        <w:t xml:space="preserve">chool but </w:t>
      </w:r>
      <w:r w:rsidR="005D026C">
        <w:rPr>
          <w:rFonts w:ascii="Times New Roman" w:eastAsia="Times New Roman" w:hAnsi="Times New Roman" w:cs="Times New Roman"/>
        </w:rPr>
        <w:t xml:space="preserve">not completed </w:t>
      </w:r>
      <w:r w:rsidR="00A60B37" w:rsidRPr="3E5D69E4">
        <w:rPr>
          <w:rFonts w:ascii="Times New Roman" w:eastAsia="Times New Roman" w:hAnsi="Times New Roman" w:cs="Times New Roman"/>
        </w:rPr>
        <w:t>a bachelor</w:t>
      </w:r>
      <w:r w:rsidR="00A60B37">
        <w:rPr>
          <w:rFonts w:ascii="Times New Roman" w:eastAsia="Times New Roman" w:hAnsi="Times New Roman" w:cs="Times New Roman"/>
        </w:rPr>
        <w:t>’</w:t>
      </w:r>
      <w:r w:rsidR="00A60B37" w:rsidRPr="3E5D69E4">
        <w:rPr>
          <w:rFonts w:ascii="Times New Roman" w:eastAsia="Times New Roman" w:hAnsi="Times New Roman" w:cs="Times New Roman"/>
        </w:rPr>
        <w:t>s degree</w:t>
      </w:r>
      <w:r w:rsidR="00E73C21">
        <w:rPr>
          <w:rFonts w:ascii="Times New Roman" w:eastAsia="Times New Roman" w:hAnsi="Times New Roman" w:cs="Times New Roman"/>
        </w:rPr>
        <w:t>. For</w:t>
      </w:r>
      <w:r w:rsidR="00801A37">
        <w:rPr>
          <w:rFonts w:ascii="Times New Roman" w:eastAsia="Times New Roman" w:hAnsi="Times New Roman" w:cs="Times New Roman"/>
        </w:rPr>
        <w:t xml:space="preserve"> those with an educational attainment of l</w:t>
      </w:r>
      <w:r w:rsidR="00801A37" w:rsidRPr="3E5D69E4">
        <w:rPr>
          <w:rFonts w:ascii="Times New Roman" w:eastAsia="Times New Roman" w:hAnsi="Times New Roman" w:cs="Times New Roman"/>
        </w:rPr>
        <w:t xml:space="preserve">ess than GED or </w:t>
      </w:r>
      <w:r w:rsidR="00801A37">
        <w:rPr>
          <w:rFonts w:ascii="Times New Roman" w:eastAsia="Times New Roman" w:hAnsi="Times New Roman" w:cs="Times New Roman"/>
        </w:rPr>
        <w:t>h</w:t>
      </w:r>
      <w:r w:rsidR="00801A37" w:rsidRPr="3E5D69E4">
        <w:rPr>
          <w:rFonts w:ascii="Times New Roman" w:eastAsia="Times New Roman" w:hAnsi="Times New Roman" w:cs="Times New Roman"/>
        </w:rPr>
        <w:t xml:space="preserve">igh </w:t>
      </w:r>
      <w:r w:rsidR="00801A37">
        <w:rPr>
          <w:rFonts w:ascii="Times New Roman" w:eastAsia="Times New Roman" w:hAnsi="Times New Roman" w:cs="Times New Roman"/>
        </w:rPr>
        <w:t>s</w:t>
      </w:r>
      <w:r w:rsidR="00801A37" w:rsidRPr="3E5D69E4">
        <w:rPr>
          <w:rFonts w:ascii="Times New Roman" w:eastAsia="Times New Roman" w:hAnsi="Times New Roman" w:cs="Times New Roman"/>
        </w:rPr>
        <w:t xml:space="preserve">chool </w:t>
      </w:r>
      <w:r w:rsidR="00801A37">
        <w:rPr>
          <w:rFonts w:ascii="Times New Roman" w:eastAsia="Times New Roman" w:hAnsi="Times New Roman" w:cs="Times New Roman"/>
        </w:rPr>
        <w:t>d</w:t>
      </w:r>
      <w:r w:rsidR="00801A37" w:rsidRPr="3E5D69E4">
        <w:rPr>
          <w:rFonts w:ascii="Times New Roman" w:eastAsia="Times New Roman" w:hAnsi="Times New Roman" w:cs="Times New Roman"/>
        </w:rPr>
        <w:t>iploma</w:t>
      </w:r>
      <w:r w:rsidR="00E73C21">
        <w:rPr>
          <w:rFonts w:ascii="Times New Roman" w:eastAsia="Times New Roman" w:hAnsi="Times New Roman" w:cs="Times New Roman"/>
        </w:rPr>
        <w:t>, we obtained baseline increases between of 2.5 and 5 points of ADL and IADL depending on the case</w:t>
      </w:r>
      <w:r w:rsidR="002346E6">
        <w:rPr>
          <w:rFonts w:ascii="Times New Roman" w:eastAsia="Times New Roman" w:hAnsi="Times New Roman" w:cs="Times New Roman"/>
        </w:rPr>
        <w:t>.</w:t>
      </w:r>
      <w:r>
        <w:rPr>
          <w:rFonts w:ascii="Times New Roman" w:eastAsia="Times New Roman" w:hAnsi="Times New Roman" w:cs="Times New Roman"/>
        </w:rPr>
        <w:t xml:space="preserve"> </w:t>
      </w:r>
      <w:r w:rsidR="002346E6">
        <w:rPr>
          <w:rFonts w:ascii="Times New Roman" w:eastAsia="Times New Roman" w:hAnsi="Times New Roman" w:cs="Times New Roman"/>
        </w:rPr>
        <w:t>T</w:t>
      </w:r>
      <w:r w:rsidR="00433AB1">
        <w:rPr>
          <w:rFonts w:ascii="Times New Roman" w:eastAsia="Times New Roman" w:hAnsi="Times New Roman" w:cs="Times New Roman"/>
        </w:rPr>
        <w:t xml:space="preserve">he relationship between nativity and a lower or higher prevalence was less </w:t>
      </w:r>
      <w:r w:rsidR="00F61C91">
        <w:rPr>
          <w:rFonts w:ascii="Times New Roman" w:eastAsia="Times New Roman" w:hAnsi="Times New Roman" w:cs="Times New Roman"/>
        </w:rPr>
        <w:t>ubiquitous</w:t>
      </w:r>
      <w:r w:rsidR="00433AB1">
        <w:rPr>
          <w:rFonts w:ascii="Times New Roman" w:eastAsia="Times New Roman" w:hAnsi="Times New Roman" w:cs="Times New Roman"/>
        </w:rPr>
        <w:t xml:space="preserve">, but in most cases </w:t>
      </w:r>
      <w:r w:rsidR="002346E6">
        <w:rPr>
          <w:rFonts w:ascii="Times New Roman" w:eastAsia="Times New Roman" w:hAnsi="Times New Roman" w:cs="Times New Roman"/>
        </w:rPr>
        <w:t xml:space="preserve">U.S.-born individuals </w:t>
      </w:r>
      <w:r w:rsidR="00433AB1">
        <w:rPr>
          <w:rFonts w:ascii="Times New Roman" w:eastAsia="Times New Roman" w:hAnsi="Times New Roman" w:cs="Times New Roman"/>
        </w:rPr>
        <w:t xml:space="preserve">presented </w:t>
      </w:r>
      <w:r w:rsidR="00E73C21">
        <w:rPr>
          <w:rFonts w:ascii="Times New Roman" w:eastAsia="Times New Roman" w:hAnsi="Times New Roman" w:cs="Times New Roman"/>
        </w:rPr>
        <w:t>lower</w:t>
      </w:r>
      <w:r w:rsidR="00433AB1">
        <w:rPr>
          <w:rFonts w:ascii="Times New Roman" w:eastAsia="Times New Roman" w:hAnsi="Times New Roman" w:cs="Times New Roman"/>
        </w:rPr>
        <w:t xml:space="preserve"> probabilities of having ADL</w:t>
      </w:r>
      <w:r w:rsidR="002346E6">
        <w:rPr>
          <w:rFonts w:ascii="Times New Roman" w:eastAsia="Times New Roman" w:hAnsi="Times New Roman" w:cs="Times New Roman"/>
        </w:rPr>
        <w:t xml:space="preserve"> and </w:t>
      </w:r>
      <w:r w:rsidR="00433AB1">
        <w:rPr>
          <w:rFonts w:ascii="Times New Roman" w:eastAsia="Times New Roman" w:hAnsi="Times New Roman" w:cs="Times New Roman"/>
        </w:rPr>
        <w:t>IADL</w:t>
      </w:r>
      <w:r w:rsidR="002346E6">
        <w:rPr>
          <w:rFonts w:ascii="Times New Roman" w:eastAsia="Times New Roman" w:hAnsi="Times New Roman" w:cs="Times New Roman"/>
        </w:rPr>
        <w:t xml:space="preserve"> limitations</w:t>
      </w:r>
      <w:r w:rsidR="00433AB1">
        <w:rPr>
          <w:rFonts w:ascii="Times New Roman" w:eastAsia="Times New Roman" w:hAnsi="Times New Roman" w:cs="Times New Roman"/>
        </w:rPr>
        <w:t xml:space="preserve"> at higher age groups. </w:t>
      </w:r>
    </w:p>
    <w:p w14:paraId="49290C1C" w14:textId="6FDA793F" w:rsidR="37568123" w:rsidRPr="00A12CF5" w:rsidRDefault="37568123" w:rsidP="00A12CF5">
      <w:pPr>
        <w:spacing w:after="0" w:line="480" w:lineRule="auto"/>
        <w:rPr>
          <w:sz w:val="36"/>
          <w:szCs w:val="36"/>
        </w:rPr>
      </w:pPr>
      <w:r w:rsidRPr="00A12CF5">
        <w:rPr>
          <w:rFonts w:ascii="Times New Roman" w:eastAsia="Times New Roman" w:hAnsi="Times New Roman" w:cs="Times New Roman"/>
          <w:b/>
          <w:bCs/>
          <w:sz w:val="36"/>
          <w:szCs w:val="36"/>
        </w:rPr>
        <w:t>Discussion</w:t>
      </w:r>
      <w:r w:rsidR="004E28F3" w:rsidRPr="00A12CF5">
        <w:rPr>
          <w:rFonts w:ascii="Times New Roman" w:eastAsia="Times New Roman" w:hAnsi="Times New Roman" w:cs="Times New Roman"/>
          <w:b/>
          <w:bCs/>
          <w:sz w:val="36"/>
          <w:szCs w:val="36"/>
        </w:rPr>
        <w:t xml:space="preserve"> a</w:t>
      </w:r>
      <w:r w:rsidR="00CF6BBD" w:rsidRPr="00A12CF5">
        <w:rPr>
          <w:rFonts w:ascii="Times New Roman" w:eastAsia="Times New Roman" w:hAnsi="Times New Roman" w:cs="Times New Roman"/>
          <w:b/>
          <w:bCs/>
          <w:sz w:val="36"/>
          <w:szCs w:val="36"/>
        </w:rPr>
        <w:t>nd Limitations</w:t>
      </w:r>
    </w:p>
    <w:p w14:paraId="708EDA83" w14:textId="77777777" w:rsidR="00C1401C" w:rsidRDefault="00C1401C" w:rsidP="00A12CF5">
      <w:pPr>
        <w:spacing w:after="0" w:line="480" w:lineRule="auto"/>
        <w:ind w:firstLine="720"/>
        <w:rPr>
          <w:rFonts w:ascii="Times New Roman" w:eastAsia="Times New Roman" w:hAnsi="Times New Roman" w:cs="Times New Roman"/>
        </w:rPr>
      </w:pPr>
    </w:p>
    <w:p w14:paraId="29078A1D" w14:textId="7007B554" w:rsidR="00396DAE" w:rsidRDefault="00C1401C" w:rsidP="00094123">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Understanding</w:t>
      </w:r>
      <w:r w:rsidRPr="67C8E18F">
        <w:rPr>
          <w:rFonts w:ascii="Times New Roman" w:eastAsia="Times New Roman" w:hAnsi="Times New Roman" w:cs="Times New Roman"/>
        </w:rPr>
        <w:t xml:space="preserve"> quality of life and monitoring health trends in older populations </w:t>
      </w:r>
      <w:r>
        <w:rPr>
          <w:rFonts w:ascii="Times New Roman" w:eastAsia="Times New Roman" w:hAnsi="Times New Roman" w:cs="Times New Roman"/>
        </w:rPr>
        <w:t>are</w:t>
      </w:r>
      <w:r w:rsidRPr="67C8E18F">
        <w:rPr>
          <w:rFonts w:ascii="Times New Roman" w:eastAsia="Times New Roman" w:hAnsi="Times New Roman" w:cs="Times New Roman"/>
        </w:rPr>
        <w:t xml:space="preserve"> critical </w:t>
      </w:r>
      <w:r>
        <w:rPr>
          <w:rFonts w:ascii="Times New Roman" w:eastAsia="Times New Roman" w:hAnsi="Times New Roman" w:cs="Times New Roman"/>
        </w:rPr>
        <w:t>for</w:t>
      </w:r>
      <w:r w:rsidRPr="67C8E18F">
        <w:rPr>
          <w:rFonts w:ascii="Times New Roman" w:eastAsia="Times New Roman" w:hAnsi="Times New Roman" w:cs="Times New Roman"/>
        </w:rPr>
        <w:t xml:space="preserve"> establish</w:t>
      </w:r>
      <w:r>
        <w:rPr>
          <w:rFonts w:ascii="Times New Roman" w:eastAsia="Times New Roman" w:hAnsi="Times New Roman" w:cs="Times New Roman"/>
        </w:rPr>
        <w:t>ing</w:t>
      </w:r>
      <w:r w:rsidRPr="67C8E18F">
        <w:rPr>
          <w:rFonts w:ascii="Times New Roman" w:eastAsia="Times New Roman" w:hAnsi="Times New Roman" w:cs="Times New Roman"/>
        </w:rPr>
        <w:t xml:space="preserve"> adequate present and future health policies, including </w:t>
      </w:r>
      <w:r>
        <w:rPr>
          <w:rFonts w:ascii="Times New Roman" w:eastAsia="Times New Roman" w:hAnsi="Times New Roman" w:cs="Times New Roman"/>
        </w:rPr>
        <w:t>those addressing</w:t>
      </w:r>
      <w:r w:rsidRPr="67C8E18F">
        <w:rPr>
          <w:rFonts w:ascii="Times New Roman" w:eastAsia="Times New Roman" w:hAnsi="Times New Roman" w:cs="Times New Roman"/>
        </w:rPr>
        <w:t xml:space="preserve"> health care needs, caregiving, pension systems, and other aspects of public health.</w:t>
      </w:r>
      <w:r>
        <w:rPr>
          <w:rFonts w:ascii="Times New Roman" w:eastAsia="Times New Roman" w:hAnsi="Times New Roman" w:cs="Times New Roman"/>
        </w:rPr>
        <w:t xml:space="preserve"> </w:t>
      </w:r>
      <w:r w:rsidRPr="67C8E18F">
        <w:rPr>
          <w:rFonts w:ascii="Times New Roman" w:eastAsia="Times New Roman" w:hAnsi="Times New Roman" w:cs="Times New Roman"/>
          <w:color w:val="000000" w:themeColor="text1"/>
        </w:rPr>
        <w:t xml:space="preserve">Learning how each ADL and </w:t>
      </w:r>
      <w:r>
        <w:rPr>
          <w:rFonts w:ascii="Times New Roman" w:eastAsia="Times New Roman" w:hAnsi="Times New Roman" w:cs="Times New Roman"/>
          <w:color w:val="000000" w:themeColor="text1"/>
        </w:rPr>
        <w:t>I</w:t>
      </w:r>
      <w:r w:rsidRPr="67C8E18F">
        <w:rPr>
          <w:rFonts w:ascii="Times New Roman" w:eastAsia="Times New Roman" w:hAnsi="Times New Roman" w:cs="Times New Roman"/>
          <w:color w:val="000000" w:themeColor="text1"/>
        </w:rPr>
        <w:t>ADL affects an individual</w:t>
      </w:r>
      <w:r>
        <w:rPr>
          <w:rFonts w:ascii="Times New Roman" w:eastAsia="Times New Roman" w:hAnsi="Times New Roman" w:cs="Times New Roman"/>
          <w:color w:val="000000" w:themeColor="text1"/>
        </w:rPr>
        <w:t>’s ability</w:t>
      </w:r>
      <w:r w:rsidRPr="67C8E18F">
        <w:rPr>
          <w:rFonts w:ascii="Times New Roman" w:eastAsia="Times New Roman" w:hAnsi="Times New Roman" w:cs="Times New Roman"/>
          <w:color w:val="000000" w:themeColor="text1"/>
        </w:rPr>
        <w:t xml:space="preserve"> to </w:t>
      </w:r>
      <w:r>
        <w:rPr>
          <w:rFonts w:ascii="Times New Roman" w:eastAsia="Times New Roman" w:hAnsi="Times New Roman" w:cs="Times New Roman"/>
          <w:color w:val="000000" w:themeColor="text1"/>
        </w:rPr>
        <w:t>perform self-</w:t>
      </w:r>
      <w:r w:rsidRPr="67C8E18F">
        <w:rPr>
          <w:rFonts w:ascii="Times New Roman" w:eastAsia="Times New Roman" w:hAnsi="Times New Roman" w:cs="Times New Roman"/>
          <w:color w:val="000000" w:themeColor="text1"/>
        </w:rPr>
        <w:t xml:space="preserve">care can help determine </w:t>
      </w:r>
      <w:r>
        <w:rPr>
          <w:rFonts w:ascii="Times New Roman" w:eastAsia="Times New Roman" w:hAnsi="Times New Roman" w:cs="Times New Roman"/>
          <w:color w:val="000000" w:themeColor="text1"/>
        </w:rPr>
        <w:t>the</w:t>
      </w:r>
      <w:r w:rsidRPr="67C8E18F">
        <w:rPr>
          <w:rFonts w:ascii="Times New Roman" w:eastAsia="Times New Roman" w:hAnsi="Times New Roman" w:cs="Times New Roman"/>
          <w:color w:val="000000" w:themeColor="text1"/>
        </w:rPr>
        <w:t xml:space="preserve"> need </w:t>
      </w:r>
      <w:r>
        <w:rPr>
          <w:rFonts w:ascii="Times New Roman" w:eastAsia="Times New Roman" w:hAnsi="Times New Roman" w:cs="Times New Roman"/>
          <w:color w:val="000000" w:themeColor="text1"/>
        </w:rPr>
        <w:t xml:space="preserve">for </w:t>
      </w:r>
      <w:r w:rsidRPr="67C8E18F">
        <w:rPr>
          <w:rFonts w:ascii="Times New Roman" w:eastAsia="Times New Roman" w:hAnsi="Times New Roman" w:cs="Times New Roman"/>
          <w:color w:val="000000" w:themeColor="text1"/>
        </w:rPr>
        <w:t xml:space="preserve">daily assistance. </w:t>
      </w:r>
      <w:r>
        <w:rPr>
          <w:rFonts w:ascii="Times New Roman" w:eastAsia="Times New Roman" w:hAnsi="Times New Roman" w:cs="Times New Roman"/>
          <w:color w:val="000000" w:themeColor="text1"/>
        </w:rPr>
        <w:t>Moreover, i</w:t>
      </w:r>
      <w:r w:rsidRPr="67C8E18F">
        <w:rPr>
          <w:rFonts w:ascii="Times New Roman" w:eastAsia="Times New Roman" w:hAnsi="Times New Roman" w:cs="Times New Roman"/>
          <w:color w:val="000000" w:themeColor="text1"/>
        </w:rPr>
        <w:t xml:space="preserve">t can help </w:t>
      </w:r>
      <w:r>
        <w:rPr>
          <w:rFonts w:ascii="Times New Roman" w:eastAsia="Times New Roman" w:hAnsi="Times New Roman" w:cs="Times New Roman"/>
          <w:color w:val="000000" w:themeColor="text1"/>
        </w:rPr>
        <w:t>older</w:t>
      </w:r>
      <w:r w:rsidRPr="67C8E18F">
        <w:rPr>
          <w:rFonts w:ascii="Times New Roman" w:eastAsia="Times New Roman" w:hAnsi="Times New Roman" w:cs="Times New Roman"/>
          <w:color w:val="000000" w:themeColor="text1"/>
        </w:rPr>
        <w:t xml:space="preserve"> or disabled </w:t>
      </w:r>
      <w:r>
        <w:rPr>
          <w:rFonts w:ascii="Times New Roman" w:eastAsia="Times New Roman" w:hAnsi="Times New Roman" w:cs="Times New Roman"/>
          <w:color w:val="000000" w:themeColor="text1"/>
        </w:rPr>
        <w:t>individuals</w:t>
      </w:r>
      <w:r w:rsidRPr="67C8E18F">
        <w:rPr>
          <w:rFonts w:ascii="Times New Roman" w:eastAsia="Times New Roman" w:hAnsi="Times New Roman" w:cs="Times New Roman"/>
          <w:color w:val="000000" w:themeColor="text1"/>
        </w:rPr>
        <w:t xml:space="preserve"> determine their eligibility </w:t>
      </w:r>
      <w:r>
        <w:rPr>
          <w:rFonts w:ascii="Times New Roman" w:eastAsia="Times New Roman" w:hAnsi="Times New Roman" w:cs="Times New Roman"/>
          <w:color w:val="000000" w:themeColor="text1"/>
        </w:rPr>
        <w:t>for</w:t>
      </w:r>
      <w:r w:rsidRPr="67C8E18F">
        <w:rPr>
          <w:rFonts w:ascii="Times New Roman" w:eastAsia="Times New Roman" w:hAnsi="Times New Roman" w:cs="Times New Roman"/>
          <w:color w:val="000000" w:themeColor="text1"/>
        </w:rPr>
        <w:t xml:space="preserve"> state and federal assistance programs</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{"citationID":"QgkBsMWz","properties":{"formattedCitation":"(Berger et\\uc0\\u160{}al., 2015; Katz, 1983)","plainCitation":"(Berger et al., 2015; Katz, 1983)","noteIndex":0},"citationItems":[{"id":1965,"uris":["http://zotero.org/users/8991183/items/DYUW6Y8K"],"itemData":{"id":1965,"type":"article-journal","abstract":"Background\nThe purpose of this study is to compare the ability of the Global Activity Limitation Indicator (GALI) and self-rated health (SRH) to predict all-cause mortality in the general adult population.\n\nMethods\nWe linked the 2001 Belgian Health Interview Survey with mortality and migration registers 2001–2010. The baseline sample included 8,583 individuals aged 15 years and older. Poisson regression models were used to estimate the effect of the GALI and SRH on mortality rate during follow-up. We investigated the impact of gender, age, education and follow-up period on the association between the GALI/SRH and mortality.\n\nResults\nThe GALI and SRH were strong and complementary predictors of mortality in the Belgian adult population. Although the two global instruments shared some traits, they predicted mortality concurrently, with some indication of a somewhat stronger effect for SRH. We found neither significant differences between men and women, nor between education groups. The predictive effect of the GALI and SRH slightly decreased over time and the predictive effect of SRH slightly decreased with age.\n\nConclusions\nOur findings suggest that the GALI and SRH are useful and complementary measures for assessing the health and functional status of adults in population surveys.","container-title":"Archives of Public Health","DOI":"10.1186/s13690-015-0073-0","ISSN":"0778-7367","issue":"1","journalAbbreviation":"Arch Public Health","note":"PMID: 25964852\nPMCID: PMC4426645","page":"25","source":"PubMed Central","title":"The global activity limitation indicator and self-rated health: two complementary predictors of mortality","title-short":"The global activity limitation indicator and self-rated health","volume":"73","author":[{"family":"Berger","given":"Nicolas"},{"family":"Van der Heyden","given":"Johan"},{"family":"Van Oyen","given":"Herman"}],"issued":{"date-parts":[["2015",5,11]]}}},{"id":3255,"uris":["http://zotero.org/users/8991183/items/AI67JJPF"],"itemData":{"id":3255,"type":"article-journal","abstract":"The aging of the population of the United States and a concern for the well-being of older people have hastened the emergence of measures of functional health. Among these, measures of basic activities of daily living, mobility, and instrumental activities of daily living have been particularly useful and are now widely available. Many are defined in similar terms and are built into available comprehensive instruments. Although studies of reliability and validity continue to be needed, especially of predictive validity, there is documented evidence that these measures of self-maintaining function can be reliably used in clinical evaluations as well as in program evaluations and in planning. Current scientific evidence indicates that evaluation by these measures helps to identify problems that require treatment or care. Such evaluation also produces useful information about prognosis and is important in monitoring the health and illness of elderly people.","container-title":"Journal of the American Geriatrics Society","DOI":"10.1111/j.1532-5415.1983.tb03391.x","ISSN":"0002-8614","issue":"12","journalAbbreviation":"J Am Geriatr Soc","language":"eng","note":"PMID: 6418786","page":"721-727","source":"PubMed","title":"Assessing self-maintenance: activities of daily living, mobility, and instrumental activities of daily living","title-short":"Assessing self-maintenance","volume":"31","author":[{"family":"Katz","given":"S."}],"issued":{"date-parts":[["1983",12]]}}}],"schema":"https://github.com/citation-style-language/schema/raw/master/csl-citation.json"} </w:instrText>
      </w:r>
      <w:r>
        <w:rPr>
          <w:rFonts w:ascii="Times New Roman" w:eastAsia="Times New Roman" w:hAnsi="Times New Roman" w:cs="Times New Roman"/>
          <w:color w:val="000000" w:themeColor="text1"/>
        </w:rPr>
        <w:fldChar w:fldCharType="separate"/>
      </w:r>
      <w:r w:rsidRPr="005120F8">
        <w:rPr>
          <w:rFonts w:ascii="Times New Roman" w:hAnsi="Times New Roman" w:cs="Times New Roman"/>
        </w:rPr>
        <w:t>(Berger et al., 2015; Katz, 1983)</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00094123">
        <w:rPr>
          <w:rFonts w:ascii="Times New Roman" w:eastAsia="Times New Roman" w:hAnsi="Times New Roman" w:cs="Times New Roman"/>
          <w:color w:val="000000" w:themeColor="text1"/>
        </w:rPr>
        <w:t xml:space="preserve"> </w:t>
      </w:r>
      <w:r w:rsidR="00ED67BD">
        <w:rPr>
          <w:rFonts w:ascii="Times New Roman" w:eastAsia="Times New Roman" w:hAnsi="Times New Roman" w:cs="Times New Roman"/>
        </w:rPr>
        <w:t>A</w:t>
      </w:r>
      <w:r w:rsidR="00396DAE" w:rsidRPr="67C8E18F">
        <w:rPr>
          <w:rFonts w:ascii="Times New Roman" w:eastAsia="Times New Roman" w:hAnsi="Times New Roman" w:cs="Times New Roman"/>
        </w:rPr>
        <w:t>dequately measur</w:t>
      </w:r>
      <w:r w:rsidR="00396DAE">
        <w:rPr>
          <w:rFonts w:ascii="Times New Roman" w:eastAsia="Times New Roman" w:hAnsi="Times New Roman" w:cs="Times New Roman"/>
        </w:rPr>
        <w:t>ing</w:t>
      </w:r>
      <w:r w:rsidR="00396DAE" w:rsidRPr="67C8E18F">
        <w:rPr>
          <w:rFonts w:ascii="Times New Roman" w:eastAsia="Times New Roman" w:hAnsi="Times New Roman" w:cs="Times New Roman"/>
        </w:rPr>
        <w:t xml:space="preserve"> the state of poor health in a population has been (and still is) a contested topic. Unlike mortality, which </w:t>
      </w:r>
      <w:r w:rsidR="002346E6">
        <w:rPr>
          <w:rFonts w:ascii="Times New Roman" w:eastAsia="Times New Roman" w:hAnsi="Times New Roman" w:cs="Times New Roman"/>
        </w:rPr>
        <w:t>has</w:t>
      </w:r>
      <w:r w:rsidR="002346E6" w:rsidRPr="67C8E18F">
        <w:rPr>
          <w:rFonts w:ascii="Times New Roman" w:eastAsia="Times New Roman" w:hAnsi="Times New Roman" w:cs="Times New Roman"/>
        </w:rPr>
        <w:t xml:space="preserve"> </w:t>
      </w:r>
      <w:r w:rsidR="00396DAE" w:rsidRPr="67C8E18F">
        <w:rPr>
          <w:rFonts w:ascii="Times New Roman" w:eastAsia="Times New Roman" w:hAnsi="Times New Roman" w:cs="Times New Roman"/>
        </w:rPr>
        <w:t xml:space="preserve">a clear definition based on a single event that is undeniable (dying), the state of poor health </w:t>
      </w:r>
      <w:r w:rsidR="002346E6">
        <w:rPr>
          <w:rFonts w:ascii="Times New Roman" w:eastAsia="Times New Roman" w:hAnsi="Times New Roman" w:cs="Times New Roman"/>
        </w:rPr>
        <w:t>encompasses</w:t>
      </w:r>
      <w:r w:rsidR="00396DAE" w:rsidRPr="67C8E18F">
        <w:rPr>
          <w:rFonts w:ascii="Times New Roman" w:eastAsia="Times New Roman" w:hAnsi="Times New Roman" w:cs="Times New Roman"/>
        </w:rPr>
        <w:t xml:space="preserve"> a gamut of different definitions</w:t>
      </w:r>
      <w:r w:rsidR="002346E6">
        <w:rPr>
          <w:rFonts w:ascii="Times New Roman" w:eastAsia="Times New Roman" w:hAnsi="Times New Roman" w:cs="Times New Roman"/>
        </w:rPr>
        <w:t>. Poor health can be</w:t>
      </w:r>
      <w:r w:rsidR="00396DAE" w:rsidRPr="67C8E18F">
        <w:rPr>
          <w:rFonts w:ascii="Times New Roman" w:eastAsia="Times New Roman" w:hAnsi="Times New Roman" w:cs="Times New Roman"/>
        </w:rPr>
        <w:t xml:space="preserve"> operationalized by the presence of disabilities, functional limitations, chronic conditions</w:t>
      </w:r>
      <w:r w:rsidR="003332DE">
        <w:rPr>
          <w:rFonts w:ascii="Times New Roman" w:eastAsia="Times New Roman" w:hAnsi="Times New Roman" w:cs="Times New Roman"/>
        </w:rPr>
        <w:t xml:space="preserve">, </w:t>
      </w:r>
      <w:r w:rsidR="00E27282">
        <w:rPr>
          <w:rFonts w:ascii="Times New Roman" w:eastAsia="Times New Roman" w:hAnsi="Times New Roman" w:cs="Times New Roman"/>
        </w:rPr>
        <w:t xml:space="preserve">or </w:t>
      </w:r>
      <w:r w:rsidR="003332DE">
        <w:rPr>
          <w:rFonts w:ascii="Times New Roman" w:eastAsia="Times New Roman" w:hAnsi="Times New Roman" w:cs="Times New Roman"/>
        </w:rPr>
        <w:t>self-rat</w:t>
      </w:r>
      <w:r w:rsidR="00E27282">
        <w:rPr>
          <w:rFonts w:ascii="Times New Roman" w:eastAsia="Times New Roman" w:hAnsi="Times New Roman" w:cs="Times New Roman"/>
        </w:rPr>
        <w:t>ings of health or wellbeing</w:t>
      </w:r>
      <w:r w:rsidR="002346E6">
        <w:rPr>
          <w:rFonts w:ascii="Times New Roman" w:eastAsia="Times New Roman" w:hAnsi="Times New Roman" w:cs="Times New Roman"/>
        </w:rPr>
        <w:t xml:space="preserve">. </w:t>
      </w:r>
      <w:r w:rsidR="00396DAE" w:rsidRPr="67C8E18F">
        <w:rPr>
          <w:rFonts w:ascii="Times New Roman" w:eastAsia="Times New Roman" w:hAnsi="Times New Roman" w:cs="Times New Roman"/>
        </w:rPr>
        <w:t xml:space="preserve">As a result, evidence about trends in poor health </w:t>
      </w:r>
      <w:r w:rsidR="002346E6">
        <w:rPr>
          <w:rFonts w:ascii="Times New Roman" w:eastAsia="Times New Roman" w:hAnsi="Times New Roman" w:cs="Times New Roman"/>
        </w:rPr>
        <w:t>can be</w:t>
      </w:r>
      <w:r w:rsidR="002346E6" w:rsidRPr="67C8E18F">
        <w:rPr>
          <w:rFonts w:ascii="Times New Roman" w:eastAsia="Times New Roman" w:hAnsi="Times New Roman" w:cs="Times New Roman"/>
        </w:rPr>
        <w:t xml:space="preserve"> </w:t>
      </w:r>
      <w:r w:rsidR="00396DAE" w:rsidRPr="67C8E18F">
        <w:rPr>
          <w:rFonts w:ascii="Times New Roman" w:eastAsia="Times New Roman" w:hAnsi="Times New Roman" w:cs="Times New Roman"/>
        </w:rPr>
        <w:t>inconclusive</w:t>
      </w:r>
      <w:r w:rsidR="002346E6">
        <w:rPr>
          <w:rFonts w:ascii="Times New Roman" w:eastAsia="Times New Roman" w:hAnsi="Times New Roman" w:cs="Times New Roman"/>
        </w:rPr>
        <w:t>, particularly when</w:t>
      </w:r>
      <w:r w:rsidR="00396DAE" w:rsidRPr="67C8E18F">
        <w:rPr>
          <w:rFonts w:ascii="Times New Roman" w:eastAsia="Times New Roman" w:hAnsi="Times New Roman" w:cs="Times New Roman"/>
        </w:rPr>
        <w:t xml:space="preserve"> definitions embrace different dimensions of </w:t>
      </w:r>
      <w:r w:rsidR="002E611E">
        <w:rPr>
          <w:rFonts w:ascii="Times New Roman" w:eastAsia="Times New Roman" w:hAnsi="Times New Roman" w:cs="Times New Roman"/>
        </w:rPr>
        <w:t>well-being</w:t>
      </w:r>
      <w:r w:rsidR="002E611E" w:rsidRPr="67C8E18F">
        <w:rPr>
          <w:rFonts w:ascii="Times New Roman" w:eastAsia="Times New Roman" w:hAnsi="Times New Roman" w:cs="Times New Roman"/>
        </w:rPr>
        <w:t xml:space="preserve"> </w:t>
      </w:r>
      <w:r w:rsidR="00396DAE" w:rsidRPr="67C8E18F">
        <w:rPr>
          <w:rFonts w:ascii="Times New Roman" w:eastAsia="Times New Roman" w:hAnsi="Times New Roman" w:cs="Times New Roman"/>
        </w:rPr>
        <w:t xml:space="preserve">and poor </w:t>
      </w:r>
      <w:r w:rsidR="00396DAE" w:rsidRPr="67C8E18F">
        <w:rPr>
          <w:rFonts w:ascii="Times New Roman" w:eastAsia="Times New Roman" w:hAnsi="Times New Roman" w:cs="Times New Roman"/>
        </w:rPr>
        <w:lastRenderedPageBreak/>
        <w:t>health</w:t>
      </w:r>
      <w:r w:rsidR="002346E6">
        <w:rPr>
          <w:rFonts w:ascii="Times New Roman" w:eastAsia="Times New Roman" w:hAnsi="Times New Roman" w:cs="Times New Roman"/>
        </w:rPr>
        <w:t>. This ambiguity is</w:t>
      </w:r>
      <w:r w:rsidR="00396DAE" w:rsidRPr="67C8E18F">
        <w:rPr>
          <w:rFonts w:ascii="Times New Roman" w:eastAsia="Times New Roman" w:hAnsi="Times New Roman" w:cs="Times New Roman"/>
        </w:rPr>
        <w:t xml:space="preserve"> partially due to </w:t>
      </w:r>
      <w:r w:rsidR="002346E6">
        <w:rPr>
          <w:rFonts w:ascii="Times New Roman" w:eastAsia="Times New Roman" w:hAnsi="Times New Roman" w:cs="Times New Roman"/>
        </w:rPr>
        <w:t>the</w:t>
      </w:r>
      <w:r w:rsidR="002346E6" w:rsidRPr="67C8E18F">
        <w:rPr>
          <w:rFonts w:ascii="Times New Roman" w:eastAsia="Times New Roman" w:hAnsi="Times New Roman" w:cs="Times New Roman"/>
        </w:rPr>
        <w:t xml:space="preserve"> </w:t>
      </w:r>
      <w:r w:rsidR="00396DAE" w:rsidRPr="67C8E18F">
        <w:rPr>
          <w:rFonts w:ascii="Times New Roman" w:eastAsia="Times New Roman" w:hAnsi="Times New Roman" w:cs="Times New Roman"/>
        </w:rPr>
        <w:t>subjective nature</w:t>
      </w:r>
      <w:r w:rsidR="002346E6">
        <w:rPr>
          <w:rFonts w:ascii="Times New Roman" w:eastAsia="Times New Roman" w:hAnsi="Times New Roman" w:cs="Times New Roman"/>
        </w:rPr>
        <w:t xml:space="preserve"> of assessments, </w:t>
      </w:r>
      <w:r w:rsidR="00396DAE" w:rsidRPr="67C8E18F">
        <w:rPr>
          <w:rFonts w:ascii="Times New Roman" w:eastAsia="Times New Roman" w:hAnsi="Times New Roman" w:cs="Times New Roman"/>
        </w:rPr>
        <w:t xml:space="preserve">but also because </w:t>
      </w:r>
      <w:r w:rsidR="002346E6">
        <w:rPr>
          <w:rFonts w:ascii="Times New Roman" w:eastAsia="Times New Roman" w:hAnsi="Times New Roman" w:cs="Times New Roman"/>
        </w:rPr>
        <w:t>these definitions may</w:t>
      </w:r>
      <w:r w:rsidR="00396DAE" w:rsidRPr="67C8E18F">
        <w:rPr>
          <w:rFonts w:ascii="Times New Roman" w:eastAsia="Times New Roman" w:hAnsi="Times New Roman" w:cs="Times New Roman"/>
        </w:rPr>
        <w:t xml:space="preserve"> represent </w:t>
      </w:r>
      <w:r w:rsidR="00E27282">
        <w:rPr>
          <w:rFonts w:ascii="Times New Roman" w:eastAsia="Times New Roman" w:hAnsi="Times New Roman" w:cs="Times New Roman"/>
        </w:rPr>
        <w:t xml:space="preserve">different dimensions of </w:t>
      </w:r>
      <w:r w:rsidR="00396DAE" w:rsidRPr="67C8E18F">
        <w:rPr>
          <w:rFonts w:ascii="Times New Roman" w:eastAsia="Times New Roman" w:hAnsi="Times New Roman" w:cs="Times New Roman"/>
        </w:rPr>
        <w:t xml:space="preserve">impairment, </w:t>
      </w:r>
      <w:r w:rsidR="002346E6">
        <w:rPr>
          <w:rFonts w:ascii="Times New Roman" w:eastAsia="Times New Roman" w:hAnsi="Times New Roman" w:cs="Times New Roman"/>
        </w:rPr>
        <w:t xml:space="preserve">especially </w:t>
      </w:r>
      <w:r w:rsidR="00396DAE" w:rsidRPr="67C8E18F">
        <w:rPr>
          <w:rFonts w:ascii="Times New Roman" w:eastAsia="Times New Roman" w:hAnsi="Times New Roman" w:cs="Times New Roman"/>
        </w:rPr>
        <w:t>given the presence of mechanisms and technologies that mitigate or control for such difficulties</w:t>
      </w:r>
      <w:r w:rsidR="00CE15F9">
        <w:rPr>
          <w:rFonts w:ascii="Times New Roman" w:eastAsia="Times New Roman" w:hAnsi="Times New Roman" w:cs="Times New Roman"/>
        </w:rPr>
        <w:t xml:space="preserve"> and might change the </w:t>
      </w:r>
      <w:proofErr w:type="spellStart"/>
      <w:r w:rsidR="00CE15F9">
        <w:rPr>
          <w:rFonts w:ascii="Times New Roman" w:eastAsia="Times New Roman" w:hAnsi="Times New Roman" w:cs="Times New Roman"/>
        </w:rPr>
        <w:t>respondants</w:t>
      </w:r>
      <w:proofErr w:type="spellEnd"/>
      <w:r w:rsidR="00CE15F9">
        <w:rPr>
          <w:rFonts w:ascii="Times New Roman" w:eastAsia="Times New Roman" w:hAnsi="Times New Roman" w:cs="Times New Roman"/>
        </w:rPr>
        <w:t>’ perspective</w:t>
      </w:r>
      <w:r w:rsidR="00396DAE" w:rsidRPr="67C8E18F">
        <w:rPr>
          <w:rFonts w:ascii="Times New Roman" w:eastAsia="Times New Roman" w:hAnsi="Times New Roman" w:cs="Times New Roman"/>
        </w:rPr>
        <w:t xml:space="preserve">. </w:t>
      </w:r>
      <w:r w:rsidR="002E611E">
        <w:rPr>
          <w:rFonts w:ascii="Times New Roman" w:eastAsia="Times New Roman" w:hAnsi="Times New Roman" w:cs="Times New Roman"/>
        </w:rPr>
        <w:t xml:space="preserve">Furthermore, there are variable trends across age, gender and race/ethnicity that might not always go in the same direction. </w:t>
      </w:r>
    </w:p>
    <w:p w14:paraId="6A1C5941" w14:textId="0D8CB61B" w:rsidR="00FC5319" w:rsidRDefault="00ED67BD" w:rsidP="00FC5319">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With that in mind, t</w:t>
      </w:r>
      <w:r w:rsidRPr="5996E1DC">
        <w:rPr>
          <w:rFonts w:ascii="Times New Roman" w:eastAsia="Times New Roman" w:hAnsi="Times New Roman" w:cs="Times New Roman"/>
        </w:rPr>
        <w:t xml:space="preserve">he main finding of this study </w:t>
      </w:r>
      <w:r w:rsidR="002346E6">
        <w:rPr>
          <w:rFonts w:ascii="Times New Roman" w:eastAsia="Times New Roman" w:hAnsi="Times New Roman" w:cs="Times New Roman"/>
        </w:rPr>
        <w:t>suggests</w:t>
      </w:r>
      <w:r w:rsidR="002346E6" w:rsidRPr="5996E1DC">
        <w:rPr>
          <w:rFonts w:ascii="Times New Roman" w:eastAsia="Times New Roman" w:hAnsi="Times New Roman" w:cs="Times New Roman"/>
        </w:rPr>
        <w:t xml:space="preserve"> </w:t>
      </w:r>
      <w:r w:rsidRPr="5996E1DC">
        <w:rPr>
          <w:rFonts w:ascii="Times New Roman" w:eastAsia="Times New Roman" w:hAnsi="Times New Roman" w:cs="Times New Roman"/>
        </w:rPr>
        <w:t xml:space="preserve">that behind an apparent stagnation </w:t>
      </w:r>
      <w:r w:rsidR="002346E6">
        <w:rPr>
          <w:rFonts w:ascii="Times New Roman" w:eastAsia="Times New Roman" w:hAnsi="Times New Roman" w:cs="Times New Roman"/>
        </w:rPr>
        <w:t>in</w:t>
      </w:r>
      <w:r w:rsidR="002346E6" w:rsidRPr="5996E1DC">
        <w:rPr>
          <w:rFonts w:ascii="Times New Roman" w:eastAsia="Times New Roman" w:hAnsi="Times New Roman" w:cs="Times New Roman"/>
        </w:rPr>
        <w:t xml:space="preserve"> </w:t>
      </w:r>
      <w:r w:rsidRPr="5996E1DC">
        <w:rPr>
          <w:rFonts w:ascii="Times New Roman" w:eastAsia="Times New Roman" w:hAnsi="Times New Roman" w:cs="Times New Roman"/>
        </w:rPr>
        <w:t>the overall prevalence of functional limitations and instrumental functional limitations</w:t>
      </w:r>
      <w:r w:rsidR="002C0D21">
        <w:rPr>
          <w:rFonts w:ascii="Times New Roman" w:eastAsia="Times New Roman" w:hAnsi="Times New Roman" w:cs="Times New Roman"/>
        </w:rPr>
        <w:t xml:space="preserve"> </w:t>
      </w:r>
      <w:r w:rsidR="002C0D21">
        <w:rPr>
          <w:rFonts w:ascii="Times New Roman" w:eastAsia="Times New Roman" w:hAnsi="Times New Roman" w:cs="Times New Roman"/>
        </w:rPr>
        <w:fldChar w:fldCharType="begin"/>
      </w:r>
      <w:r w:rsidR="002C0D21">
        <w:rPr>
          <w:rFonts w:ascii="Times New Roman" w:eastAsia="Times New Roman" w:hAnsi="Times New Roman" w:cs="Times New Roman"/>
        </w:rPr>
        <w:instrText xml:space="preserve"> ADDIN ZOTERO_ITEM CSL_CITATION {"citationID":"4wXdgU4D","properties":{"formattedCitation":"(Tsai, 2017)","plainCitation":"(Tsai, 2017)","noteIndex":0},"citationItems":[{"id":1416,"uris":["http://zotero.org/users/8991183/items/XMTJG27M"],"itemData":{"id":1416,"type":"article-journal","abstract":"BACKGROUND: Trends in disability among older Americans has declined since the 1980s. The study examines whether the trend continues to decline and whether educational disparities exist in the prevalence of functional limitations.\nMETHODS: I used the 2000-2014 National Health Interview Survey and included adults aged ≥65 years. Functional limitations was measured by three outcomes: the need for help with activities of daily living (ADLs) or instrumental activities of daily living (IADLs) and physical function limitations. I used a set of logistic models to estimate the average annual change rate of functional limitations. I examined whether the annual rate of change differed by education, age group and sex.\nRESULTS: During 2000-2014, the annual increase rate of ADL limitations was 1.7% (P &lt; 0.001) and was 2.0% (P &lt; 0.001) for physical function limitations; IADL limitation did not change significantly. All subgroups experienced an increase in ADL and physical function limitations except for adults with a more than high school education. The lower-educated group had a higher proportion and a higher annual rate of increase in all outcomes. Increasing trends in chronic conditions may contribute to the increasing trend in functional limitations.\nCONCLUSIONS: The study highlighted a large educational disparity in late-life disability among older Americans.","container-title":"Journal of Public Health (Oxford, England)","DOI":"10.1093/pubmed/fdw082","ISSN":"1741-3850","issue":"3","journalAbbreviation":"J Public Health (Oxf)","language":"eng","note":"PMID: 27679658\nPMCID: PMC5778449","page":"447-454","source":"PubMed","title":"Education and disability trends of older Americans, 2000-2014","volume":"39","author":[{"family":"Tsai","given":"Yuping"}],"issued":{"date-parts":[["2017",9,1]]}}}],"schema":"https://github.com/citation-style-language/schema/raw/master/csl-citation.json"} </w:instrText>
      </w:r>
      <w:r w:rsidR="002C0D21">
        <w:rPr>
          <w:rFonts w:ascii="Times New Roman" w:eastAsia="Times New Roman" w:hAnsi="Times New Roman" w:cs="Times New Roman"/>
        </w:rPr>
        <w:fldChar w:fldCharType="separate"/>
      </w:r>
      <w:r w:rsidR="002C0D21" w:rsidRPr="002C0D21">
        <w:rPr>
          <w:rFonts w:ascii="Times New Roman" w:hAnsi="Times New Roman" w:cs="Times New Roman"/>
        </w:rPr>
        <w:t>(Tsai, 2017)</w:t>
      </w:r>
      <w:r w:rsidR="002C0D21">
        <w:rPr>
          <w:rFonts w:ascii="Times New Roman" w:eastAsia="Times New Roman" w:hAnsi="Times New Roman" w:cs="Times New Roman"/>
        </w:rPr>
        <w:fldChar w:fldCharType="end"/>
      </w:r>
      <w:r w:rsidRPr="5996E1DC">
        <w:rPr>
          <w:rFonts w:ascii="Times New Roman" w:eastAsia="Times New Roman" w:hAnsi="Times New Roman" w:cs="Times New Roman"/>
        </w:rPr>
        <w:t xml:space="preserve">, age-specific trends </w:t>
      </w:r>
      <w:r w:rsidR="00467AF9">
        <w:rPr>
          <w:rFonts w:ascii="Times New Roman" w:eastAsia="Times New Roman" w:hAnsi="Times New Roman" w:cs="Times New Roman"/>
        </w:rPr>
        <w:t>indicate</w:t>
      </w:r>
      <w:r w:rsidRPr="5996E1DC">
        <w:rPr>
          <w:rFonts w:ascii="Times New Roman" w:eastAsia="Times New Roman" w:hAnsi="Times New Roman" w:cs="Times New Roman"/>
        </w:rPr>
        <w:t xml:space="preserve"> that younger generations </w:t>
      </w:r>
      <w:r w:rsidR="00695135">
        <w:rPr>
          <w:rFonts w:ascii="Times New Roman" w:eastAsia="Times New Roman" w:hAnsi="Times New Roman" w:cs="Times New Roman"/>
        </w:rPr>
        <w:t>ha</w:t>
      </w:r>
      <w:r w:rsidR="008A52AF">
        <w:rPr>
          <w:rFonts w:ascii="Times New Roman" w:eastAsia="Times New Roman" w:hAnsi="Times New Roman" w:cs="Times New Roman"/>
        </w:rPr>
        <w:t>d</w:t>
      </w:r>
      <w:r w:rsidR="00467AF9">
        <w:rPr>
          <w:rFonts w:ascii="Times New Roman" w:eastAsia="Times New Roman" w:hAnsi="Times New Roman" w:cs="Times New Roman"/>
        </w:rPr>
        <w:t xml:space="preserve"> a</w:t>
      </w:r>
      <w:r w:rsidRPr="5996E1DC">
        <w:rPr>
          <w:rFonts w:ascii="Times New Roman" w:eastAsia="Times New Roman" w:hAnsi="Times New Roman" w:cs="Times New Roman"/>
        </w:rPr>
        <w:t xml:space="preserve"> higher </w:t>
      </w:r>
      <w:r w:rsidR="00614D82">
        <w:rPr>
          <w:rFonts w:ascii="Times New Roman" w:eastAsia="Times New Roman" w:hAnsi="Times New Roman" w:cs="Times New Roman"/>
        </w:rPr>
        <w:t xml:space="preserve">increase </w:t>
      </w:r>
      <w:r w:rsidRPr="5996E1DC">
        <w:rPr>
          <w:rFonts w:ascii="Times New Roman" w:eastAsia="Times New Roman" w:hAnsi="Times New Roman" w:cs="Times New Roman"/>
        </w:rPr>
        <w:t>of</w:t>
      </w:r>
      <w:r w:rsidR="00614D82">
        <w:rPr>
          <w:rFonts w:ascii="Times New Roman" w:eastAsia="Times New Roman" w:hAnsi="Times New Roman" w:cs="Times New Roman"/>
        </w:rPr>
        <w:t xml:space="preserve"> </w:t>
      </w:r>
      <w:r w:rsidRPr="5996E1DC">
        <w:rPr>
          <w:rFonts w:ascii="Times New Roman" w:eastAsia="Times New Roman" w:hAnsi="Times New Roman" w:cs="Times New Roman"/>
        </w:rPr>
        <w:t>functional limitations</w:t>
      </w:r>
      <w:r w:rsidR="00614D82">
        <w:rPr>
          <w:rFonts w:ascii="Times New Roman" w:eastAsia="Times New Roman" w:hAnsi="Times New Roman" w:cs="Times New Roman"/>
        </w:rPr>
        <w:t xml:space="preserve"> </w:t>
      </w:r>
      <w:r w:rsidR="00695135">
        <w:rPr>
          <w:rFonts w:ascii="Times New Roman" w:eastAsia="Times New Roman" w:hAnsi="Times New Roman" w:cs="Times New Roman"/>
        </w:rPr>
        <w:t xml:space="preserve">prevalence </w:t>
      </w:r>
      <w:r w:rsidR="00B85050">
        <w:rPr>
          <w:rFonts w:ascii="Times New Roman" w:eastAsia="Times New Roman" w:hAnsi="Times New Roman" w:cs="Times New Roman"/>
        </w:rPr>
        <w:t>between 2000 and 2018</w:t>
      </w:r>
      <w:r w:rsidR="00127F1C">
        <w:rPr>
          <w:rFonts w:ascii="Times New Roman" w:eastAsia="Times New Roman" w:hAnsi="Times New Roman" w:cs="Times New Roman"/>
        </w:rPr>
        <w:t xml:space="preserve">, </w:t>
      </w:r>
      <w:r w:rsidRPr="5996E1DC">
        <w:rPr>
          <w:rFonts w:ascii="Times New Roman" w:eastAsia="Times New Roman" w:hAnsi="Times New Roman" w:cs="Times New Roman"/>
        </w:rPr>
        <w:t xml:space="preserve">potentially </w:t>
      </w:r>
      <w:r w:rsidR="00695135">
        <w:rPr>
          <w:rFonts w:ascii="Times New Roman" w:eastAsia="Times New Roman" w:hAnsi="Times New Roman" w:cs="Times New Roman"/>
        </w:rPr>
        <w:t>forecasting</w:t>
      </w:r>
      <w:r w:rsidRPr="5996E1DC">
        <w:rPr>
          <w:rFonts w:ascii="Times New Roman" w:eastAsia="Times New Roman" w:hAnsi="Times New Roman" w:cs="Times New Roman"/>
        </w:rPr>
        <w:t xml:space="preserve"> greater healthcare needs </w:t>
      </w:r>
      <w:r w:rsidR="00695135">
        <w:rPr>
          <w:rFonts w:ascii="Times New Roman" w:eastAsia="Times New Roman" w:hAnsi="Times New Roman" w:cs="Times New Roman"/>
        </w:rPr>
        <w:t>among</w:t>
      </w:r>
      <w:r w:rsidR="00B85050">
        <w:rPr>
          <w:rFonts w:ascii="Times New Roman" w:eastAsia="Times New Roman" w:hAnsi="Times New Roman" w:cs="Times New Roman"/>
        </w:rPr>
        <w:t xml:space="preserve"> younger age groups</w:t>
      </w:r>
      <w:r w:rsidR="00467AF9">
        <w:rPr>
          <w:rFonts w:ascii="Times New Roman" w:eastAsia="Times New Roman" w:hAnsi="Times New Roman" w:cs="Times New Roman"/>
        </w:rPr>
        <w:t xml:space="preserve"> in the future</w:t>
      </w:r>
      <w:r w:rsidRPr="5996E1DC">
        <w:rPr>
          <w:rFonts w:ascii="Times New Roman" w:eastAsia="Times New Roman" w:hAnsi="Times New Roman" w:cs="Times New Roman"/>
        </w:rPr>
        <w:t>.</w:t>
      </w:r>
      <w:r w:rsidR="00127F1C">
        <w:rPr>
          <w:rFonts w:ascii="Times New Roman" w:eastAsia="Times New Roman" w:hAnsi="Times New Roman" w:cs="Times New Roman"/>
        </w:rPr>
        <w:t xml:space="preserve"> </w:t>
      </w:r>
      <w:r w:rsidR="00695135">
        <w:rPr>
          <w:rFonts w:ascii="Times New Roman" w:eastAsia="Times New Roman" w:hAnsi="Times New Roman" w:cs="Times New Roman"/>
        </w:rPr>
        <w:t>P</w:t>
      </w:r>
      <w:r w:rsidR="00325F7A">
        <w:rPr>
          <w:rFonts w:ascii="Times New Roman" w:eastAsia="Times New Roman" w:hAnsi="Times New Roman" w:cs="Times New Roman"/>
        </w:rPr>
        <w:t xml:space="preserve">revious </w:t>
      </w:r>
      <w:r w:rsidR="00695135">
        <w:rPr>
          <w:rFonts w:ascii="Times New Roman" w:eastAsia="Times New Roman" w:hAnsi="Times New Roman" w:cs="Times New Roman"/>
        </w:rPr>
        <w:t>research</w:t>
      </w:r>
      <w:r w:rsidR="00467AF9">
        <w:rPr>
          <w:rFonts w:ascii="Times New Roman" w:eastAsia="Times New Roman" w:hAnsi="Times New Roman" w:cs="Times New Roman"/>
        </w:rPr>
        <w:t xml:space="preserve"> has</w:t>
      </w:r>
      <w:r w:rsidR="00325F7A">
        <w:rPr>
          <w:rFonts w:ascii="Times New Roman" w:eastAsia="Times New Roman" w:hAnsi="Times New Roman" w:cs="Times New Roman"/>
        </w:rPr>
        <w:t xml:space="preserve"> highlighted the increase in the prevalence of functional limitations </w:t>
      </w:r>
      <w:r w:rsidR="00695135">
        <w:rPr>
          <w:rFonts w:ascii="Times New Roman" w:eastAsia="Times New Roman" w:hAnsi="Times New Roman" w:cs="Times New Roman"/>
        </w:rPr>
        <w:t xml:space="preserve">among </w:t>
      </w:r>
      <w:r w:rsidR="00325F7A">
        <w:rPr>
          <w:rFonts w:ascii="Times New Roman" w:eastAsia="Times New Roman" w:hAnsi="Times New Roman" w:cs="Times New Roman"/>
        </w:rPr>
        <w:t xml:space="preserve">Americans aged 65 </w:t>
      </w:r>
      <w:r w:rsidR="00467AF9">
        <w:rPr>
          <w:rFonts w:ascii="Times New Roman" w:eastAsia="Times New Roman" w:hAnsi="Times New Roman" w:cs="Times New Roman"/>
        </w:rPr>
        <w:t xml:space="preserve">and older </w:t>
      </w:r>
      <w:r w:rsidR="00325F7A">
        <w:rPr>
          <w:rFonts w:ascii="Times New Roman" w:eastAsia="Times New Roman" w:hAnsi="Times New Roman" w:cs="Times New Roman"/>
        </w:rPr>
        <w:fldChar w:fldCharType="begin"/>
      </w:r>
      <w:r w:rsidR="00325F7A">
        <w:rPr>
          <w:rFonts w:ascii="Times New Roman" w:eastAsia="Times New Roman" w:hAnsi="Times New Roman" w:cs="Times New Roman"/>
        </w:rPr>
        <w:instrText xml:space="preserve"> ADDIN ZOTERO_ITEM CSL_CITATION {"citationID":"WWflVN9X","properties":{"formattedCitation":"(Tsai, 2017)","plainCitation":"(Tsai, 2017)","noteIndex":0},"citationItems":[{"id":1416,"uris":["http://zotero.org/users/8991183/items/XMTJG27M"],"itemData":{"id":1416,"type":"article-journal","abstract":"BACKGROUND: Trends in disability among older Americans has declined since the 1980s. The study examines whether the trend continues to decline and whether educational disparities exist in the prevalence of functional limitations.\nMETHODS: I used the 2000-2014 National Health Interview Survey and included adults aged ≥65 years. Functional limitations was measured by three outcomes: the need for help with activities of daily living (ADLs) or instrumental activities of daily living (IADLs) and physical function limitations. I used a set of logistic models to estimate the average annual change rate of functional limitations. I examined whether the annual rate of change differed by education, age group and sex.\nRESULTS: During 2000-2014, the annual increase rate of ADL limitations was 1.7% (P &lt; 0.001) and was 2.0% (P &lt; 0.001) for physical function limitations; IADL limitation did not change significantly. All subgroups experienced an increase in ADL and physical function limitations except for adults with a more than high school education. The lower-educated group had a higher proportion and a higher annual rate of increase in all outcomes. Increasing trends in chronic conditions may contribute to the increasing trend in functional limitations.\nCONCLUSIONS: The study highlighted a large educational disparity in late-life disability among older Americans.","container-title":"Journal of Public Health (Oxford, England)","DOI":"10.1093/pubmed/fdw082","ISSN":"1741-3850","issue":"3","journalAbbreviation":"J Public Health (Oxf)","language":"eng","note":"PMID: 27679658\nPMCID: PMC5778449","page":"447-454","source":"PubMed","title":"Education and disability trends of older Americans, 2000-2014","volume":"39","author":[{"family":"Tsai","given":"Yuping"}],"issued":{"date-parts":[["2017",9,1]]}}}],"schema":"https://github.com/citation-style-language/schema/raw/master/csl-citation.json"} </w:instrText>
      </w:r>
      <w:r w:rsidR="00325F7A">
        <w:rPr>
          <w:rFonts w:ascii="Times New Roman" w:eastAsia="Times New Roman" w:hAnsi="Times New Roman" w:cs="Times New Roman"/>
        </w:rPr>
        <w:fldChar w:fldCharType="separate"/>
      </w:r>
      <w:r w:rsidR="00325F7A" w:rsidRPr="00491C72">
        <w:rPr>
          <w:rFonts w:ascii="Times New Roman" w:hAnsi="Times New Roman" w:cs="Times New Roman"/>
        </w:rPr>
        <w:t>(Tsai, 2017)</w:t>
      </w:r>
      <w:r w:rsidR="00325F7A">
        <w:rPr>
          <w:rFonts w:ascii="Times New Roman" w:eastAsia="Times New Roman" w:hAnsi="Times New Roman" w:cs="Times New Roman"/>
        </w:rPr>
        <w:fldChar w:fldCharType="end"/>
      </w:r>
      <w:r w:rsidR="00695135">
        <w:rPr>
          <w:rFonts w:ascii="Times New Roman" w:eastAsia="Times New Roman" w:hAnsi="Times New Roman" w:cs="Times New Roman"/>
        </w:rPr>
        <w:t>,</w:t>
      </w:r>
      <w:r w:rsidR="00325F7A">
        <w:rPr>
          <w:rFonts w:ascii="Times New Roman" w:eastAsia="Times New Roman" w:hAnsi="Times New Roman" w:cs="Times New Roman"/>
        </w:rPr>
        <w:t xml:space="preserve"> </w:t>
      </w:r>
      <w:r w:rsidR="00695135">
        <w:rPr>
          <w:rFonts w:ascii="Times New Roman" w:eastAsia="Times New Roman" w:hAnsi="Times New Roman" w:cs="Times New Roman"/>
        </w:rPr>
        <w:t>but it</w:t>
      </w:r>
      <w:r w:rsidR="00467AF9">
        <w:rPr>
          <w:rFonts w:ascii="Times New Roman" w:eastAsia="Times New Roman" w:hAnsi="Times New Roman" w:cs="Times New Roman"/>
        </w:rPr>
        <w:t xml:space="preserve"> </w:t>
      </w:r>
      <w:r w:rsidR="00325F7A">
        <w:rPr>
          <w:rFonts w:ascii="Times New Roman" w:eastAsia="Times New Roman" w:hAnsi="Times New Roman" w:cs="Times New Roman"/>
        </w:rPr>
        <w:t xml:space="preserve">did not consider differences by race and ethnicity </w:t>
      </w:r>
      <w:r w:rsidR="00467AF9">
        <w:rPr>
          <w:rFonts w:ascii="Times New Roman" w:eastAsia="Times New Roman" w:hAnsi="Times New Roman" w:cs="Times New Roman"/>
        </w:rPr>
        <w:t xml:space="preserve">or </w:t>
      </w:r>
      <w:r w:rsidR="00325F7A">
        <w:rPr>
          <w:rFonts w:ascii="Times New Roman" w:eastAsia="Times New Roman" w:hAnsi="Times New Roman" w:cs="Times New Roman"/>
        </w:rPr>
        <w:t>that individuals aged 50</w:t>
      </w:r>
      <w:r w:rsidR="00467AF9">
        <w:rPr>
          <w:rFonts w:ascii="Times New Roman" w:eastAsia="Times New Roman" w:hAnsi="Times New Roman" w:cs="Times New Roman"/>
        </w:rPr>
        <w:t xml:space="preserve"> to </w:t>
      </w:r>
      <w:r w:rsidR="00325F7A">
        <w:rPr>
          <w:rFonts w:ascii="Times New Roman" w:eastAsia="Times New Roman" w:hAnsi="Times New Roman" w:cs="Times New Roman"/>
        </w:rPr>
        <w:t xml:space="preserve">64 were the group with the highest average increase in ADL and IADL </w:t>
      </w:r>
      <w:r w:rsidR="00467AF9">
        <w:rPr>
          <w:rFonts w:ascii="Times New Roman" w:eastAsia="Times New Roman" w:hAnsi="Times New Roman" w:cs="Times New Roman"/>
        </w:rPr>
        <w:t xml:space="preserve">limitations </w:t>
      </w:r>
      <w:r w:rsidR="00325F7A">
        <w:rPr>
          <w:rFonts w:ascii="Times New Roman" w:eastAsia="Times New Roman" w:hAnsi="Times New Roman" w:cs="Times New Roman"/>
        </w:rPr>
        <w:t>over time</w:t>
      </w:r>
      <w:r w:rsidR="00127F1C">
        <w:rPr>
          <w:rFonts w:ascii="Times New Roman" w:eastAsia="Times New Roman" w:hAnsi="Times New Roman" w:cs="Times New Roman"/>
        </w:rPr>
        <w:t>. While</w:t>
      </w:r>
      <w:r w:rsidR="004E5A6C">
        <w:rPr>
          <w:rFonts w:ascii="Times New Roman" w:eastAsia="Times New Roman" w:hAnsi="Times New Roman" w:cs="Times New Roman"/>
        </w:rPr>
        <w:t xml:space="preserve"> in most cases</w:t>
      </w:r>
      <w:r w:rsidR="00127F1C">
        <w:rPr>
          <w:rFonts w:ascii="Times New Roman" w:eastAsia="Times New Roman" w:hAnsi="Times New Roman" w:cs="Times New Roman"/>
        </w:rPr>
        <w:t xml:space="preserve"> prevalence</w:t>
      </w:r>
      <w:r w:rsidR="004E5A6C">
        <w:rPr>
          <w:rFonts w:ascii="Times New Roman" w:eastAsia="Times New Roman" w:hAnsi="Times New Roman" w:cs="Times New Roman"/>
        </w:rPr>
        <w:t xml:space="preserve"> in this age group</w:t>
      </w:r>
      <w:r w:rsidR="00127F1C">
        <w:rPr>
          <w:rFonts w:ascii="Times New Roman" w:eastAsia="Times New Roman" w:hAnsi="Times New Roman" w:cs="Times New Roman"/>
        </w:rPr>
        <w:t xml:space="preserve"> has increased sensibly for all three subgroups, the increase was larger for the non-Hispanic Blacks during the 2000-2009 period</w:t>
      </w:r>
      <w:r w:rsidR="00D90D6C">
        <w:rPr>
          <w:rFonts w:ascii="Times New Roman" w:eastAsia="Times New Roman" w:hAnsi="Times New Roman" w:cs="Times New Roman"/>
        </w:rPr>
        <w:t>, with an apparent stagnation in 2010-2018</w:t>
      </w:r>
      <w:r w:rsidR="005574EA">
        <w:rPr>
          <w:rFonts w:ascii="Times New Roman" w:eastAsia="Times New Roman" w:hAnsi="Times New Roman" w:cs="Times New Roman"/>
        </w:rPr>
        <w:t xml:space="preserve"> (but still with relative increases of near </w:t>
      </w:r>
      <w:r w:rsidR="00587CBE">
        <w:rPr>
          <w:rFonts w:ascii="Times New Roman" w:eastAsia="Times New Roman" w:hAnsi="Times New Roman" w:cs="Times New Roman"/>
        </w:rPr>
        <w:t>5</w:t>
      </w:r>
      <w:r w:rsidR="005574EA">
        <w:rPr>
          <w:rFonts w:ascii="Times New Roman" w:eastAsia="Times New Roman" w:hAnsi="Times New Roman" w:cs="Times New Roman"/>
        </w:rPr>
        <w:t>0% or more</w:t>
      </w:r>
      <w:r w:rsidR="00982832">
        <w:rPr>
          <w:rFonts w:ascii="Times New Roman" w:eastAsia="Times New Roman" w:hAnsi="Times New Roman" w:cs="Times New Roman"/>
        </w:rPr>
        <w:t xml:space="preserve"> between 2000 and 2018</w:t>
      </w:r>
      <w:r w:rsidR="005574EA">
        <w:rPr>
          <w:rFonts w:ascii="Times New Roman" w:eastAsia="Times New Roman" w:hAnsi="Times New Roman" w:cs="Times New Roman"/>
        </w:rPr>
        <w:t>)</w:t>
      </w:r>
      <w:r w:rsidR="00D90D6C">
        <w:rPr>
          <w:rFonts w:ascii="Times New Roman" w:eastAsia="Times New Roman" w:hAnsi="Times New Roman" w:cs="Times New Roman"/>
        </w:rPr>
        <w:t>. F</w:t>
      </w:r>
      <w:r w:rsidR="00127F1C">
        <w:rPr>
          <w:rFonts w:ascii="Times New Roman" w:eastAsia="Times New Roman" w:hAnsi="Times New Roman" w:cs="Times New Roman"/>
        </w:rPr>
        <w:t>or the Hispanics</w:t>
      </w:r>
      <w:r w:rsidR="00D90D6C">
        <w:rPr>
          <w:rFonts w:ascii="Times New Roman" w:eastAsia="Times New Roman" w:hAnsi="Times New Roman" w:cs="Times New Roman"/>
        </w:rPr>
        <w:t>, the average increase in prevalence was observed</w:t>
      </w:r>
      <w:r w:rsidR="00127F1C">
        <w:rPr>
          <w:rFonts w:ascii="Times New Roman" w:eastAsia="Times New Roman" w:hAnsi="Times New Roman" w:cs="Times New Roman"/>
        </w:rPr>
        <w:t xml:space="preserve"> between 2010 and 2018</w:t>
      </w:r>
      <w:r w:rsidR="00E336D4">
        <w:rPr>
          <w:rFonts w:ascii="Times New Roman" w:eastAsia="Times New Roman" w:hAnsi="Times New Roman" w:cs="Times New Roman"/>
        </w:rPr>
        <w:t xml:space="preserve"> (with relative increases between </w:t>
      </w:r>
      <w:r w:rsidR="00155180">
        <w:rPr>
          <w:rFonts w:ascii="Times New Roman" w:eastAsia="Times New Roman" w:hAnsi="Times New Roman" w:cs="Times New Roman"/>
        </w:rPr>
        <w:t>2</w:t>
      </w:r>
      <w:r w:rsidR="00D22EC6">
        <w:rPr>
          <w:rFonts w:ascii="Times New Roman" w:eastAsia="Times New Roman" w:hAnsi="Times New Roman" w:cs="Times New Roman"/>
        </w:rPr>
        <w:t>1.6</w:t>
      </w:r>
      <w:r w:rsidR="00155180">
        <w:rPr>
          <w:rFonts w:ascii="Times New Roman" w:eastAsia="Times New Roman" w:hAnsi="Times New Roman" w:cs="Times New Roman"/>
        </w:rPr>
        <w:t xml:space="preserve">% and </w:t>
      </w:r>
      <w:r w:rsidR="00D22EC6">
        <w:rPr>
          <w:rFonts w:ascii="Times New Roman" w:eastAsia="Times New Roman" w:hAnsi="Times New Roman" w:cs="Times New Roman"/>
        </w:rPr>
        <w:t>59.5</w:t>
      </w:r>
      <w:r w:rsidR="00685A72">
        <w:rPr>
          <w:rFonts w:ascii="Times New Roman" w:eastAsia="Times New Roman" w:hAnsi="Times New Roman" w:cs="Times New Roman"/>
        </w:rPr>
        <w:t>%</w:t>
      </w:r>
      <w:r w:rsidR="00E336D4">
        <w:rPr>
          <w:rFonts w:ascii="Times New Roman" w:eastAsia="Times New Roman" w:hAnsi="Times New Roman" w:cs="Times New Roman"/>
        </w:rPr>
        <w:t xml:space="preserve"> depending </w:t>
      </w:r>
      <w:r w:rsidR="00685A72">
        <w:rPr>
          <w:rFonts w:ascii="Times New Roman" w:eastAsia="Times New Roman" w:hAnsi="Times New Roman" w:cs="Times New Roman"/>
        </w:rPr>
        <w:t>on </w:t>
      </w:r>
      <w:r w:rsidR="00E336D4">
        <w:rPr>
          <w:rFonts w:ascii="Times New Roman" w:eastAsia="Times New Roman" w:hAnsi="Times New Roman" w:cs="Times New Roman"/>
        </w:rPr>
        <w:t>the case)</w:t>
      </w:r>
      <w:r w:rsidR="00127F1C" w:rsidRPr="5996E1DC">
        <w:rPr>
          <w:rFonts w:ascii="Times New Roman" w:eastAsia="Times New Roman" w:hAnsi="Times New Roman" w:cs="Times New Roman"/>
        </w:rPr>
        <w:t>,</w:t>
      </w:r>
      <w:r w:rsidR="00127F1C">
        <w:rPr>
          <w:rFonts w:ascii="Times New Roman" w:eastAsia="Times New Roman" w:hAnsi="Times New Roman" w:cs="Times New Roman"/>
        </w:rPr>
        <w:t xml:space="preserve"> </w:t>
      </w:r>
      <w:r w:rsidR="00D90D6C">
        <w:rPr>
          <w:rFonts w:ascii="Times New Roman" w:eastAsia="Times New Roman" w:hAnsi="Times New Roman" w:cs="Times New Roman"/>
        </w:rPr>
        <w:t xml:space="preserve">in both cases </w:t>
      </w:r>
      <w:r w:rsidR="00127F1C">
        <w:rPr>
          <w:rFonts w:ascii="Times New Roman" w:eastAsia="Times New Roman" w:hAnsi="Times New Roman" w:cs="Times New Roman"/>
        </w:rPr>
        <w:t>widening the</w:t>
      </w:r>
      <w:r w:rsidR="00C70C73">
        <w:rPr>
          <w:rFonts w:ascii="Times New Roman" w:eastAsia="Times New Roman" w:hAnsi="Times New Roman" w:cs="Times New Roman"/>
        </w:rPr>
        <w:t xml:space="preserve"> ADL </w:t>
      </w:r>
      <w:r w:rsidR="00D90D6C">
        <w:rPr>
          <w:rFonts w:ascii="Times New Roman" w:eastAsia="Times New Roman" w:hAnsi="Times New Roman" w:cs="Times New Roman"/>
        </w:rPr>
        <w:t>prevalence</w:t>
      </w:r>
      <w:r w:rsidR="00127F1C">
        <w:rPr>
          <w:rFonts w:ascii="Times New Roman" w:eastAsia="Times New Roman" w:hAnsi="Times New Roman" w:cs="Times New Roman"/>
        </w:rPr>
        <w:t xml:space="preserve"> gap with non-Hispanic Whites over time</w:t>
      </w:r>
      <w:r w:rsidR="00C70C73">
        <w:rPr>
          <w:rFonts w:ascii="Times New Roman" w:eastAsia="Times New Roman" w:hAnsi="Times New Roman" w:cs="Times New Roman"/>
        </w:rPr>
        <w:t xml:space="preserve"> for both sexes and the IADL prevalence gap for females</w:t>
      </w:r>
      <w:r w:rsidR="00325F7A">
        <w:rPr>
          <w:rFonts w:ascii="Times New Roman" w:eastAsia="Times New Roman" w:hAnsi="Times New Roman" w:cs="Times New Roman"/>
        </w:rPr>
        <w:t>.</w:t>
      </w:r>
      <w:r w:rsidR="00502825">
        <w:rPr>
          <w:rFonts w:ascii="Times New Roman" w:eastAsia="Times New Roman" w:hAnsi="Times New Roman" w:cs="Times New Roman"/>
        </w:rPr>
        <w:t xml:space="preserve"> </w:t>
      </w:r>
      <w:r w:rsidR="00CE4AF1">
        <w:rPr>
          <w:rFonts w:ascii="Times New Roman" w:eastAsia="Times New Roman" w:hAnsi="Times New Roman" w:cs="Times New Roman"/>
        </w:rPr>
        <w:t xml:space="preserve">While </w:t>
      </w:r>
      <w:r w:rsidR="00FC5319">
        <w:rPr>
          <w:rFonts w:ascii="Times New Roman" w:eastAsia="Times New Roman" w:hAnsi="Times New Roman" w:cs="Times New Roman"/>
        </w:rPr>
        <w:t xml:space="preserve">non-Hispanic Whites in the 50-64 age group also presented an increase in ADL and IADL limitations </w:t>
      </w:r>
      <w:r w:rsidR="00D22EC6">
        <w:rPr>
          <w:rFonts w:ascii="Times New Roman" w:eastAsia="Times New Roman" w:hAnsi="Times New Roman" w:cs="Times New Roman"/>
        </w:rPr>
        <w:t>from 2000 to 2010,</w:t>
      </w:r>
      <w:r w:rsidR="00FC5319">
        <w:rPr>
          <w:rFonts w:ascii="Times New Roman" w:eastAsia="Times New Roman" w:hAnsi="Times New Roman" w:cs="Times New Roman"/>
        </w:rPr>
        <w:t xml:space="preserve"> this trend stalled from 2010 to 2018, indicating</w:t>
      </w:r>
      <w:r w:rsidR="00846DAD">
        <w:rPr>
          <w:rFonts w:ascii="Times New Roman" w:eastAsia="Times New Roman" w:hAnsi="Times New Roman" w:cs="Times New Roman"/>
        </w:rPr>
        <w:t xml:space="preserve"> that the adopted use of</w:t>
      </w:r>
      <w:r w:rsidR="00FC5319">
        <w:rPr>
          <w:rFonts w:ascii="Times New Roman" w:eastAsia="Times New Roman" w:hAnsi="Times New Roman" w:cs="Times New Roman"/>
        </w:rPr>
        <w:t xml:space="preserve"> assistive technologies to cope with limitations</w:t>
      </w:r>
      <w:r w:rsidR="00846DAD">
        <w:rPr>
          <w:rFonts w:ascii="Times New Roman" w:eastAsia="Times New Roman" w:hAnsi="Times New Roman" w:cs="Times New Roman"/>
        </w:rPr>
        <w:t xml:space="preserve"> might have result</w:t>
      </w:r>
      <w:r w:rsidR="00D22EC6">
        <w:rPr>
          <w:rFonts w:ascii="Times New Roman" w:eastAsia="Times New Roman" w:hAnsi="Times New Roman" w:cs="Times New Roman"/>
        </w:rPr>
        <w:t>ed</w:t>
      </w:r>
      <w:r w:rsidR="00846DAD">
        <w:rPr>
          <w:rFonts w:ascii="Times New Roman" w:eastAsia="Times New Roman" w:hAnsi="Times New Roman" w:cs="Times New Roman"/>
        </w:rPr>
        <w:t xml:space="preserve"> in this stagnation</w:t>
      </w:r>
      <w:r w:rsidR="00D22EC6">
        <w:rPr>
          <w:rFonts w:ascii="Times New Roman" w:eastAsia="Times New Roman" w:hAnsi="Times New Roman" w:cs="Times New Roman"/>
        </w:rPr>
        <w:t xml:space="preserve">, just like for their non-Hispanic Black </w:t>
      </w:r>
      <w:r w:rsidR="00D22EC6">
        <w:rPr>
          <w:rFonts w:ascii="Times New Roman" w:eastAsia="Times New Roman" w:hAnsi="Times New Roman" w:cs="Times New Roman"/>
        </w:rPr>
        <w:lastRenderedPageBreak/>
        <w:t>counterparts</w:t>
      </w:r>
      <w:r w:rsidR="00FC5319">
        <w:rPr>
          <w:rFonts w:ascii="Times New Roman" w:eastAsia="Times New Roman" w:hAnsi="Times New Roman" w:cs="Times New Roman"/>
        </w:rPr>
        <w:t xml:space="preserve">. Overall, non-Hispanic Whites presented lower levels of ADL and IADL limitations compared to other racial and ethnic groups, despite experiencing relative stagnation and slight increases, thus highlighting their health advantage in this century. </w:t>
      </w:r>
    </w:p>
    <w:p w14:paraId="23C4B959" w14:textId="37BE02F6" w:rsidR="00325F7A" w:rsidRDefault="00467AF9" w:rsidP="004E5A6C">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These considerations are</w:t>
      </w:r>
      <w:r w:rsidR="004E5A6C">
        <w:rPr>
          <w:rFonts w:ascii="Times New Roman" w:eastAsia="Times New Roman" w:hAnsi="Times New Roman" w:cs="Times New Roman"/>
        </w:rPr>
        <w:t xml:space="preserve"> especially</w:t>
      </w:r>
      <w:r w:rsidR="00325F7A">
        <w:rPr>
          <w:rFonts w:ascii="Times New Roman" w:eastAsia="Times New Roman" w:hAnsi="Times New Roman" w:cs="Times New Roman"/>
        </w:rPr>
        <w:t xml:space="preserve"> relevant </w:t>
      </w:r>
      <w:r>
        <w:rPr>
          <w:rFonts w:ascii="Times New Roman" w:eastAsia="Times New Roman" w:hAnsi="Times New Roman" w:cs="Times New Roman"/>
        </w:rPr>
        <w:t xml:space="preserve">because </w:t>
      </w:r>
      <w:r w:rsidR="00325F7A">
        <w:rPr>
          <w:rFonts w:ascii="Times New Roman" w:eastAsia="Times New Roman" w:hAnsi="Times New Roman" w:cs="Times New Roman"/>
        </w:rPr>
        <w:t>some individuals aged 50-64 might not be Medicare-eligible due to their age, resulting in additional inequality.</w:t>
      </w:r>
    </w:p>
    <w:p w14:paraId="7BD8DA9C" w14:textId="318E2A05" w:rsidR="000D23F6" w:rsidRDefault="00027C03"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For the 65-74 age group,</w:t>
      </w:r>
      <w:r w:rsidR="006F36BE">
        <w:rPr>
          <w:rFonts w:ascii="Times New Roman" w:eastAsia="Times New Roman" w:hAnsi="Times New Roman" w:cs="Times New Roman"/>
        </w:rPr>
        <w:t xml:space="preserve"> between 2000 and 2018</w:t>
      </w:r>
      <w:r>
        <w:rPr>
          <w:rFonts w:ascii="Times New Roman" w:eastAsia="Times New Roman" w:hAnsi="Times New Roman" w:cs="Times New Roman"/>
        </w:rPr>
        <w:t xml:space="preserve"> </w:t>
      </w:r>
      <w:r w:rsidR="00E66DE0">
        <w:rPr>
          <w:rFonts w:ascii="Times New Roman" w:eastAsia="Times New Roman" w:hAnsi="Times New Roman" w:cs="Times New Roman"/>
        </w:rPr>
        <w:t>both</w:t>
      </w:r>
      <w:r w:rsidR="00452284">
        <w:rPr>
          <w:rFonts w:ascii="Times New Roman" w:eastAsia="Times New Roman" w:hAnsi="Times New Roman" w:cs="Times New Roman"/>
        </w:rPr>
        <w:t xml:space="preserve"> </w:t>
      </w:r>
      <w:r w:rsidR="00467AF9">
        <w:rPr>
          <w:rFonts w:ascii="Times New Roman" w:eastAsia="Times New Roman" w:hAnsi="Times New Roman" w:cs="Times New Roman"/>
        </w:rPr>
        <w:t xml:space="preserve">non-Hispanic </w:t>
      </w:r>
      <w:r w:rsidR="00CF6BBD">
        <w:rPr>
          <w:rFonts w:ascii="Times New Roman" w:eastAsia="Times New Roman" w:hAnsi="Times New Roman" w:cs="Times New Roman"/>
        </w:rPr>
        <w:t xml:space="preserve">Blacks </w:t>
      </w:r>
      <w:r w:rsidR="00452284">
        <w:rPr>
          <w:rFonts w:ascii="Times New Roman" w:eastAsia="Times New Roman" w:hAnsi="Times New Roman" w:cs="Times New Roman"/>
        </w:rPr>
        <w:t>and Hispanics presented higher increase</w:t>
      </w:r>
      <w:r w:rsidR="00467AF9">
        <w:rPr>
          <w:rFonts w:ascii="Times New Roman" w:eastAsia="Times New Roman" w:hAnsi="Times New Roman" w:cs="Times New Roman"/>
        </w:rPr>
        <w:t>s</w:t>
      </w:r>
      <w:r w:rsidR="00452284">
        <w:rPr>
          <w:rFonts w:ascii="Times New Roman" w:eastAsia="Times New Roman" w:hAnsi="Times New Roman" w:cs="Times New Roman"/>
        </w:rPr>
        <w:t xml:space="preserve"> of ADL and IADL limitation</w:t>
      </w:r>
      <w:r w:rsidR="00467AF9">
        <w:rPr>
          <w:rFonts w:ascii="Times New Roman" w:eastAsia="Times New Roman" w:hAnsi="Times New Roman" w:cs="Times New Roman"/>
        </w:rPr>
        <w:t>s</w:t>
      </w:r>
      <w:r w:rsidR="00B50426">
        <w:rPr>
          <w:rFonts w:ascii="Times New Roman" w:eastAsia="Times New Roman" w:hAnsi="Times New Roman" w:cs="Times New Roman"/>
        </w:rPr>
        <w:t xml:space="preserve"> in most cases</w:t>
      </w:r>
      <w:r>
        <w:rPr>
          <w:rFonts w:ascii="Times New Roman" w:eastAsia="Times New Roman" w:hAnsi="Times New Roman" w:cs="Times New Roman"/>
        </w:rPr>
        <w:t xml:space="preserve"> </w:t>
      </w:r>
      <w:r w:rsidR="00452284">
        <w:rPr>
          <w:rFonts w:ascii="Times New Roman" w:eastAsia="Times New Roman" w:hAnsi="Times New Roman" w:cs="Times New Roman"/>
        </w:rPr>
        <w:t xml:space="preserve">than </w:t>
      </w:r>
      <w:r w:rsidR="00467AF9">
        <w:rPr>
          <w:rFonts w:ascii="Times New Roman" w:eastAsia="Times New Roman" w:hAnsi="Times New Roman" w:cs="Times New Roman"/>
        </w:rPr>
        <w:t xml:space="preserve">non-Hispanic </w:t>
      </w:r>
      <w:r w:rsidR="00CF6BBD">
        <w:rPr>
          <w:rFonts w:ascii="Times New Roman" w:eastAsia="Times New Roman" w:hAnsi="Times New Roman" w:cs="Times New Roman"/>
        </w:rPr>
        <w:t>Whites</w:t>
      </w:r>
      <w:r w:rsidR="00502825">
        <w:rPr>
          <w:rFonts w:ascii="Times New Roman" w:eastAsia="Times New Roman" w:hAnsi="Times New Roman" w:cs="Times New Roman"/>
        </w:rPr>
        <w:t xml:space="preserve">, which is also consistent with previous findings </w:t>
      </w:r>
      <w:r w:rsidR="00502825">
        <w:rPr>
          <w:rFonts w:ascii="Times New Roman" w:eastAsia="Times New Roman" w:hAnsi="Times New Roman" w:cs="Times New Roman"/>
        </w:rPr>
        <w:fldChar w:fldCharType="begin"/>
      </w:r>
      <w:r w:rsidR="00502825" w:rsidRPr="00502825">
        <w:rPr>
          <w:rFonts w:ascii="Times New Roman" w:eastAsia="Times New Roman" w:hAnsi="Times New Roman" w:cs="Times New Roman"/>
        </w:rPr>
        <w:instrText xml:space="preserve"> ADDIN ZOTERO_ITEM CSL_CITATION {"citationID":"sYzlie03","properties":{"formattedCitation":"(Borrell, 2006, p. 200; Mahajan et\\uc0\\u160{}al., 2021; Okoro et\\uc0\\u160{}al., 2018)","plainCitation":"(Borrell, 2006, p. 200; Mahajan et al., 2021; Okoro et al., 2018)","noteIndex":0},"citationItems":[{"id":1302,"uris":["http://zotero.org/users/8991183/items/HWJVH42N"],"itemData":{"id":1302,"type":"article-journal","abstract":"OBJECTIVES: To investigate the association between race and hypertension among Hispanics and non-Hispanics by using data from the National Health Interview Survey (NHIS), an annual survey of US households and to compare the strength of these associations among Hispanics and non-Hispanics.\nDESIGN AND METHODS: Analyses were limited to Hispanics and non-Hispanics 18 years of age and older who self-identified as White or Black/African-American during the 2000-2002 NHIS for a final sample of 88,453 adults including 12,083 Hispanics. Hypertension was self-reported during the survey interview. Covariates included in the analyses as potential confounders were sociodemographic characteristics and risk factors for hypertension.\nRESULTS: Hispanic Blacks had higher prevalence of self-reported hypertension than Hispanic Whites. Hispan</w:instrText>
      </w:r>
      <w:r w:rsidR="00502825">
        <w:rPr>
          <w:rFonts w:ascii="Times New Roman" w:eastAsia="Times New Roman" w:hAnsi="Times New Roman" w:cs="Times New Roman"/>
        </w:rPr>
        <w:instrText>ic Blacks had higher odds of hypertension than non-Hispanic and Hispanic Whites. However, these associations did not achieve significance level. No difference was seen on the strength of the association between race and hypertension among Hispanics and non-Hispanics (OR 1.31 vs 1.52, P interaction for race and ethnicity .91). The protective effect for hypertension on Hispanics had been disappearing over time (P interaction race/ethnicity and survey year .002).\nCONCLUSIONS: This study underscores that racial categorization could be a significant predictor of health status for Hispanics in our society. As time goes by, we are curious to see how embedding in US racial categories and assimilation into Western culture influence the life and health of Hispanics.","container-title":"Ethnicity &amp; Disease","ISSN":"1049-510X","issue":"1","journalAbbreviation":"Ethn Dis","language":"eng","note":"number: 1\nPMID: 16599351","page":"71-77","source":"PubMed","title":"Self-reported hypertension and race among Hispanics in the National Health Interview Survey","volume":"16","author":[{"family":"Borrell","given":"Luisa N."}],"issued":{"date-parts":[["2006"]]}},"locator":"200"},{"id":1279,"uris":["http://zotero.org/users/8991183/items/AC2GUGI8"],"itemData":{"id":1279,"type":"article-journal","abstract":"This cross-sectional survey study examines 20-year trends in the racial and ethnic differences in self-reported measures of health status and health care access and affordability among US adults.","container-title":"JAMA","DOI":"10.1001/jama.2021.9907","ISSN":"0098-7484","issue":"7","journalAbbreviation":"JAMA","note":"number: 7\nPMID: 34402830\nPMCID: PMC8371573","page":"637-648","source":"PubMed Central","title":"Trends in Differences in Health Status and Health Care Access and Affordability by Race and Ethnicity in the United States, 1999-2018","volume":"326","author":[{"family":"Mahajan","given":"Shiwani"},{"family":"Caraballo","given":"César"},{"family":"Lu","given":"Yuan"},{"family":"Valero-Elizondo","given":"Javier"},{"family":"Massey","given":"Daisy"},{"family":"Annapureddy","given":"Amarnath R."},{"family":"Roy","given":"Brita"},{"family":"Riley","given":"Carley"},{"family":"Murugiah","given":"Karthik"},{"family":"Onuma","given":"Oyere"},{"family":"Nunez-Smith","given":"Marcella"},{"family":"Forman","given":"Howard P."},{"family":"Nasir","given":"Khurram"},{"family":"Herrin","given":"Jeph"},{"family":"Krumholz","given":"Harlan M."}],"issued":{"date-parts":[["2021",8,17]]}}},{"id":4266,"uris":["http://zotero.org/groups/4816923/items/FE9AXB2T"],"itemData":{"id":4266,"type":"article-journal","abstract":"Persons with disabilities face greater barriers to health care than do those without disabilities (1). To identify characteristics of noninstitutionalized adults with six specific disability types (hearing, vision, cognition, mobility, self-care, and independent living), and to assess disability-specific disparities in health care access, CDC analyzed 2016 Behavioral Risk Factor Surveillance System (BRFSS) data. The prevalences of disability overall and by disability type, and access to health care by disability type, were estimated. Analyses were stratified by three age groups: 18–44 years (young adults), 45–64 years (mi</w:instrText>
      </w:r>
      <w:r w:rsidR="00502825" w:rsidRPr="00C56D9A">
        <w:rPr>
          <w:rFonts w:ascii="Times New Roman" w:eastAsia="Times New Roman" w:hAnsi="Times New Roman" w:cs="Times New Roman"/>
        </w:rPr>
        <w:instrText xml:space="preserve">ddle-aged adults), and ≥65 years (older adults). Among young adults, cognitive disability (10.6%) was the most prevalent type. Mobility disability was most prevalent among middle-aged (18.1%) and older adults (26.9%). Generally, disability prevalences were higher among women, American Indians/Alaska Natives (AI/AN), adults with income below the federal poverty level (FPL), and persons in the South U.S. Census region. Disability-specific disparities in health care access were prevalent, particularly among young and middle-aged adults. These data might inform public health programs of the sociodemographic characteristics and disparities in health care access associated with age and specific disability types and guide efforts to improve access to care for persons with disabilities.","container-title":"Morbidity and Mortality Weekly Report","DOI":"10.15585/mmwr.mm6732a3","ISSN":"0149-2195","issue":"32","journalAbbreviation":"MMWR Morb Mortal Wkly Rep","note":"PMID: 30114005\nPMCID: PMC6095650","page":"882-887","source":"PubMed Central","title":"Prevalence of Disabilities and Health Care Access by Disability Status and Type Among Adults — United States, 2016","volume":"67","author":[{"family":"Okoro","given":"Catherine A."},{"family":"Hollis","given":"NaTasha D."},{"family":"Cyrus","given":"Alissa C."},{"family":"Griffin-Blake","given":"Shannon"}],"issued":{"date-parts":[["2018",8,17]]}}}],"schema":"https://github.com/citation-style-language/schema/raw/master/csl-citation.json"} </w:instrText>
      </w:r>
      <w:r w:rsidR="00502825">
        <w:rPr>
          <w:rFonts w:ascii="Times New Roman" w:eastAsia="Times New Roman" w:hAnsi="Times New Roman" w:cs="Times New Roman"/>
        </w:rPr>
        <w:fldChar w:fldCharType="separate"/>
      </w:r>
      <w:r w:rsidR="00502825" w:rsidRPr="00C56D9A">
        <w:rPr>
          <w:rFonts w:ascii="Times New Roman" w:hAnsi="Times New Roman" w:cs="Times New Roman"/>
        </w:rPr>
        <w:t>(Borrell, 2006, p. 200; Mahajan et al., 2021; Okoro et al., 2018)</w:t>
      </w:r>
      <w:r w:rsidR="00502825">
        <w:rPr>
          <w:rFonts w:ascii="Times New Roman" w:eastAsia="Times New Roman" w:hAnsi="Times New Roman" w:cs="Times New Roman"/>
        </w:rPr>
        <w:fldChar w:fldCharType="end"/>
      </w:r>
      <w:r w:rsidR="00502825" w:rsidRPr="00C56D9A">
        <w:rPr>
          <w:rFonts w:ascii="Times New Roman" w:eastAsia="Times New Roman" w:hAnsi="Times New Roman" w:cs="Times New Roman"/>
        </w:rPr>
        <w:t>.</w:t>
      </w:r>
      <w:r w:rsidR="00FB2F5E">
        <w:rPr>
          <w:rFonts w:ascii="Times New Roman" w:eastAsia="Times New Roman" w:hAnsi="Times New Roman" w:cs="Times New Roman"/>
        </w:rPr>
        <w:t xml:space="preserve"> However, the</w:t>
      </w:r>
      <w:r w:rsidR="00181AB1">
        <w:rPr>
          <w:rFonts w:ascii="Times New Roman" w:eastAsia="Times New Roman" w:hAnsi="Times New Roman" w:cs="Times New Roman"/>
        </w:rPr>
        <w:t xml:space="preserve"> </w:t>
      </w:r>
      <w:r w:rsidR="0053430C">
        <w:rPr>
          <w:rFonts w:ascii="Times New Roman" w:eastAsia="Times New Roman" w:hAnsi="Times New Roman" w:cs="Times New Roman"/>
        </w:rPr>
        <w:t>dynamics across each decade betwee</w:t>
      </w:r>
      <w:r w:rsidR="00FB2F5E">
        <w:rPr>
          <w:rFonts w:ascii="Times New Roman" w:eastAsia="Times New Roman" w:hAnsi="Times New Roman" w:cs="Times New Roman"/>
        </w:rPr>
        <w:t>n 2000</w:t>
      </w:r>
      <w:r w:rsidR="00467AF9">
        <w:rPr>
          <w:rFonts w:ascii="Times New Roman" w:eastAsia="Times New Roman" w:hAnsi="Times New Roman" w:cs="Times New Roman"/>
        </w:rPr>
        <w:t xml:space="preserve"> to </w:t>
      </w:r>
      <w:r w:rsidR="0053430C">
        <w:rPr>
          <w:rFonts w:ascii="Times New Roman" w:eastAsia="Times New Roman" w:hAnsi="Times New Roman" w:cs="Times New Roman"/>
        </w:rPr>
        <w:t>2010</w:t>
      </w:r>
      <w:r w:rsidR="00FB2F5E">
        <w:rPr>
          <w:rFonts w:ascii="Times New Roman" w:eastAsia="Times New Roman" w:hAnsi="Times New Roman" w:cs="Times New Roman"/>
        </w:rPr>
        <w:t xml:space="preserve"> and 20</w:t>
      </w:r>
      <w:r w:rsidR="00467AF9">
        <w:rPr>
          <w:rFonts w:ascii="Times New Roman" w:eastAsia="Times New Roman" w:hAnsi="Times New Roman" w:cs="Times New Roman"/>
        </w:rPr>
        <w:t>10 to 20</w:t>
      </w:r>
      <w:r w:rsidR="00FB2F5E">
        <w:rPr>
          <w:rFonts w:ascii="Times New Roman" w:eastAsia="Times New Roman" w:hAnsi="Times New Roman" w:cs="Times New Roman"/>
        </w:rPr>
        <w:t xml:space="preserve">18 </w:t>
      </w:r>
      <w:r w:rsidR="0053430C">
        <w:rPr>
          <w:rFonts w:ascii="Times New Roman" w:eastAsia="Times New Roman" w:hAnsi="Times New Roman" w:cs="Times New Roman"/>
        </w:rPr>
        <w:t xml:space="preserve">were not as clear as for the 50-64 group, with </w:t>
      </w:r>
      <w:r w:rsidR="00F54F70">
        <w:rPr>
          <w:rFonts w:ascii="Times New Roman" w:eastAsia="Times New Roman" w:hAnsi="Times New Roman" w:cs="Times New Roman"/>
        </w:rPr>
        <w:t xml:space="preserve">increases that were </w:t>
      </w:r>
      <w:r w:rsidR="0038727F">
        <w:rPr>
          <w:rFonts w:ascii="Times New Roman" w:eastAsia="Times New Roman" w:hAnsi="Times New Roman" w:cs="Times New Roman"/>
        </w:rPr>
        <w:t>observed in the first decade, the second decade or both, depending on the case</w:t>
      </w:r>
      <w:r w:rsidR="007561FC">
        <w:rPr>
          <w:rFonts w:ascii="Times New Roman" w:eastAsia="Times New Roman" w:hAnsi="Times New Roman" w:cs="Times New Roman"/>
        </w:rPr>
        <w:t xml:space="preserve">. </w:t>
      </w:r>
      <w:r w:rsidR="003E08C1">
        <w:rPr>
          <w:rFonts w:ascii="Times New Roman" w:eastAsia="Times New Roman" w:hAnsi="Times New Roman" w:cs="Times New Roman"/>
        </w:rPr>
        <w:t>However, in most cases, Hispanics presented an apparent large prevalence increase between 2010 and 2018</w:t>
      </w:r>
      <w:r w:rsidR="008A7AEB">
        <w:rPr>
          <w:rFonts w:ascii="Times New Roman" w:eastAsia="Times New Roman" w:hAnsi="Times New Roman" w:cs="Times New Roman"/>
        </w:rPr>
        <w:t xml:space="preserve"> (except IADL limitations for females)</w:t>
      </w:r>
      <w:r w:rsidR="00D94779">
        <w:rPr>
          <w:rFonts w:ascii="Times New Roman" w:eastAsia="Times New Roman" w:hAnsi="Times New Roman" w:cs="Times New Roman"/>
        </w:rPr>
        <w:t xml:space="preserve"> indicating that the combination of factors that </w:t>
      </w:r>
      <w:r w:rsidR="00356D87">
        <w:rPr>
          <w:rFonts w:ascii="Times New Roman" w:eastAsia="Times New Roman" w:hAnsi="Times New Roman" w:cs="Times New Roman"/>
        </w:rPr>
        <w:t xml:space="preserve">resulted in </w:t>
      </w:r>
      <w:r w:rsidR="003E08C1">
        <w:rPr>
          <w:rFonts w:ascii="Times New Roman" w:eastAsia="Times New Roman" w:hAnsi="Times New Roman" w:cs="Times New Roman"/>
        </w:rPr>
        <w:t>the </w:t>
      </w:r>
      <w:r w:rsidR="00FB2F5E">
        <w:rPr>
          <w:rFonts w:ascii="Times New Roman" w:eastAsia="Times New Roman" w:hAnsi="Times New Roman" w:cs="Times New Roman"/>
        </w:rPr>
        <w:t>previous stagnation</w:t>
      </w:r>
      <w:r w:rsidR="00356D87">
        <w:rPr>
          <w:rFonts w:ascii="Times New Roman" w:eastAsia="Times New Roman" w:hAnsi="Times New Roman" w:cs="Times New Roman"/>
        </w:rPr>
        <w:t xml:space="preserve"> of prevalence</w:t>
      </w:r>
      <w:r w:rsidR="00D94779">
        <w:rPr>
          <w:rFonts w:ascii="Times New Roman" w:eastAsia="Times New Roman" w:hAnsi="Times New Roman" w:cs="Times New Roman"/>
        </w:rPr>
        <w:t xml:space="preserve"> </w:t>
      </w:r>
      <w:r w:rsidR="007561FC">
        <w:rPr>
          <w:rFonts w:ascii="Times New Roman" w:eastAsia="Times New Roman" w:hAnsi="Times New Roman" w:cs="Times New Roman"/>
        </w:rPr>
        <w:t>ha</w:t>
      </w:r>
      <w:r w:rsidR="003E08C1">
        <w:rPr>
          <w:rFonts w:ascii="Times New Roman" w:eastAsia="Times New Roman" w:hAnsi="Times New Roman" w:cs="Times New Roman"/>
        </w:rPr>
        <w:t>s</w:t>
      </w:r>
      <w:r w:rsidR="007561FC">
        <w:rPr>
          <w:rFonts w:ascii="Times New Roman" w:eastAsia="Times New Roman" w:hAnsi="Times New Roman" w:cs="Times New Roman"/>
        </w:rPr>
        <w:t xml:space="preserve"> been waning since </w:t>
      </w:r>
      <w:r w:rsidR="00E40C69">
        <w:rPr>
          <w:rFonts w:ascii="Times New Roman" w:eastAsia="Times New Roman" w:hAnsi="Times New Roman" w:cs="Times New Roman"/>
        </w:rPr>
        <w:t>the</w:t>
      </w:r>
      <w:r w:rsidR="007561FC">
        <w:rPr>
          <w:rFonts w:ascii="Times New Roman" w:eastAsia="Times New Roman" w:hAnsi="Times New Roman" w:cs="Times New Roman"/>
        </w:rPr>
        <w:t xml:space="preserve"> 2010</w:t>
      </w:r>
      <w:r w:rsidR="00E40C69">
        <w:rPr>
          <w:rFonts w:ascii="Times New Roman" w:eastAsia="Times New Roman" w:hAnsi="Times New Roman" w:cs="Times New Roman"/>
        </w:rPr>
        <w:t>s</w:t>
      </w:r>
      <w:r w:rsidR="007561FC">
        <w:rPr>
          <w:rFonts w:ascii="Times New Roman" w:eastAsia="Times New Roman" w:hAnsi="Times New Roman" w:cs="Times New Roman"/>
        </w:rPr>
        <w:t>.</w:t>
      </w:r>
      <w:r w:rsidR="00ED309D">
        <w:rPr>
          <w:rFonts w:ascii="Times New Roman" w:eastAsia="Times New Roman" w:hAnsi="Times New Roman" w:cs="Times New Roman"/>
        </w:rPr>
        <w:t xml:space="preserve"> </w:t>
      </w:r>
      <w:r w:rsidR="005E1AF9">
        <w:rPr>
          <w:rFonts w:ascii="Times New Roman" w:eastAsia="Times New Roman" w:hAnsi="Times New Roman" w:cs="Times New Roman"/>
        </w:rPr>
        <w:t>Non-Hispanic Whites had a slight increase in</w:t>
      </w:r>
      <w:r w:rsidR="001C5D92">
        <w:rPr>
          <w:rFonts w:ascii="Times New Roman" w:eastAsia="Times New Roman" w:hAnsi="Times New Roman" w:cs="Times New Roman"/>
        </w:rPr>
        <w:t xml:space="preserve"> ADL</w:t>
      </w:r>
      <w:r w:rsidR="005E1AF9">
        <w:rPr>
          <w:rFonts w:ascii="Times New Roman" w:eastAsia="Times New Roman" w:hAnsi="Times New Roman" w:cs="Times New Roman"/>
        </w:rPr>
        <w:t xml:space="preserve"> prevalence for females between 2000 and 2010, just as observed for the 50-64 age group, but also stagnated between the 2010-2018, suggesting that this group also benefited from the same technologies as their younger counterparts.</w:t>
      </w:r>
      <w:r w:rsidR="001C5D92">
        <w:rPr>
          <w:rFonts w:ascii="Times New Roman" w:eastAsia="Times New Roman" w:hAnsi="Times New Roman" w:cs="Times New Roman"/>
        </w:rPr>
        <w:t xml:space="preserve"> In the rest of </w:t>
      </w:r>
      <w:proofErr w:type="gramStart"/>
      <w:r w:rsidR="001C5D92">
        <w:rPr>
          <w:rFonts w:ascii="Times New Roman" w:eastAsia="Times New Roman" w:hAnsi="Times New Roman" w:cs="Times New Roman"/>
        </w:rPr>
        <w:t xml:space="preserve">cases, </w:t>
      </w:r>
      <w:r w:rsidR="00ED309D">
        <w:rPr>
          <w:rFonts w:ascii="Times New Roman" w:eastAsia="Times New Roman" w:hAnsi="Times New Roman" w:cs="Times New Roman"/>
        </w:rPr>
        <w:t xml:space="preserve"> non</w:t>
      </w:r>
      <w:proofErr w:type="gramEnd"/>
      <w:r w:rsidR="00ED309D">
        <w:rPr>
          <w:rFonts w:ascii="Times New Roman" w:eastAsia="Times New Roman" w:hAnsi="Times New Roman" w:cs="Times New Roman"/>
        </w:rPr>
        <w:t xml:space="preserve">-Hispanic Whites had a decreasing </w:t>
      </w:r>
      <w:r w:rsidR="004429A3">
        <w:rPr>
          <w:rFonts w:ascii="Times New Roman" w:eastAsia="Times New Roman" w:hAnsi="Times New Roman" w:cs="Times New Roman"/>
        </w:rPr>
        <w:t xml:space="preserve">or stagnating </w:t>
      </w:r>
      <w:r w:rsidR="00ED309D">
        <w:rPr>
          <w:rFonts w:ascii="Times New Roman" w:eastAsia="Times New Roman" w:hAnsi="Times New Roman" w:cs="Times New Roman"/>
        </w:rPr>
        <w:t>prevalence</w:t>
      </w:r>
      <w:r w:rsidR="004429A3">
        <w:rPr>
          <w:rFonts w:ascii="Times New Roman" w:eastAsia="Times New Roman" w:hAnsi="Times New Roman" w:cs="Times New Roman"/>
        </w:rPr>
        <w:t xml:space="preserve"> over the two decades, widening the racial gap for that age group</w:t>
      </w:r>
      <w:r w:rsidR="00D6520C">
        <w:rPr>
          <w:rFonts w:ascii="Times New Roman" w:eastAsia="Times New Roman" w:hAnsi="Times New Roman" w:cs="Times New Roman"/>
        </w:rPr>
        <w:t xml:space="preserve">. For the </w:t>
      </w:r>
      <w:r w:rsidR="00A075FE">
        <w:rPr>
          <w:rFonts w:ascii="Times New Roman" w:eastAsia="Times New Roman" w:hAnsi="Times New Roman" w:cs="Times New Roman"/>
        </w:rPr>
        <w:t xml:space="preserve">75-84 age group, </w:t>
      </w:r>
      <w:r w:rsidR="00FF519C">
        <w:rPr>
          <w:rFonts w:ascii="Times New Roman" w:eastAsia="Times New Roman" w:hAnsi="Times New Roman" w:cs="Times New Roman"/>
        </w:rPr>
        <w:t xml:space="preserve">apparent </w:t>
      </w:r>
      <w:r w:rsidR="00DC0419">
        <w:rPr>
          <w:rFonts w:ascii="Times New Roman" w:eastAsia="Times New Roman" w:hAnsi="Times New Roman" w:cs="Times New Roman"/>
        </w:rPr>
        <w:t>declines</w:t>
      </w:r>
      <w:r w:rsidR="00C240F3">
        <w:rPr>
          <w:rFonts w:ascii="Times New Roman" w:eastAsia="Times New Roman" w:hAnsi="Times New Roman" w:cs="Times New Roman"/>
        </w:rPr>
        <w:t xml:space="preserve"> or stagnation</w:t>
      </w:r>
      <w:r w:rsidR="00A075FE">
        <w:rPr>
          <w:rFonts w:ascii="Times New Roman" w:eastAsia="Times New Roman" w:hAnsi="Times New Roman" w:cs="Times New Roman"/>
        </w:rPr>
        <w:t xml:space="preserve"> in prevalence were </w:t>
      </w:r>
      <w:r w:rsidR="00FF519C">
        <w:rPr>
          <w:rFonts w:ascii="Times New Roman" w:eastAsia="Times New Roman" w:hAnsi="Times New Roman" w:cs="Times New Roman"/>
        </w:rPr>
        <w:t>observed in</w:t>
      </w:r>
      <w:r w:rsidR="006A4E95">
        <w:rPr>
          <w:rFonts w:ascii="Times New Roman" w:eastAsia="Times New Roman" w:hAnsi="Times New Roman" w:cs="Times New Roman"/>
        </w:rPr>
        <w:t xml:space="preserve"> ADL and</w:t>
      </w:r>
      <w:r w:rsidR="00D6520C">
        <w:rPr>
          <w:rFonts w:ascii="Times New Roman" w:eastAsia="Times New Roman" w:hAnsi="Times New Roman" w:cs="Times New Roman"/>
        </w:rPr>
        <w:t xml:space="preserve"> IAD</w:t>
      </w:r>
      <w:r w:rsidR="00DC0419">
        <w:rPr>
          <w:rFonts w:ascii="Times New Roman" w:eastAsia="Times New Roman" w:hAnsi="Times New Roman" w:cs="Times New Roman"/>
        </w:rPr>
        <w:t>L in most cases</w:t>
      </w:r>
      <w:r w:rsidR="00FF519C">
        <w:rPr>
          <w:rFonts w:ascii="Times New Roman" w:eastAsia="Times New Roman" w:hAnsi="Times New Roman" w:cs="Times New Roman"/>
        </w:rPr>
        <w:t xml:space="preserve">, </w:t>
      </w:r>
      <w:r w:rsidR="006A4E95">
        <w:rPr>
          <w:rFonts w:ascii="Times New Roman" w:eastAsia="Times New Roman" w:hAnsi="Times New Roman" w:cs="Times New Roman"/>
        </w:rPr>
        <w:t>with the exceptions of Hispanic females</w:t>
      </w:r>
      <w:r w:rsidR="00DC0419">
        <w:rPr>
          <w:rFonts w:ascii="Times New Roman" w:eastAsia="Times New Roman" w:hAnsi="Times New Roman" w:cs="Times New Roman"/>
        </w:rPr>
        <w:t xml:space="preserve">, </w:t>
      </w:r>
      <w:r w:rsidR="006A4E95">
        <w:rPr>
          <w:rFonts w:ascii="Times New Roman" w:eastAsia="Times New Roman" w:hAnsi="Times New Roman" w:cs="Times New Roman"/>
        </w:rPr>
        <w:t>possibly increasing the gap</w:t>
      </w:r>
      <w:r w:rsidR="004429A3">
        <w:rPr>
          <w:rFonts w:ascii="Times New Roman" w:eastAsia="Times New Roman" w:hAnsi="Times New Roman" w:cs="Times New Roman"/>
        </w:rPr>
        <w:t xml:space="preserve">.  </w:t>
      </w:r>
      <w:r w:rsidR="00ED309D">
        <w:rPr>
          <w:rFonts w:ascii="Times New Roman" w:eastAsia="Times New Roman" w:hAnsi="Times New Roman" w:cs="Times New Roman"/>
        </w:rPr>
        <w:t xml:space="preserve">   </w:t>
      </w:r>
      <w:r w:rsidR="00E2262C">
        <w:rPr>
          <w:rFonts w:ascii="Times New Roman" w:eastAsia="Times New Roman" w:hAnsi="Times New Roman" w:cs="Times New Roman"/>
        </w:rPr>
        <w:t xml:space="preserve"> </w:t>
      </w:r>
    </w:p>
    <w:p w14:paraId="5342EAA1" w14:textId="623A63D6" w:rsidR="00AD1889" w:rsidRDefault="00292558"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While</w:t>
      </w:r>
      <w:r w:rsidR="00ED67BD">
        <w:rPr>
          <w:rFonts w:ascii="Times New Roman" w:eastAsia="Times New Roman" w:hAnsi="Times New Roman" w:cs="Times New Roman"/>
        </w:rPr>
        <w:t xml:space="preserve"> other</w:t>
      </w:r>
      <w:r w:rsidR="00C543B2">
        <w:rPr>
          <w:rFonts w:ascii="Times New Roman" w:eastAsia="Times New Roman" w:hAnsi="Times New Roman" w:cs="Times New Roman"/>
        </w:rPr>
        <w:t xml:space="preserve"> studies</w:t>
      </w:r>
      <w:r w:rsidR="00ED67BD">
        <w:rPr>
          <w:rFonts w:ascii="Times New Roman" w:eastAsia="Times New Roman" w:hAnsi="Times New Roman" w:cs="Times New Roman"/>
        </w:rPr>
        <w:t xml:space="preserve"> </w:t>
      </w:r>
      <w:r w:rsidR="00467AF9">
        <w:rPr>
          <w:rFonts w:ascii="Times New Roman" w:eastAsia="Times New Roman" w:hAnsi="Times New Roman" w:cs="Times New Roman"/>
        </w:rPr>
        <w:t>have found</w:t>
      </w:r>
      <w:r w:rsidR="00ED67BD">
        <w:rPr>
          <w:rFonts w:ascii="Times New Roman" w:eastAsia="Times New Roman" w:hAnsi="Times New Roman" w:cs="Times New Roman"/>
        </w:rPr>
        <w:t xml:space="preserve"> that Hispanics presented</w:t>
      </w:r>
      <w:r w:rsidR="00050709">
        <w:rPr>
          <w:rFonts w:ascii="Times New Roman" w:eastAsia="Times New Roman" w:hAnsi="Times New Roman" w:cs="Times New Roman"/>
        </w:rPr>
        <w:t xml:space="preserve"> a lower prevalence of limitations</w:t>
      </w:r>
      <w:r w:rsidR="00ED67BD">
        <w:rPr>
          <w:rFonts w:ascii="Times New Roman" w:eastAsia="Times New Roman" w:hAnsi="Times New Roman" w:cs="Times New Roman"/>
        </w:rPr>
        <w:t xml:space="preserve"> than </w:t>
      </w:r>
      <w:r w:rsidR="00467AF9">
        <w:rPr>
          <w:rFonts w:ascii="Times New Roman" w:eastAsia="Times New Roman" w:hAnsi="Times New Roman" w:cs="Times New Roman"/>
        </w:rPr>
        <w:t xml:space="preserve">non-Hispanics </w:t>
      </w:r>
      <w:r w:rsidR="00050709">
        <w:rPr>
          <w:rFonts w:ascii="Times New Roman" w:eastAsia="Times New Roman" w:hAnsi="Times New Roman" w:cs="Times New Roman"/>
        </w:rPr>
        <w:t xml:space="preserve">in the overall population </w:t>
      </w:r>
      <w:r w:rsidR="00A971B0">
        <w:rPr>
          <w:rFonts w:ascii="Times New Roman" w:eastAsia="Times New Roman" w:hAnsi="Times New Roman" w:cs="Times New Roman"/>
        </w:rPr>
        <w:fldChar w:fldCharType="begin"/>
      </w:r>
      <w:r w:rsidR="003135B3">
        <w:rPr>
          <w:rFonts w:ascii="Times New Roman" w:eastAsia="Times New Roman" w:hAnsi="Times New Roman" w:cs="Times New Roman"/>
        </w:rPr>
        <w:instrText xml:space="preserve"> ADDIN ZOTERO_ITEM CSL_CITATION {"citationID":"SOGN7W8B","properties":{"formattedCitation":"(Akresh &amp; Frank, 2008; Goyat et\\uc0\\u160{}al., 2016; Mahajan et\\uc0\\u160{}al., 2021)","plainCitation":"(Akresh &amp; Frank, 2008; Goyat et al., 2016; Mahajan et al., 2021)","noteIndex":0},"citationItems":[{"id":4361,"uris":["http://zotero.org/users/8991183/items/G875IQSR"],"itemData":{"id":4361,"type":"article-journal","abstract":"OBJECTIVES: We sought to quantify the extent of health selection (i.e., the degree to which potential immigrants migrate, or fail to migrate, on the basis of their health status) among contemporary US immigrant groups and evaluate the degree that selection explains variation in self-rated health among US legal permanent residents.\nMETHODS: Data came from the New Immigrant Survey 2003 cohort. We estimated the extent of positive and negative health selection through a unique series of questions asking immigrants in the United States to evaluate their health and compare it to that of citizens in their country of origin.\nRESULTS: The extent of positive health selection differed significantly across immigrant groups and was related to compositional differences in the socioeconomic profiles of immigrant streams.\nCONCLUSIONS: The salience of socioeconomic status and English-language ability in explaining health differentials across immigrant groups reinforces the importance of further research on the role of these factors in contributing to the health of immigrants above and beyond the need for additional attention to the health selection process.","container-title":"American Journal of Public Health","DOI":"10.2105/AJPH.2006.100974","ISSN":"1541-0048","issue":"11","journalAbbreviation":"Am J Public Health","language":"eng","note":"PMID: 18309141\nPMCID: PMC2636435","page":"2058-2064","source":"PubMed","title":"Health selection among new immigrants","volume":"98","author":[{"family":"Akresh","given":"Ilana Redstone"},{"family":"Frank","given":"Reanne"}],"issued":{"date-parts":[["2008",11]]}}},{"id":1314,"uris":["http://zotero.org/users/8991183/items/M4JGUM99"],"itemData":{"id":1314,"type":"article-journal","abstract":"Worldwide, the number of disabled individuals is used as a marker for population health status because of high morbidity and mortality burden associated with disability. The primary objective of the current study is to use the 2012 NHIS disability supplement and examine racial/ethnic disparities in disability after controlling for a comprehensive list of factors, using the World Health Organization’s International Classification of Functioning, Disability, and Health (WHO-ICF).","container-title":"Journal of Racial and Ethnic Health Disparities","DOI":"10.1007/s40615-015-0182-z","ISSN":"2196-8837","issue":"4","journalAbbreviation":"J. Racial and Ethnic Health Disparities","language":"en","note":"number: 4","page":"635-645","source":"Springer Link","title":"Racial/Ethnic Disparities in Disability Prevalence","volume":"3","author":[{"family":"Goyat","given":"Rashmi"},{"family":"Vyas","given":"Ami"},{"family":"Sambamoorthi","given":"Usha"}],"issued":{"date-parts":[["2016",12,1]]}}},{"id":1279,"uris":["http://zotero.org/users/8991183/items/AC2GUGI8"],"itemData":{"id":1279,"type":"article-journal","abstract":"This cross-sectional survey study examines 20-year trends in the racial and ethnic differences in self-reported measures of health status and health care access and affordability among US adults.","container-title":"JAMA","DOI":"10.1001/jama.2021.9907","ISSN":"0098-7484","issue":"7","journalAbbreviation":"JAMA","note":"number: 7\nPMID: 34402830\nPMCID: PMC8371573","page":"637-648","source":"PubMed Central","title":"Trends in Differences in Health Status and Health Care Access and Affordability by Race and Ethnicity in the United States, 1999-2018","volume":"326","author":[{"family":"Mahajan","given":"Shiwani"},{"family":"Caraballo","given":"César"},{"family":"Lu","given":"Yuan"},{"family":"Valero-Elizondo","given":"Javier"},{"family":"Massey","given":"Daisy"},{"family":"Annapureddy","given":"Amarnath R."},{"family":"Roy","given":"Brita"},{"family":"Riley","given":"Carley"},{"family":"Murugiah","given":"Karthik"},{"family":"Onuma","given":"Oyere"},{"family":"Nunez-Smith","given":"Marcella"},{"family":"Forman","given":"Howard P."},{"family":"Nasir","given":"Khurram"},{"family":"Herrin","given":"Jeph"},{"family":"Krumholz","given":"Harlan M."}],"issued":{"date-parts":[["2021",8,17]]}}}],"schema":"https://github.com/citation-style-language/schema/raw/master/csl-citation.json"} </w:instrText>
      </w:r>
      <w:r w:rsidR="00A971B0">
        <w:rPr>
          <w:rFonts w:ascii="Times New Roman" w:eastAsia="Times New Roman" w:hAnsi="Times New Roman" w:cs="Times New Roman"/>
        </w:rPr>
        <w:fldChar w:fldCharType="separate"/>
      </w:r>
      <w:r w:rsidR="003135B3" w:rsidRPr="003135B3">
        <w:rPr>
          <w:rFonts w:ascii="Times New Roman" w:hAnsi="Times New Roman" w:cs="Times New Roman"/>
        </w:rPr>
        <w:t xml:space="preserve">(Akresh &amp; Frank, 2008; Goyat et al., 2016; </w:t>
      </w:r>
      <w:r w:rsidR="003135B3" w:rsidRPr="003135B3">
        <w:rPr>
          <w:rFonts w:ascii="Times New Roman" w:hAnsi="Times New Roman" w:cs="Times New Roman"/>
        </w:rPr>
        <w:lastRenderedPageBreak/>
        <w:t>Mahajan et al., 2021)</w:t>
      </w:r>
      <w:r w:rsidR="00A971B0">
        <w:rPr>
          <w:rFonts w:ascii="Times New Roman" w:eastAsia="Times New Roman" w:hAnsi="Times New Roman" w:cs="Times New Roman"/>
        </w:rPr>
        <w:fldChar w:fldCharType="end"/>
      </w:r>
      <w:r w:rsidR="00ED67BD">
        <w:rPr>
          <w:rFonts w:ascii="Times New Roman" w:eastAsia="Times New Roman" w:hAnsi="Times New Roman" w:cs="Times New Roman"/>
        </w:rPr>
        <w:t xml:space="preserve">, </w:t>
      </w:r>
      <w:r>
        <w:rPr>
          <w:rFonts w:ascii="Times New Roman" w:eastAsia="Times New Roman" w:hAnsi="Times New Roman" w:cs="Times New Roman"/>
        </w:rPr>
        <w:t>we</w:t>
      </w:r>
      <w:r w:rsidR="00ED67BD">
        <w:rPr>
          <w:rFonts w:ascii="Times New Roman" w:eastAsia="Times New Roman" w:hAnsi="Times New Roman" w:cs="Times New Roman"/>
        </w:rPr>
        <w:t xml:space="preserve"> observed </w:t>
      </w:r>
      <w:r w:rsidR="00467AF9">
        <w:rPr>
          <w:rFonts w:ascii="Times New Roman" w:eastAsia="Times New Roman" w:hAnsi="Times New Roman" w:cs="Times New Roman"/>
        </w:rPr>
        <w:t>a</w:t>
      </w:r>
      <w:r w:rsidR="00ED67BD">
        <w:rPr>
          <w:rFonts w:ascii="Times New Roman" w:eastAsia="Times New Roman" w:hAnsi="Times New Roman" w:cs="Times New Roman"/>
        </w:rPr>
        <w:t xml:space="preserve"> revers</w:t>
      </w:r>
      <w:r w:rsidR="00467AF9">
        <w:rPr>
          <w:rFonts w:ascii="Times New Roman" w:eastAsia="Times New Roman" w:hAnsi="Times New Roman" w:cs="Times New Roman"/>
        </w:rPr>
        <w:t>al in this trend</w:t>
      </w:r>
      <w:r w:rsidR="00ED67BD">
        <w:rPr>
          <w:rFonts w:ascii="Times New Roman" w:eastAsia="Times New Roman" w:hAnsi="Times New Roman" w:cs="Times New Roman"/>
        </w:rPr>
        <w:t xml:space="preserve"> </w:t>
      </w:r>
      <w:r w:rsidR="00467AF9">
        <w:rPr>
          <w:rFonts w:ascii="Times New Roman" w:eastAsia="Times New Roman" w:hAnsi="Times New Roman" w:cs="Times New Roman"/>
        </w:rPr>
        <w:t xml:space="preserve">among </w:t>
      </w:r>
      <w:r w:rsidR="00ED67BD">
        <w:rPr>
          <w:rFonts w:ascii="Times New Roman" w:eastAsia="Times New Roman" w:hAnsi="Times New Roman" w:cs="Times New Roman"/>
        </w:rPr>
        <w:t>some age groups, with Hispanics presenting a higher</w:t>
      </w:r>
      <w:r w:rsidR="00D73911">
        <w:rPr>
          <w:rFonts w:ascii="Times New Roman" w:eastAsia="Times New Roman" w:hAnsi="Times New Roman" w:cs="Times New Roman"/>
        </w:rPr>
        <w:t xml:space="preserve"> yearly</w:t>
      </w:r>
      <w:r w:rsidR="00ED67BD">
        <w:rPr>
          <w:rFonts w:ascii="Times New Roman" w:eastAsia="Times New Roman" w:hAnsi="Times New Roman" w:cs="Times New Roman"/>
        </w:rPr>
        <w:t xml:space="preserve"> </w:t>
      </w:r>
      <w:r w:rsidR="00D73911">
        <w:rPr>
          <w:rFonts w:ascii="Times New Roman" w:eastAsia="Times New Roman" w:hAnsi="Times New Roman" w:cs="Times New Roman"/>
        </w:rPr>
        <w:t xml:space="preserve">increase </w:t>
      </w:r>
      <w:r w:rsidR="00ED67BD">
        <w:rPr>
          <w:rFonts w:ascii="Times New Roman" w:eastAsia="Times New Roman" w:hAnsi="Times New Roman" w:cs="Times New Roman"/>
        </w:rPr>
        <w:t>for ADL and IADL</w:t>
      </w:r>
      <w:r w:rsidR="00D73911">
        <w:rPr>
          <w:rFonts w:ascii="Times New Roman" w:eastAsia="Times New Roman" w:hAnsi="Times New Roman" w:cs="Times New Roman"/>
        </w:rPr>
        <w:t xml:space="preserve"> </w:t>
      </w:r>
      <w:r w:rsidR="00590D27">
        <w:rPr>
          <w:rFonts w:ascii="Times New Roman" w:eastAsia="Times New Roman" w:hAnsi="Times New Roman" w:cs="Times New Roman"/>
        </w:rPr>
        <w:t>limitations</w:t>
      </w:r>
      <w:r w:rsidR="00281909">
        <w:rPr>
          <w:rFonts w:ascii="Times New Roman" w:eastAsia="Times New Roman" w:hAnsi="Times New Roman" w:cs="Times New Roman"/>
        </w:rPr>
        <w:t xml:space="preserve">, </w:t>
      </w:r>
      <w:r>
        <w:rPr>
          <w:rFonts w:ascii="Times New Roman" w:eastAsia="Times New Roman" w:hAnsi="Times New Roman" w:cs="Times New Roman"/>
        </w:rPr>
        <w:t>especially</w:t>
      </w:r>
      <w:r w:rsidR="00281909">
        <w:rPr>
          <w:rFonts w:ascii="Times New Roman" w:eastAsia="Times New Roman" w:hAnsi="Times New Roman" w:cs="Times New Roman"/>
        </w:rPr>
        <w:t xml:space="preserve"> for </w:t>
      </w:r>
      <w:r w:rsidR="00467AF9">
        <w:rPr>
          <w:rFonts w:ascii="Times New Roman" w:eastAsia="Times New Roman" w:hAnsi="Times New Roman" w:cs="Times New Roman"/>
        </w:rPr>
        <w:t>women</w:t>
      </w:r>
      <w:r w:rsidR="00281909">
        <w:rPr>
          <w:rFonts w:ascii="Times New Roman" w:eastAsia="Times New Roman" w:hAnsi="Times New Roman" w:cs="Times New Roman"/>
        </w:rPr>
        <w:t>,</w:t>
      </w:r>
      <w:r w:rsidR="004E4C83">
        <w:rPr>
          <w:rFonts w:ascii="Times New Roman" w:eastAsia="Times New Roman" w:hAnsi="Times New Roman" w:cs="Times New Roman"/>
        </w:rPr>
        <w:t xml:space="preserve"> which </w:t>
      </w:r>
      <w:r w:rsidR="00467AF9">
        <w:rPr>
          <w:rFonts w:ascii="Times New Roman" w:eastAsia="Times New Roman" w:hAnsi="Times New Roman" w:cs="Times New Roman"/>
        </w:rPr>
        <w:t>wa</w:t>
      </w:r>
      <w:r w:rsidR="004E4C83">
        <w:rPr>
          <w:rFonts w:ascii="Times New Roman" w:eastAsia="Times New Roman" w:hAnsi="Times New Roman" w:cs="Times New Roman"/>
        </w:rPr>
        <w:t xml:space="preserve">s consistent with other findings </w:t>
      </w:r>
      <w:r w:rsidR="004E4C83">
        <w:rPr>
          <w:rFonts w:ascii="Times New Roman" w:eastAsia="Times New Roman" w:hAnsi="Times New Roman" w:cs="Times New Roman"/>
        </w:rPr>
        <w:fldChar w:fldCharType="begin"/>
      </w:r>
      <w:r w:rsidR="003135B3">
        <w:rPr>
          <w:rFonts w:ascii="Times New Roman" w:eastAsia="Times New Roman" w:hAnsi="Times New Roman" w:cs="Times New Roman"/>
        </w:rPr>
        <w:instrText xml:space="preserve"> ADDIN ZOTERO_ITEM CSL_CITATION {"citationID":"G0hhGJQb","properties":{"formattedCitation":"(Chinn &amp; Hummer, 2016; Melvin et\\uc0\\u160{}al., 2014)","plainCitation":"(Chinn &amp; Hummer, 2016; Melvin et al., 2014)","noteIndex":0},"citationItems":[{"id":1300,"uris":["http://zotero.org/users/8991183/items/ZXI3W4TB"],"itemData":{"id":1300,"type":"article-journal","abstract":"This article assesses whether there are race differences in functional health among Hispanic women in the United States; ascertains whether the race differences in functional health vary by age; and examines the extent to which race differences in functional health are attributable to key dimensions of demographic, geographic, and socioeconomic heterogeneity. The analysis is based on 15 years of aggregated data from the National Health Interview Survey. Both U.S.- and foreign-born Black and other race Hispanic women display a higher level of functional limitations than their White Hispanic counterparts. There is little evidence that such health differences widen with age. U.S.-born Black Hispanic women, however, suffer from a high burden of functional limitations across the adult age range. This research speaks to the need for greater attention to racial differences in health among Hispanics and particularly so within the U.S.-born segment of this rapidly aging population.","container-title":"Research on Aging","DOI":"10.1177/0164027515620244","ISSN":"0164-0275","issue":"3","journalAbbreviation":"Res Aging","language":"en","note":"number: 3\npublisher: SAGE Publications Inc","page":"399-423","source":"SAGE Journals","title":"Racial Disparities in Functional Limitations Among Hispanic Women in the United States","volume":"38","author":[{"family":"Chinn","given":"Juanita J."},{"family":"Hummer","given":"Robert A."}],"issued":{"date-parts":[["2016",4,1]]}}},{"id":4364,"uris":["http://zotero.org/users/8991183/items/PHFQTHW4"],"itemData":{"id":4364,"type":"article-journal","abstract":"Volume 31 - Article 17 | Pages 497–510","container-title":"Demographic Research","ISSN":"1435-9871","language":"en","page":"497-510","source":"www.demographic-research.org","title":"Age patterns of racial/ethnic/nativity differences in disability and physical functioning in the United States","volume":"31","author":[{"family":"Melvin","given":"Jennifer"},{"family":"Hummer","given":"Robert A."},{"family":"Elo","given":"Irma T."},{"family":"Mehta","given":"Neil"}],"issued":{"date-parts":[["2014",8,26]]}}}],"schema":"https://github.com/citation-style-language/schema/raw/master/csl-citation.json"} </w:instrText>
      </w:r>
      <w:r w:rsidR="004E4C83">
        <w:rPr>
          <w:rFonts w:ascii="Times New Roman" w:eastAsia="Times New Roman" w:hAnsi="Times New Roman" w:cs="Times New Roman"/>
        </w:rPr>
        <w:fldChar w:fldCharType="separate"/>
      </w:r>
      <w:r w:rsidR="003135B3" w:rsidRPr="003135B3">
        <w:rPr>
          <w:rFonts w:ascii="Times New Roman" w:hAnsi="Times New Roman" w:cs="Times New Roman"/>
        </w:rPr>
        <w:t>(Chinn &amp; Hummer, 2016; Melvin et al., 2014)</w:t>
      </w:r>
      <w:r w:rsidR="004E4C83">
        <w:rPr>
          <w:rFonts w:ascii="Times New Roman" w:eastAsia="Times New Roman" w:hAnsi="Times New Roman" w:cs="Times New Roman"/>
        </w:rPr>
        <w:fldChar w:fldCharType="end"/>
      </w:r>
      <w:r w:rsidR="00AD1889">
        <w:rPr>
          <w:rFonts w:ascii="Times New Roman" w:eastAsia="Times New Roman" w:hAnsi="Times New Roman" w:cs="Times New Roman"/>
        </w:rPr>
        <w:t>.</w:t>
      </w:r>
      <w:r w:rsidR="00AF0955">
        <w:rPr>
          <w:rFonts w:ascii="Times New Roman" w:eastAsia="Times New Roman" w:hAnsi="Times New Roman" w:cs="Times New Roman"/>
        </w:rPr>
        <w:t xml:space="preserve"> This indicates that as Hispanics age</w:t>
      </w:r>
      <w:r w:rsidR="00467AF9">
        <w:rPr>
          <w:rFonts w:ascii="Times New Roman" w:eastAsia="Times New Roman" w:hAnsi="Times New Roman" w:cs="Times New Roman"/>
        </w:rPr>
        <w:t>,</w:t>
      </w:r>
      <w:r w:rsidR="00AF0955">
        <w:rPr>
          <w:rFonts w:ascii="Times New Roman" w:eastAsia="Times New Roman" w:hAnsi="Times New Roman" w:cs="Times New Roman"/>
        </w:rPr>
        <w:t xml:space="preserve"> they might be ad</w:t>
      </w:r>
      <w:r w:rsidR="008930F5">
        <w:rPr>
          <w:rFonts w:ascii="Times New Roman" w:eastAsia="Times New Roman" w:hAnsi="Times New Roman" w:cs="Times New Roman"/>
        </w:rPr>
        <w:t>o</w:t>
      </w:r>
      <w:r w:rsidR="00AF0955">
        <w:rPr>
          <w:rFonts w:ascii="Times New Roman" w:eastAsia="Times New Roman" w:hAnsi="Times New Roman" w:cs="Times New Roman"/>
        </w:rPr>
        <w:t>pting the</w:t>
      </w:r>
      <w:r w:rsidR="008930F5">
        <w:rPr>
          <w:rFonts w:ascii="Times New Roman" w:eastAsia="Times New Roman" w:hAnsi="Times New Roman" w:cs="Times New Roman"/>
        </w:rPr>
        <w:t xml:space="preserve"> ADL and IADL patterns </w:t>
      </w:r>
      <w:r w:rsidR="00DA5D47">
        <w:rPr>
          <w:rFonts w:ascii="Times New Roman" w:eastAsia="Times New Roman" w:hAnsi="Times New Roman" w:cs="Times New Roman"/>
        </w:rPr>
        <w:t xml:space="preserve">of </w:t>
      </w:r>
      <w:r w:rsidR="00AF0955">
        <w:rPr>
          <w:rFonts w:ascii="Times New Roman" w:eastAsia="Times New Roman" w:hAnsi="Times New Roman" w:cs="Times New Roman"/>
        </w:rPr>
        <w:t>other population groups</w:t>
      </w:r>
      <w:r w:rsidR="008930F5">
        <w:rPr>
          <w:rFonts w:ascii="Times New Roman" w:eastAsia="Times New Roman" w:hAnsi="Times New Roman" w:cs="Times New Roman"/>
        </w:rPr>
        <w:t>,</w:t>
      </w:r>
      <w:r w:rsidR="00AF0955">
        <w:rPr>
          <w:rFonts w:ascii="Times New Roman" w:eastAsia="Times New Roman" w:hAnsi="Times New Roman" w:cs="Times New Roman"/>
        </w:rPr>
        <w:t xml:space="preserve"> such as </w:t>
      </w:r>
      <w:r w:rsidR="00467AF9">
        <w:rPr>
          <w:rFonts w:ascii="Times New Roman" w:eastAsia="Times New Roman" w:hAnsi="Times New Roman" w:cs="Times New Roman"/>
        </w:rPr>
        <w:t>non-Hispanic</w:t>
      </w:r>
      <w:r w:rsidR="00CF6BBD">
        <w:rPr>
          <w:rFonts w:ascii="Times New Roman" w:eastAsia="Times New Roman" w:hAnsi="Times New Roman" w:cs="Times New Roman"/>
        </w:rPr>
        <w:t xml:space="preserve"> Whites</w:t>
      </w:r>
      <w:r w:rsidR="00C47997">
        <w:rPr>
          <w:rFonts w:ascii="Times New Roman" w:eastAsia="Times New Roman" w:hAnsi="Times New Roman" w:cs="Times New Roman"/>
        </w:rPr>
        <w:t xml:space="preserve">, at a very rapid pace based on the relative change across the </w:t>
      </w:r>
      <w:r w:rsidR="00977FB0">
        <w:rPr>
          <w:rFonts w:ascii="Times New Roman" w:eastAsia="Times New Roman" w:hAnsi="Times New Roman" w:cs="Times New Roman"/>
        </w:rPr>
        <w:t>2010-2018 period</w:t>
      </w:r>
      <w:r w:rsidR="008930F5">
        <w:rPr>
          <w:rFonts w:ascii="Times New Roman" w:eastAsia="Times New Roman" w:hAnsi="Times New Roman" w:cs="Times New Roman"/>
        </w:rPr>
        <w:t>.</w:t>
      </w:r>
    </w:p>
    <w:p w14:paraId="268A4BD0" w14:textId="2EB6823E" w:rsidR="00E14BE1" w:rsidRDefault="00E14BE1" w:rsidP="00E14BE1">
      <w:pPr>
        <w:spacing w:after="0" w:line="480" w:lineRule="auto"/>
        <w:ind w:firstLine="720"/>
      </w:pPr>
      <w:r>
        <w:rPr>
          <w:rFonts w:ascii="Times New Roman" w:eastAsia="Times New Roman" w:hAnsi="Times New Roman" w:cs="Times New Roman"/>
        </w:rPr>
        <w:t xml:space="preserve">In addition to disparities by race and ethnicity, it is important to note </w:t>
      </w:r>
      <w:r w:rsidRPr="67C8E18F">
        <w:rPr>
          <w:rFonts w:ascii="Times New Roman" w:eastAsia="Times New Roman" w:hAnsi="Times New Roman" w:cs="Times New Roman"/>
        </w:rPr>
        <w:t xml:space="preserve">the </w:t>
      </w:r>
      <w:r w:rsidRPr="00A12CF5">
        <w:rPr>
          <w:rFonts w:ascii="Times New Roman" w:eastAsia="Times New Roman" w:hAnsi="Times New Roman" w:cs="Times New Roman"/>
          <w:i/>
          <w:iCs/>
          <w:color w:val="212529"/>
        </w:rPr>
        <w:t>male-female health-mortality paradox</w:t>
      </w:r>
      <w:r>
        <w:rPr>
          <w:rFonts w:ascii="Times New Roman" w:eastAsia="Times New Roman" w:hAnsi="Times New Roman" w:cs="Times New Roman"/>
          <w:color w:val="212529"/>
        </w:rPr>
        <w:t xml:space="preserve">, where </w:t>
      </w:r>
      <w:r>
        <w:rPr>
          <w:rFonts w:ascii="Times New Roman" w:eastAsia="Times New Roman" w:hAnsi="Times New Roman" w:cs="Times New Roman"/>
        </w:rPr>
        <w:t xml:space="preserve">the </w:t>
      </w:r>
      <w:r w:rsidRPr="67C8E18F">
        <w:rPr>
          <w:rFonts w:ascii="Times New Roman" w:eastAsia="Times New Roman" w:hAnsi="Times New Roman" w:cs="Times New Roman"/>
        </w:rPr>
        <w:t xml:space="preserve">apparent advantage that </w:t>
      </w:r>
      <w:r>
        <w:rPr>
          <w:rFonts w:ascii="Times New Roman" w:eastAsia="Times New Roman" w:hAnsi="Times New Roman" w:cs="Times New Roman"/>
        </w:rPr>
        <w:t>women</w:t>
      </w:r>
      <w:r w:rsidRPr="67C8E18F">
        <w:rPr>
          <w:rFonts w:ascii="Times New Roman" w:eastAsia="Times New Roman" w:hAnsi="Times New Roman" w:cs="Times New Roman"/>
        </w:rPr>
        <w:t xml:space="preserve"> have over </w:t>
      </w:r>
      <w:r>
        <w:rPr>
          <w:rFonts w:ascii="Times New Roman" w:eastAsia="Times New Roman" w:hAnsi="Times New Roman" w:cs="Times New Roman"/>
        </w:rPr>
        <w:t>men</w:t>
      </w:r>
      <w:r w:rsidRPr="67C8E18F">
        <w:rPr>
          <w:rFonts w:ascii="Times New Roman" w:eastAsia="Times New Roman" w:hAnsi="Times New Roman" w:cs="Times New Roman"/>
        </w:rPr>
        <w:t xml:space="preserve"> in terms of mortality</w:t>
      </w:r>
      <w:r>
        <w:rPr>
          <w:rFonts w:ascii="Times New Roman" w:eastAsia="Times New Roman" w:hAnsi="Times New Roman" w:cs="Times New Roman"/>
        </w:rPr>
        <w:t xml:space="preserve"> is reversed when</w:t>
      </w:r>
      <w:r w:rsidRPr="67C8E18F">
        <w:rPr>
          <w:rFonts w:ascii="Times New Roman" w:eastAsia="Times New Roman" w:hAnsi="Times New Roman" w:cs="Times New Roman"/>
        </w:rPr>
        <w:t xml:space="preserve"> considering the morbidity or disability gradient </w:t>
      </w:r>
      <w:r>
        <w:rPr>
          <w:rFonts w:ascii="Times New Roman" w:eastAsia="Times New Roman" w:hAnsi="Times New Roman" w:cs="Times New Roman"/>
          <w:color w:val="212529"/>
        </w:rPr>
        <w:fldChar w:fldCharType="begin"/>
      </w:r>
      <w:r>
        <w:rPr>
          <w:rFonts w:ascii="Times New Roman" w:eastAsia="Times New Roman" w:hAnsi="Times New Roman" w:cs="Times New Roman"/>
          <w:color w:val="212529"/>
        </w:rPr>
        <w:instrText xml:space="preserve"> ADDIN ZOTERO_ITEM CSL_CITATION {"citationID":"StlR7WjF","properties":{"formattedCitation":"(Di Lego et\\uc0\\u160{}al., 2020; Van Oyen et\\uc0\\u160{}al., 2013)","plainCitation":"(Di Lego et al., 2020; Van Oyen et al., 2013)","noteIndex":0},"citationItems":[{"id":1977,"uris":["http://zotero.org/users/8991183/items/N9HVZFP6"],"itemData":{"id":1977,"type":"article-journal","abstract":"Health Expectancy Within Countries Across Deprivation Areas This handbook presents global research on health expectancies, a measure of population health that examines the interaction between quantity and quality of life. With data from Europe, North America, Asia, and beyond, it explains how to define and measure health and morbidity and how to integrate these measurements with mortality. Coverage first highlights long-term trends in longevity and health. It also considers variations across and within countries, inequalities, and social gaps as well as micro and macro-level determinants. Next, the handbook deals with the methodological aspects of calculating health expectancies. It compares results from different methods and introduces tools, such as decomposition tool for decomposing gaps, an attrition tool for attributing a medical cause to reported disability, and a tool for measuring policy impact on health expectancies. It introduces methods of forecasting health expectancies. The handbook then goes on to examine the synergies and/or trade-off between longevity and health as well as considers such topics as the compression versus the expansion of morbidity/disability and the health-survival paradox. The last section considers new concepts and dimensions of health and, more broadly, well being which can be used in summary measures of population health, including psychological factors. Researchers, clinicians, demographers, and health planners will find this handbook an essential resource to this increasingly important public health and social policy tool. It will help readers gain insight into changes in health over time as well as inequalities between countries, regions, and population subgroups. Intro -- Preface -- Contents -- Contributors -- Abbreviations -- Part I: Monitoring Trends and Gaps -- 1: Operationalization of Concepts of Health and Disability -- Introduction -- Health -- The Medical Model -- WHO Definition -- EuroQOL -- Health Concept Proposed by Huber -- Self-Rated Health -- Disability -- Washington Group Questions -- WHO Disability Assessment Schedule (WHODAS) 2.0 -- WHO Model Disability Survey -- Activities of Daily Living (ADL) and Instrumental Activities of Daily Living (IADL) -- Global Activity Limitation Indicator (GALI) Importance of Including Disability Severity -- Evolution of the Disability Concept and Importance for Public Health Policies -- Frailty -- Phenotype Model -- Cumulative Deficit Model -- Multidimensional Model -- Importance of Developing a Global Frailty Measure -- Composite Health Measures -- Conclusions -- References -- 2: Trends in Health Expectancies -- Introduction -- Defining the Different Health Scenarios -- Possible Trends in Population Health -- Trends and Scenarios Observed in Different Parts of the World -- Discussion -- Conclusion -- References 3: An Analysis of Macro-level Determinants of Geographic Disparities in Health Expectancies -- Background -- Review of Empirical Research Findings -- The European Union (EU) Member Countries -- The United Kingdom (UK) -- East Central Europe and the Former Soviet Republics -- Japan -- China -- Summary -- References -- 4: Monitoring Social Differentials in Health Expectancies -- Background -- Health Expectancies by Social Status -- Policy Relevance of Measuring Social Inequalities in Health Expectancies -- Defining and Measuring Social Status How the Social Situation of Individuals Relates to their Health -- Understanding the Determinants of Social Health Inequality -- Social Status and the Disablement Process -- Stratifying a Population by a Social Criterion -- Selecting the Appropriate Social Criteria -- Alternative Approaches to Individual Social Criteria -- Measuring Social Status, and Mortality and Health by Social Status -- Collecting Appropriate Information on Mortality and Health by Social Status -- Availability of Data Stratified by Social Status -- Collecting Social Status in Surveys or Censuses The Measure of Mortality by SES: Linked vs Unlinked Data Sources -- Measuring Health by Socio-economic Status -- The International Literature on Health Expectancy by Social Status -- Characteristics of the Studies: Social Indicators, Country, Method -- Patterns and Trends in Health Expectancy by Social Status -- Social Inequalities in Health Expectancies -- Varying Gaps According to the Health or Disability Indicator -- Social Differences in Health Expectancies Across Age -- Social Differences in Health Expectancies by Gender -- Trends in Health Expectancies by Social Status","container-title":"International Handbooks of Population","DOI":"10.1007/978-3-030-37668-0_11","note":"publisher: Springer, Cham","page":"151-172","title":"Gender Differences in Healthy and Unhealthy Life Expectancy","volume":"9","author":[{"family":"Di Lego","given":"Vanessa"},{"family":"Di Giulio","given":"Paola"},{"family":"Luy","given":"Marc"}],"issued":{"date-parts":[["2020"]]}}},{"id":1738,"uris":["http://zotero.org/users/8991183/items/ZXKPDMMC"],"itemData":{"id":1738,"type":"article-journal","abstract":"Objectives: To evaluated the female-male health-survival paradox by estimating the contribution of women's mortality advantage versus women's disability disadvantage. Methods: Disability prevalence was measured from the 2006 Survey on Income and Living Conditions in 25 European countries. Disability prevalence was applied to life tables to estimate healthy life years (HLY) at age 15. Gender differences in</w:instrText>
      </w:r>
      <w:r w:rsidRPr="00C56D9A">
        <w:rPr>
          <w:rFonts w:ascii="Times New Roman" w:eastAsia="Times New Roman" w:hAnsi="Times New Roman" w:cs="Times New Roman"/>
          <w:color w:val="212529"/>
        </w:rPr>
        <w:instrText xml:space="preserve"> HLY were split into two parts: that due to gender inequality in mortality and that due to gender inequality in disability. The relationship between women's mortality advantage or disability disadvantage and the level of population health between countries was analysed using random-effects meta-regression. Results: Women's mortality advantage contributes to more HLY in women; women's higher prevalence of disability reduces the difference in HLY. In populations with high life expectancy women's advantage in HLY was small or even a men's advantage was found. In populations with lower life expectancy, the hardship among men is already evident at young ages. Conclusions: The results suggest that the health-survival paradox is a function of the level of population health, dependent on modifiable factors. © 2012 The Author(s).","container-title":"International Journal of Public Health","DOI":"10.1007/s00038-012-0361-1","issue":"1","note":"publisher: Birkhauser Verlag AG","page":"143-155","title":"Gender differences in healthy life years within the EU: An exploration of the \"health-survival\" paradox","volume":"58","author":[{"family":"Van Oyen","given":"Herman"},{"family":"Nusselder","given":"Wilma"},{"family":"Jagger","given":"Carol"},{"family":"Kolip","given":"Petra"},{"family":"Cambois","given":"Emmanuelle"},{"family":"Robine","given":"Jean Marie"}],"issued":{"date-parts":[["2013"]]}}}],"schema":"https://github.com/citation-style-language/schema/raw/master/csl-citation.json"} </w:instrText>
      </w:r>
      <w:r>
        <w:rPr>
          <w:rFonts w:ascii="Times New Roman" w:eastAsia="Times New Roman" w:hAnsi="Times New Roman" w:cs="Times New Roman"/>
          <w:color w:val="212529"/>
        </w:rPr>
        <w:fldChar w:fldCharType="separate"/>
      </w:r>
      <w:r w:rsidRPr="00C56D9A">
        <w:rPr>
          <w:rFonts w:ascii="Times New Roman" w:hAnsi="Times New Roman" w:cs="Times New Roman"/>
        </w:rPr>
        <w:t>(Di Lego et al., 2020; Van Oyen et al., 2013)</w:t>
      </w:r>
      <w:r>
        <w:rPr>
          <w:rFonts w:ascii="Times New Roman" w:eastAsia="Times New Roman" w:hAnsi="Times New Roman" w:cs="Times New Roman"/>
          <w:color w:val="212529"/>
        </w:rPr>
        <w:fldChar w:fldCharType="end"/>
      </w:r>
      <w:r w:rsidRPr="00C56D9A">
        <w:rPr>
          <w:rFonts w:ascii="Times New Roman" w:eastAsia="Times New Roman" w:hAnsi="Times New Roman" w:cs="Times New Roman"/>
        </w:rPr>
        <w:t xml:space="preserve">. </w:t>
      </w:r>
      <w:r>
        <w:rPr>
          <w:rFonts w:ascii="Times New Roman" w:eastAsia="Times New Roman" w:hAnsi="Times New Roman" w:cs="Times New Roman"/>
        </w:rPr>
        <w:t xml:space="preserve">This paradox highlights that living longer does not necessarily equate to living healthier lives. And this paper </w:t>
      </w:r>
      <w:r w:rsidR="001B691E">
        <w:rPr>
          <w:rFonts w:ascii="Times New Roman" w:eastAsia="Times New Roman" w:hAnsi="Times New Roman" w:cs="Times New Roman"/>
        </w:rPr>
        <w:t xml:space="preserve">confirms </w:t>
      </w:r>
      <w:r w:rsidR="00734EB9">
        <w:rPr>
          <w:rFonts w:ascii="Times New Roman" w:eastAsia="Times New Roman" w:hAnsi="Times New Roman" w:cs="Times New Roman"/>
        </w:rPr>
        <w:t xml:space="preserve">that in all cases, females presented a higher prevalence of limitations </w:t>
      </w:r>
      <w:r w:rsidR="004E5109">
        <w:rPr>
          <w:rFonts w:ascii="Times New Roman" w:eastAsia="Times New Roman" w:hAnsi="Times New Roman" w:cs="Times New Roman"/>
        </w:rPr>
        <w:t xml:space="preserve">in IADL and ADL </w:t>
      </w:r>
      <w:r w:rsidR="000F430C">
        <w:rPr>
          <w:rFonts w:ascii="Times New Roman" w:eastAsia="Times New Roman" w:hAnsi="Times New Roman" w:cs="Times New Roman"/>
        </w:rPr>
        <w:t>than their male counterparts</w:t>
      </w:r>
      <w:r w:rsidR="004E5109">
        <w:rPr>
          <w:rFonts w:ascii="Times New Roman" w:eastAsia="Times New Roman" w:hAnsi="Times New Roman" w:cs="Times New Roman"/>
        </w:rPr>
        <w:t xml:space="preserve">, with little evidence that suggests that the sex gap in morbidity </w:t>
      </w:r>
      <w:r w:rsidR="00C1401C">
        <w:rPr>
          <w:rFonts w:ascii="Times New Roman" w:eastAsia="Times New Roman" w:hAnsi="Times New Roman" w:cs="Times New Roman"/>
        </w:rPr>
        <w:t>might be</w:t>
      </w:r>
      <w:r w:rsidR="004E5109">
        <w:rPr>
          <w:rFonts w:ascii="Times New Roman" w:eastAsia="Times New Roman" w:hAnsi="Times New Roman" w:cs="Times New Roman"/>
        </w:rPr>
        <w:t xml:space="preserve"> waning any time soon. </w:t>
      </w:r>
    </w:p>
    <w:p w14:paraId="5A59652C" w14:textId="3C44AC60" w:rsidR="002D5AEF" w:rsidRDefault="7D4FDF97" w:rsidP="00A12CF5">
      <w:pPr>
        <w:spacing w:after="0" w:line="480" w:lineRule="auto"/>
        <w:ind w:firstLine="720"/>
      </w:pPr>
      <w:r w:rsidRPr="5996E1DC">
        <w:rPr>
          <w:rFonts w:ascii="Times New Roman" w:eastAsia="Times New Roman" w:hAnsi="Times New Roman" w:cs="Times New Roman"/>
        </w:rPr>
        <w:t>The limitations of this study are mostly related to the data</w:t>
      </w:r>
      <w:r w:rsidR="00E14BE1">
        <w:rPr>
          <w:rFonts w:ascii="Times New Roman" w:eastAsia="Times New Roman" w:hAnsi="Times New Roman" w:cs="Times New Roman"/>
        </w:rPr>
        <w:t>.</w:t>
      </w:r>
      <w:r w:rsidR="00CA0A61">
        <w:rPr>
          <w:rFonts w:ascii="Times New Roman" w:eastAsia="Times New Roman" w:hAnsi="Times New Roman" w:cs="Times New Roman"/>
        </w:rPr>
        <w:t xml:space="preserve">  </w:t>
      </w:r>
      <w:r w:rsidR="00B11A0C">
        <w:rPr>
          <w:rFonts w:ascii="Times New Roman" w:eastAsia="Times New Roman" w:hAnsi="Times New Roman" w:cs="Times New Roman"/>
        </w:rPr>
        <w:t>O</w:t>
      </w:r>
      <w:r w:rsidR="00CA0A61">
        <w:rPr>
          <w:rFonts w:ascii="Times New Roman" w:eastAsia="Times New Roman" w:hAnsi="Times New Roman" w:cs="Times New Roman"/>
        </w:rPr>
        <w:t>n some occasions, s</w:t>
      </w:r>
      <w:r w:rsidR="0020715D">
        <w:rPr>
          <w:rFonts w:ascii="Times New Roman" w:eastAsia="Times New Roman" w:hAnsi="Times New Roman" w:cs="Times New Roman"/>
        </w:rPr>
        <w:t xml:space="preserve">ample size issues limit the scope </w:t>
      </w:r>
      <w:r w:rsidR="00B11A0C">
        <w:rPr>
          <w:rFonts w:ascii="Times New Roman" w:eastAsia="Times New Roman" w:hAnsi="Times New Roman" w:cs="Times New Roman"/>
        </w:rPr>
        <w:t>o</w:t>
      </w:r>
      <w:r w:rsidR="0020715D">
        <w:rPr>
          <w:rFonts w:ascii="Times New Roman" w:eastAsia="Times New Roman" w:hAnsi="Times New Roman" w:cs="Times New Roman"/>
        </w:rPr>
        <w:t>f our findings,</w:t>
      </w:r>
      <w:r w:rsidR="00CA0A61">
        <w:rPr>
          <w:rFonts w:ascii="Times New Roman" w:eastAsia="Times New Roman" w:hAnsi="Times New Roman" w:cs="Times New Roman"/>
        </w:rPr>
        <w:t xml:space="preserve"> because we are not sure if the observed trends are clear and significant</w:t>
      </w:r>
      <w:r w:rsidR="0020715D">
        <w:rPr>
          <w:rFonts w:ascii="Times New Roman" w:eastAsia="Times New Roman" w:hAnsi="Times New Roman" w:cs="Times New Roman"/>
        </w:rPr>
        <w:t xml:space="preserve"> </w:t>
      </w:r>
      <w:r w:rsidR="00CA0A61" w:rsidRPr="5996E1DC">
        <w:rPr>
          <w:rFonts w:ascii="Times New Roman" w:eastAsia="Times New Roman" w:hAnsi="Times New Roman" w:cs="Times New Roman"/>
        </w:rPr>
        <w:t>(</w:t>
      </w:r>
      <w:r w:rsidR="00CA0A61">
        <w:rPr>
          <w:rFonts w:ascii="Times New Roman" w:eastAsia="Times New Roman" w:hAnsi="Times New Roman" w:cs="Times New Roman"/>
        </w:rPr>
        <w:t>especially</w:t>
      </w:r>
      <w:r w:rsidR="00CA0A61" w:rsidRPr="5996E1DC">
        <w:rPr>
          <w:rFonts w:ascii="Times New Roman" w:eastAsia="Times New Roman" w:hAnsi="Times New Roman" w:cs="Times New Roman"/>
        </w:rPr>
        <w:t xml:space="preserve"> between </w:t>
      </w:r>
      <w:r w:rsidR="00CA0A61">
        <w:rPr>
          <w:rFonts w:ascii="Times New Roman" w:eastAsia="Times New Roman" w:hAnsi="Times New Roman" w:cs="Times New Roman"/>
        </w:rPr>
        <w:t xml:space="preserve">non-Hispanic </w:t>
      </w:r>
      <w:r w:rsidR="00EC0E24">
        <w:rPr>
          <w:rFonts w:ascii="Times New Roman" w:eastAsia="Times New Roman" w:hAnsi="Times New Roman" w:cs="Times New Roman"/>
        </w:rPr>
        <w:t>Blacks</w:t>
      </w:r>
      <w:r w:rsidR="00CA0A61" w:rsidRPr="5996E1DC">
        <w:rPr>
          <w:rFonts w:ascii="Times New Roman" w:eastAsia="Times New Roman" w:hAnsi="Times New Roman" w:cs="Times New Roman"/>
        </w:rPr>
        <w:t xml:space="preserve"> and Hispanics</w:t>
      </w:r>
      <w:r w:rsidR="00EC0E24">
        <w:rPr>
          <w:rFonts w:ascii="Times New Roman" w:eastAsia="Times New Roman" w:hAnsi="Times New Roman" w:cs="Times New Roman"/>
        </w:rPr>
        <w:t xml:space="preserve"> at higher age groups since they have a smaller population size</w:t>
      </w:r>
      <w:r w:rsidR="00CA0A61" w:rsidRPr="5996E1DC">
        <w:rPr>
          <w:rFonts w:ascii="Times New Roman" w:eastAsia="Times New Roman" w:hAnsi="Times New Roman" w:cs="Times New Roman"/>
        </w:rPr>
        <w:t>)</w:t>
      </w:r>
      <w:r w:rsidR="00CA0A61">
        <w:rPr>
          <w:rFonts w:ascii="Times New Roman" w:eastAsia="Times New Roman" w:hAnsi="Times New Roman" w:cs="Times New Roman"/>
        </w:rPr>
        <w:t>. W</w:t>
      </w:r>
      <w:r w:rsidR="00CA0A61" w:rsidRPr="5996E1DC">
        <w:rPr>
          <w:rFonts w:ascii="Times New Roman" w:eastAsia="Times New Roman" w:hAnsi="Times New Roman" w:cs="Times New Roman"/>
        </w:rPr>
        <w:t xml:space="preserve">hile </w:t>
      </w:r>
      <w:r w:rsidR="00CA0A61">
        <w:rPr>
          <w:rFonts w:ascii="Times New Roman" w:eastAsia="Times New Roman" w:hAnsi="Times New Roman" w:cs="Times New Roman"/>
        </w:rPr>
        <w:t>our</w:t>
      </w:r>
      <w:r w:rsidR="00CA0A61" w:rsidRPr="5996E1DC">
        <w:rPr>
          <w:rFonts w:ascii="Times New Roman" w:eastAsia="Times New Roman" w:hAnsi="Times New Roman" w:cs="Times New Roman"/>
        </w:rPr>
        <w:t xml:space="preserve"> </w:t>
      </w:r>
      <w:r w:rsidR="00CA0A61">
        <w:rPr>
          <w:rFonts w:ascii="Times New Roman" w:eastAsia="Times New Roman" w:hAnsi="Times New Roman" w:cs="Times New Roman"/>
        </w:rPr>
        <w:t>findings</w:t>
      </w:r>
      <w:r w:rsidR="00CA0A61" w:rsidRPr="5996E1DC">
        <w:rPr>
          <w:rFonts w:ascii="Times New Roman" w:eastAsia="Times New Roman" w:hAnsi="Times New Roman" w:cs="Times New Roman"/>
        </w:rPr>
        <w:t xml:space="preserve"> are representative of the overall population, it is still not clear in most cases if </w:t>
      </w:r>
      <w:r w:rsidR="00E1678D">
        <w:rPr>
          <w:rFonts w:ascii="Times New Roman" w:eastAsia="Times New Roman" w:hAnsi="Times New Roman" w:cs="Times New Roman"/>
        </w:rPr>
        <w:t>deviation from stagnation is significant in most cases</w:t>
      </w:r>
      <w:r w:rsidR="00CA0A61">
        <w:rPr>
          <w:rFonts w:ascii="Times New Roman" w:eastAsia="Times New Roman" w:hAnsi="Times New Roman" w:cs="Times New Roman"/>
        </w:rPr>
        <w:t>.</w:t>
      </w:r>
      <w:r w:rsidR="003E383D">
        <w:rPr>
          <w:rFonts w:ascii="Times New Roman" w:eastAsia="Times New Roman" w:hAnsi="Times New Roman" w:cs="Times New Roman"/>
        </w:rPr>
        <w:t xml:space="preserve"> </w:t>
      </w:r>
      <w:r w:rsidR="00590D27">
        <w:rPr>
          <w:rFonts w:ascii="Times New Roman" w:eastAsia="Times New Roman" w:hAnsi="Times New Roman" w:cs="Times New Roman"/>
        </w:rPr>
        <w:t>T</w:t>
      </w:r>
      <w:r w:rsidRPr="5996E1DC">
        <w:rPr>
          <w:rFonts w:ascii="Times New Roman" w:eastAsia="Times New Roman" w:hAnsi="Times New Roman" w:cs="Times New Roman"/>
        </w:rPr>
        <w:t xml:space="preserve">here is </w:t>
      </w:r>
      <w:r w:rsidR="00590D27">
        <w:rPr>
          <w:rFonts w:ascii="Times New Roman" w:eastAsia="Times New Roman" w:hAnsi="Times New Roman" w:cs="Times New Roman"/>
        </w:rPr>
        <w:t xml:space="preserve">also </w:t>
      </w:r>
      <w:r w:rsidRPr="5996E1DC">
        <w:rPr>
          <w:rFonts w:ascii="Times New Roman" w:eastAsia="Times New Roman" w:hAnsi="Times New Roman" w:cs="Times New Roman"/>
        </w:rPr>
        <w:t xml:space="preserve">the possibility </w:t>
      </w:r>
      <w:r w:rsidR="00590D27">
        <w:rPr>
          <w:rFonts w:ascii="Times New Roman" w:eastAsia="Times New Roman" w:hAnsi="Times New Roman" w:cs="Times New Roman"/>
        </w:rPr>
        <w:t>of</w:t>
      </w:r>
      <w:r w:rsidRPr="5996E1DC">
        <w:rPr>
          <w:rFonts w:ascii="Times New Roman" w:eastAsia="Times New Roman" w:hAnsi="Times New Roman" w:cs="Times New Roman"/>
        </w:rPr>
        <w:t xml:space="preserve"> errors </w:t>
      </w:r>
      <w:r w:rsidR="0053223C">
        <w:rPr>
          <w:rFonts w:ascii="Times New Roman" w:eastAsia="Times New Roman" w:hAnsi="Times New Roman" w:cs="Times New Roman"/>
        </w:rPr>
        <w:t>in</w:t>
      </w:r>
      <w:r w:rsidRPr="5996E1DC">
        <w:rPr>
          <w:rFonts w:ascii="Times New Roman" w:eastAsia="Times New Roman" w:hAnsi="Times New Roman" w:cs="Times New Roman"/>
        </w:rPr>
        <w:t xml:space="preserve"> self-report</w:t>
      </w:r>
      <w:r w:rsidR="00590D27">
        <w:rPr>
          <w:rFonts w:ascii="Times New Roman" w:eastAsia="Times New Roman" w:hAnsi="Times New Roman" w:cs="Times New Roman"/>
        </w:rPr>
        <w:t>ing</w:t>
      </w:r>
      <w:r w:rsidRPr="5996E1DC">
        <w:rPr>
          <w:rFonts w:ascii="Times New Roman" w:eastAsia="Times New Roman" w:hAnsi="Times New Roman" w:cs="Times New Roman"/>
        </w:rPr>
        <w:t xml:space="preserve"> and sampling. </w:t>
      </w:r>
      <w:r w:rsidR="00590D27">
        <w:rPr>
          <w:rFonts w:ascii="Times New Roman" w:eastAsia="Times New Roman" w:hAnsi="Times New Roman" w:cs="Times New Roman"/>
        </w:rPr>
        <w:t>Additionally, w</w:t>
      </w:r>
      <w:r w:rsidRPr="5996E1DC">
        <w:rPr>
          <w:rFonts w:ascii="Times New Roman" w:eastAsia="Times New Roman" w:hAnsi="Times New Roman" w:cs="Times New Roman"/>
        </w:rPr>
        <w:t xml:space="preserve">e </w:t>
      </w:r>
      <w:r w:rsidR="00590D27">
        <w:rPr>
          <w:rFonts w:ascii="Times New Roman" w:eastAsia="Times New Roman" w:hAnsi="Times New Roman" w:cs="Times New Roman"/>
        </w:rPr>
        <w:t>did</w:t>
      </w:r>
      <w:r w:rsidR="00590D27" w:rsidRPr="5996E1DC">
        <w:rPr>
          <w:rFonts w:ascii="Times New Roman" w:eastAsia="Times New Roman" w:hAnsi="Times New Roman" w:cs="Times New Roman"/>
        </w:rPr>
        <w:t xml:space="preserve"> </w:t>
      </w:r>
      <w:r w:rsidRPr="5996E1DC">
        <w:rPr>
          <w:rFonts w:ascii="Times New Roman" w:eastAsia="Times New Roman" w:hAnsi="Times New Roman" w:cs="Times New Roman"/>
        </w:rPr>
        <w:t xml:space="preserve">not consider the institutionalized population, who are more likely to </w:t>
      </w:r>
      <w:r w:rsidR="00590D27">
        <w:rPr>
          <w:rFonts w:ascii="Times New Roman" w:eastAsia="Times New Roman" w:hAnsi="Times New Roman" w:cs="Times New Roman"/>
        </w:rPr>
        <w:t>have limitations in</w:t>
      </w:r>
      <w:r w:rsidRPr="5996E1DC">
        <w:rPr>
          <w:rFonts w:ascii="Times New Roman" w:eastAsia="Times New Roman" w:hAnsi="Times New Roman" w:cs="Times New Roman"/>
        </w:rPr>
        <w:t xml:space="preserve"> ADLs and IADLs. </w:t>
      </w:r>
      <w:r w:rsidR="00B11A0C">
        <w:rPr>
          <w:rFonts w:ascii="Times New Roman" w:eastAsia="Times New Roman" w:hAnsi="Times New Roman" w:cs="Times New Roman"/>
        </w:rPr>
        <w:t>P</w:t>
      </w:r>
      <w:r w:rsidR="00590D27">
        <w:rPr>
          <w:rFonts w:ascii="Times New Roman" w:eastAsia="Times New Roman" w:hAnsi="Times New Roman" w:cs="Times New Roman"/>
        </w:rPr>
        <w:t xml:space="preserve">revious </w:t>
      </w:r>
      <w:r w:rsidR="002F4B7A">
        <w:rPr>
          <w:rFonts w:ascii="Times New Roman" w:eastAsia="Times New Roman" w:hAnsi="Times New Roman" w:cs="Times New Roman"/>
        </w:rPr>
        <w:t xml:space="preserve">studies </w:t>
      </w:r>
      <w:r w:rsidR="00590D27">
        <w:rPr>
          <w:rFonts w:ascii="Times New Roman" w:eastAsia="Times New Roman" w:hAnsi="Times New Roman" w:cs="Times New Roman"/>
        </w:rPr>
        <w:t xml:space="preserve">have </w:t>
      </w:r>
      <w:r w:rsidR="002F4B7A">
        <w:rPr>
          <w:rFonts w:ascii="Times New Roman" w:eastAsia="Times New Roman" w:hAnsi="Times New Roman" w:cs="Times New Roman"/>
        </w:rPr>
        <w:t xml:space="preserve">highlighted the </w:t>
      </w:r>
      <w:r w:rsidR="00A24461">
        <w:rPr>
          <w:rFonts w:ascii="Times New Roman" w:eastAsia="Times New Roman" w:hAnsi="Times New Roman" w:cs="Times New Roman"/>
        </w:rPr>
        <w:t xml:space="preserve">role of nativity when considering differences between Hispanic and </w:t>
      </w:r>
      <w:r w:rsidR="00590D27">
        <w:rPr>
          <w:rFonts w:ascii="Times New Roman" w:eastAsia="Times New Roman" w:hAnsi="Times New Roman" w:cs="Times New Roman"/>
        </w:rPr>
        <w:t>non-Hispanic women</w:t>
      </w:r>
      <w:r w:rsidR="00CD0F43">
        <w:rPr>
          <w:rFonts w:ascii="Times New Roman" w:eastAsia="Times New Roman" w:hAnsi="Times New Roman" w:cs="Times New Roman"/>
        </w:rPr>
        <w:t xml:space="preserve"> </w:t>
      </w:r>
      <w:r w:rsidR="00CD0F43">
        <w:rPr>
          <w:rFonts w:ascii="Times New Roman" w:eastAsia="Times New Roman" w:hAnsi="Times New Roman" w:cs="Times New Roman"/>
        </w:rPr>
        <w:fldChar w:fldCharType="begin"/>
      </w:r>
      <w:r w:rsidR="00CD0F43">
        <w:rPr>
          <w:rFonts w:ascii="Times New Roman" w:eastAsia="Times New Roman" w:hAnsi="Times New Roman" w:cs="Times New Roman"/>
        </w:rPr>
        <w:instrText xml:space="preserve"> ADDIN ZOTERO_ITEM CSL_CITATION {"citationID":"As4c4pwK","properties":{"formattedCitation":"(Akresh &amp; Frank, 2008; Melvin et\\uc0\\u160{}al., 2014)","plainCitation":"(Akresh &amp; Frank, 2008; Melvin et al., 2014)","noteIndex":0},"citationItems":[{"id":4361,"uris":["http://zotero.org/users/8991183/items/G875IQSR"],"itemData":{"id":4361,"type":"article-journal","abstract":"OBJECTIVES: We sought to quantify the extent of health selection (i.e., the degree to which potential immigrants migrate, or fail to migrate, on the basis of their health status) among contemporary US immigrant groups and evaluate the degree that selection explains variation in self-rated health among US legal permanent residents.\nMETHODS: Data came from the New Immigrant Survey 2003 cohort. We estimated the extent of positive and negative health selection through a unique series of questions asking immigrants in the United States to evaluate their health and compare it to that of citizens in their country of origin.\nRESULTS: The extent of positive health selection differed significantly across immigrant groups and was related to compositional differences in the socioeconomic profiles of immigrant streams.\nCONCLUSIONS: The salience of socioeconomic status and English-language ability in explaining health differentials across immigrant groups reinforces the importance of further research on the role of these factors in contributing to the health of immigrants above and beyond the need for additional attention to the health selection process.","container-title":"American Journal of Public Health","DOI":"10.2105/AJPH.2006.100974","ISSN":"1541-0048","issue":"11","journalAbbreviation":"Am J Public Health","language":"eng","note":"PMID: 18309141\nPMCID: PMC2636435","page":"2058-2064","source":"PubMed","title":"Health selection among new immigrants","volume":"98","author":[{"family":"Akresh","given":"Ilana Redstone"},{"family":"Frank","given":"Reanne"}],"issued":{"date-parts":[["2008",11]]}}},{"id":4364,"uris":["http://zotero.org/users/8991183/items/PHFQTHW4"],"itemData":{"id":4364,"type":"article-journal","abstract":"Volume 31 - Article 17 | Pages 497–510","container-title":"Demographic Research","ISSN":"1435-9871","language":"en","page":"497-510","source":"www.demographic-research.org","title":"Age patterns of racial/ethnic/nativity differences in disability and physical functioning in the United States","volume":"31","author":[{"family":"Melvin","given":"Jennifer"},{"family":"Hummer","given":"Robert A."},{"family":"Elo","given":"Irma T."},{"family":"Mehta","given":"Neil"}],"issued":{"date-parts":[["2014",8,26]]}}}],"schema":"https://github.com/citation-style-language/schema/raw/master/csl-citation.json"} </w:instrText>
      </w:r>
      <w:r w:rsidR="00CD0F43">
        <w:rPr>
          <w:rFonts w:ascii="Times New Roman" w:eastAsia="Times New Roman" w:hAnsi="Times New Roman" w:cs="Times New Roman"/>
        </w:rPr>
        <w:fldChar w:fldCharType="separate"/>
      </w:r>
      <w:r w:rsidR="00CD0F43" w:rsidRPr="00CD0F43">
        <w:rPr>
          <w:rFonts w:ascii="Times New Roman" w:hAnsi="Times New Roman" w:cs="Times New Roman"/>
        </w:rPr>
        <w:t>(Akresh &amp; Frank, 2008; Melvin et al., 2014)</w:t>
      </w:r>
      <w:r w:rsidR="00CD0F43">
        <w:rPr>
          <w:rFonts w:ascii="Times New Roman" w:eastAsia="Times New Roman" w:hAnsi="Times New Roman" w:cs="Times New Roman"/>
        </w:rPr>
        <w:fldChar w:fldCharType="end"/>
      </w:r>
      <w:r w:rsidR="00A24461">
        <w:rPr>
          <w:rFonts w:ascii="Times New Roman" w:eastAsia="Times New Roman" w:hAnsi="Times New Roman" w:cs="Times New Roman"/>
        </w:rPr>
        <w:t>,</w:t>
      </w:r>
      <w:r w:rsidR="00CD0F43">
        <w:rPr>
          <w:rFonts w:ascii="Times New Roman" w:eastAsia="Times New Roman" w:hAnsi="Times New Roman" w:cs="Times New Roman"/>
        </w:rPr>
        <w:t xml:space="preserve"> we wanted to highlight </w:t>
      </w:r>
      <w:r w:rsidR="00590D27">
        <w:rPr>
          <w:rFonts w:ascii="Times New Roman" w:eastAsia="Times New Roman" w:hAnsi="Times New Roman" w:cs="Times New Roman"/>
        </w:rPr>
        <w:t>broader</w:t>
      </w:r>
      <w:r w:rsidR="00CD0F43">
        <w:rPr>
          <w:rFonts w:ascii="Times New Roman" w:eastAsia="Times New Roman" w:hAnsi="Times New Roman" w:cs="Times New Roman"/>
        </w:rPr>
        <w:t xml:space="preserve"> trends rather than controlling for each specific </w:t>
      </w:r>
      <w:r w:rsidR="00B778EF">
        <w:rPr>
          <w:rFonts w:ascii="Times New Roman" w:eastAsia="Times New Roman" w:hAnsi="Times New Roman" w:cs="Times New Roman"/>
        </w:rPr>
        <w:t xml:space="preserve">racial or </w:t>
      </w:r>
      <w:r w:rsidR="00CD0F43">
        <w:rPr>
          <w:rFonts w:ascii="Times New Roman" w:eastAsia="Times New Roman" w:hAnsi="Times New Roman" w:cs="Times New Roman"/>
        </w:rPr>
        <w:lastRenderedPageBreak/>
        <w:t xml:space="preserve">ethnic group. </w:t>
      </w:r>
      <w:r w:rsidR="00B778EF">
        <w:rPr>
          <w:rFonts w:ascii="Times New Roman" w:eastAsia="Times New Roman" w:hAnsi="Times New Roman" w:cs="Times New Roman"/>
        </w:rPr>
        <w:t>Therefore, due to the</w:t>
      </w:r>
      <w:r w:rsidR="00BB4118">
        <w:rPr>
          <w:rFonts w:ascii="Times New Roman" w:eastAsia="Times New Roman" w:hAnsi="Times New Roman" w:cs="Times New Roman"/>
        </w:rPr>
        <w:t xml:space="preserve"> potential for type I error </w:t>
      </w:r>
      <w:r w:rsidR="00B778EF">
        <w:rPr>
          <w:rFonts w:ascii="Times New Roman" w:eastAsia="Times New Roman" w:hAnsi="Times New Roman" w:cs="Times New Roman"/>
        </w:rPr>
        <w:t xml:space="preserve">stemming from unaddressed </w:t>
      </w:r>
      <w:r w:rsidR="00BB4118">
        <w:rPr>
          <w:rFonts w:ascii="Times New Roman" w:eastAsia="Times New Roman" w:hAnsi="Times New Roman" w:cs="Times New Roman"/>
        </w:rPr>
        <w:t>heterogeneity with</w:t>
      </w:r>
      <w:r w:rsidR="00B778EF">
        <w:rPr>
          <w:rFonts w:ascii="Times New Roman" w:eastAsia="Times New Roman" w:hAnsi="Times New Roman" w:cs="Times New Roman"/>
        </w:rPr>
        <w:t>in</w:t>
      </w:r>
      <w:r w:rsidR="00BB4118">
        <w:rPr>
          <w:rFonts w:ascii="Times New Roman" w:eastAsia="Times New Roman" w:hAnsi="Times New Roman" w:cs="Times New Roman"/>
        </w:rPr>
        <w:t xml:space="preserve"> the chosen categories</w:t>
      </w:r>
      <w:r w:rsidR="00E06F34">
        <w:rPr>
          <w:rFonts w:ascii="Times New Roman" w:eastAsia="Times New Roman" w:hAnsi="Times New Roman" w:cs="Times New Roman"/>
        </w:rPr>
        <w:t xml:space="preserve"> and model</w:t>
      </w:r>
      <w:r w:rsidR="00B778EF">
        <w:rPr>
          <w:rFonts w:ascii="Times New Roman" w:eastAsia="Times New Roman" w:hAnsi="Times New Roman" w:cs="Times New Roman"/>
        </w:rPr>
        <w:t xml:space="preserve"> selections</w:t>
      </w:r>
      <w:r w:rsidR="00BB4118">
        <w:rPr>
          <w:rFonts w:ascii="Times New Roman" w:eastAsia="Times New Roman" w:hAnsi="Times New Roman" w:cs="Times New Roman"/>
        </w:rPr>
        <w:t xml:space="preserve">, </w:t>
      </w:r>
      <w:r w:rsidR="00DA5D47">
        <w:rPr>
          <w:rFonts w:ascii="Times New Roman" w:eastAsia="Times New Roman" w:hAnsi="Times New Roman" w:cs="Times New Roman"/>
        </w:rPr>
        <w:t xml:space="preserve">our </w:t>
      </w:r>
      <w:r w:rsidR="00BB4118">
        <w:rPr>
          <w:rFonts w:ascii="Times New Roman" w:eastAsia="Times New Roman" w:hAnsi="Times New Roman" w:cs="Times New Roman"/>
        </w:rPr>
        <w:t>findings should be considered descriptive</w:t>
      </w:r>
      <w:r w:rsidR="00E06F34">
        <w:rPr>
          <w:rFonts w:ascii="Times New Roman" w:eastAsia="Times New Roman" w:hAnsi="Times New Roman" w:cs="Times New Roman"/>
        </w:rPr>
        <w:t xml:space="preserve"> rather than causal</w:t>
      </w:r>
      <w:r w:rsidR="00BB4118">
        <w:rPr>
          <w:rFonts w:ascii="Times New Roman" w:eastAsia="Times New Roman" w:hAnsi="Times New Roman" w:cs="Times New Roman"/>
        </w:rPr>
        <w:t>.</w:t>
      </w:r>
      <w:r w:rsidR="00754CC1" w:rsidRPr="00754CC1">
        <w:rPr>
          <w:rFonts w:ascii="Times New Roman" w:eastAsia="Times New Roman" w:hAnsi="Times New Roman" w:cs="Times New Roman"/>
        </w:rPr>
        <w:t xml:space="preserve"> </w:t>
      </w:r>
      <w:r w:rsidR="00754CC1">
        <w:rPr>
          <w:rFonts w:ascii="Times New Roman" w:eastAsia="Times New Roman" w:hAnsi="Times New Roman" w:cs="Times New Roman"/>
        </w:rPr>
        <w:t xml:space="preserve"> </w:t>
      </w:r>
    </w:p>
    <w:p w14:paraId="6865D6B2" w14:textId="34FB6F1B" w:rsidR="001E7620" w:rsidRDefault="00E06F34" w:rsidP="00A12CF5">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Despite these limitations,</w:t>
      </w:r>
      <w:r w:rsidR="00CD0F43">
        <w:rPr>
          <w:rFonts w:ascii="Times New Roman" w:eastAsia="Times New Roman" w:hAnsi="Times New Roman" w:cs="Times New Roman"/>
        </w:rPr>
        <w:t xml:space="preserve"> we believe this study </w:t>
      </w:r>
      <w:r>
        <w:rPr>
          <w:rFonts w:ascii="Times New Roman" w:eastAsia="Times New Roman" w:hAnsi="Times New Roman" w:cs="Times New Roman"/>
        </w:rPr>
        <w:t>contributes</w:t>
      </w:r>
      <w:r w:rsidR="00491C72">
        <w:rPr>
          <w:rFonts w:ascii="Times New Roman" w:eastAsia="Times New Roman" w:hAnsi="Times New Roman" w:cs="Times New Roman"/>
        </w:rPr>
        <w:t xml:space="preserve"> </w:t>
      </w:r>
      <w:r w:rsidR="00B778EF">
        <w:rPr>
          <w:rFonts w:ascii="Times New Roman" w:eastAsia="Times New Roman" w:hAnsi="Times New Roman" w:cs="Times New Roman"/>
        </w:rPr>
        <w:t xml:space="preserve">valuable </w:t>
      </w:r>
      <w:r w:rsidR="00491C72">
        <w:rPr>
          <w:rFonts w:ascii="Times New Roman" w:eastAsia="Times New Roman" w:hAnsi="Times New Roman" w:cs="Times New Roman"/>
        </w:rPr>
        <w:t xml:space="preserve">insights </w:t>
      </w:r>
      <w:r w:rsidR="00B778EF">
        <w:rPr>
          <w:rFonts w:ascii="Times New Roman" w:eastAsia="Times New Roman" w:hAnsi="Times New Roman" w:cs="Times New Roman"/>
        </w:rPr>
        <w:t>into the persistent</w:t>
      </w:r>
      <w:r w:rsidR="00491C72">
        <w:rPr>
          <w:rFonts w:ascii="Times New Roman" w:eastAsia="Times New Roman" w:hAnsi="Times New Roman" w:cs="Times New Roman"/>
        </w:rPr>
        <w:t xml:space="preserve"> racial and ethnic inequalities</w:t>
      </w:r>
      <w:r w:rsidR="00CD0F43">
        <w:rPr>
          <w:rFonts w:ascii="Times New Roman" w:eastAsia="Times New Roman" w:hAnsi="Times New Roman" w:cs="Times New Roman"/>
        </w:rPr>
        <w:t xml:space="preserve"> </w:t>
      </w:r>
      <w:r w:rsidR="00491C72">
        <w:rPr>
          <w:rFonts w:ascii="Times New Roman" w:eastAsia="Times New Roman" w:hAnsi="Times New Roman" w:cs="Times New Roman"/>
        </w:rPr>
        <w:t xml:space="preserve">in functional limitations among </w:t>
      </w:r>
      <w:r w:rsidR="00CD0F43">
        <w:rPr>
          <w:rFonts w:ascii="Times New Roman" w:eastAsia="Times New Roman" w:hAnsi="Times New Roman" w:cs="Times New Roman"/>
        </w:rPr>
        <w:t>aging American</w:t>
      </w:r>
      <w:r w:rsidR="00491C72">
        <w:rPr>
          <w:rFonts w:ascii="Times New Roman" w:eastAsia="Times New Roman" w:hAnsi="Times New Roman" w:cs="Times New Roman"/>
        </w:rPr>
        <w:t>s</w:t>
      </w:r>
      <w:r w:rsidR="00CA0A61">
        <w:rPr>
          <w:rFonts w:ascii="Times New Roman" w:eastAsia="Times New Roman" w:hAnsi="Times New Roman" w:cs="Times New Roman"/>
        </w:rPr>
        <w:t xml:space="preserve">, and mostly </w:t>
      </w:r>
      <w:r w:rsidR="00905C53">
        <w:rPr>
          <w:rFonts w:ascii="Times New Roman" w:eastAsia="Times New Roman" w:hAnsi="Times New Roman" w:cs="Times New Roman"/>
        </w:rPr>
        <w:t>against minority groups and younger cohorts</w:t>
      </w:r>
      <w:r w:rsidR="00B778EF">
        <w:rPr>
          <w:rFonts w:ascii="Times New Roman" w:eastAsia="Times New Roman" w:hAnsi="Times New Roman" w:cs="Times New Roman"/>
        </w:rPr>
        <w:t xml:space="preserve">. </w:t>
      </w:r>
      <w:r w:rsidR="001F646C">
        <w:rPr>
          <w:rFonts w:ascii="Times New Roman" w:eastAsia="Times New Roman" w:hAnsi="Times New Roman" w:cs="Times New Roman"/>
        </w:rPr>
        <w:t>The U.S. population is simultaneously aging and increasing in racial and ethnic diversity. O</w:t>
      </w:r>
      <w:r w:rsidR="00B778EF">
        <w:rPr>
          <w:rFonts w:ascii="Times New Roman" w:eastAsia="Times New Roman" w:hAnsi="Times New Roman" w:cs="Times New Roman"/>
        </w:rPr>
        <w:t>ur findings</w:t>
      </w:r>
      <w:r w:rsidR="00491C72">
        <w:rPr>
          <w:rFonts w:ascii="Times New Roman" w:eastAsia="Times New Roman" w:hAnsi="Times New Roman" w:cs="Times New Roman"/>
        </w:rPr>
        <w:t xml:space="preserve"> </w:t>
      </w:r>
      <w:r w:rsidR="001F646C">
        <w:rPr>
          <w:rFonts w:ascii="Times New Roman" w:eastAsia="Times New Roman" w:hAnsi="Times New Roman" w:cs="Times New Roman"/>
        </w:rPr>
        <w:t xml:space="preserve">can potentially </w:t>
      </w:r>
      <w:r w:rsidR="00B778EF">
        <w:rPr>
          <w:rFonts w:ascii="Times New Roman" w:eastAsia="Times New Roman" w:hAnsi="Times New Roman" w:cs="Times New Roman"/>
        </w:rPr>
        <w:t>inform</w:t>
      </w:r>
      <w:r w:rsidR="00491C72">
        <w:rPr>
          <w:rFonts w:ascii="Times New Roman" w:eastAsia="Times New Roman" w:hAnsi="Times New Roman" w:cs="Times New Roman"/>
        </w:rPr>
        <w:t xml:space="preserve"> policies </w:t>
      </w:r>
      <w:r w:rsidR="00B778EF">
        <w:rPr>
          <w:rFonts w:ascii="Times New Roman" w:eastAsia="Times New Roman" w:hAnsi="Times New Roman" w:cs="Times New Roman"/>
        </w:rPr>
        <w:t xml:space="preserve">aimed at </w:t>
      </w:r>
      <w:r w:rsidR="00491C72">
        <w:rPr>
          <w:rFonts w:ascii="Times New Roman" w:eastAsia="Times New Roman" w:hAnsi="Times New Roman" w:cs="Times New Roman"/>
        </w:rPr>
        <w:t>mitigat</w:t>
      </w:r>
      <w:r w:rsidR="00B778EF">
        <w:rPr>
          <w:rFonts w:ascii="Times New Roman" w:eastAsia="Times New Roman" w:hAnsi="Times New Roman" w:cs="Times New Roman"/>
        </w:rPr>
        <w:t>ing</w:t>
      </w:r>
      <w:r w:rsidR="00491C72">
        <w:rPr>
          <w:rFonts w:ascii="Times New Roman" w:eastAsia="Times New Roman" w:hAnsi="Times New Roman" w:cs="Times New Roman"/>
        </w:rPr>
        <w:t xml:space="preserve"> </w:t>
      </w:r>
      <w:r w:rsidR="00B778EF">
        <w:rPr>
          <w:rFonts w:ascii="Times New Roman" w:eastAsia="Times New Roman" w:hAnsi="Times New Roman" w:cs="Times New Roman"/>
        </w:rPr>
        <w:t>these disparities</w:t>
      </w:r>
      <w:r w:rsidR="00D0118B">
        <w:rPr>
          <w:rFonts w:ascii="Times New Roman" w:eastAsia="Times New Roman" w:hAnsi="Times New Roman" w:cs="Times New Roman"/>
        </w:rPr>
        <w:t xml:space="preserve"> </w:t>
      </w:r>
      <w:r w:rsidR="001C75E5">
        <w:rPr>
          <w:rFonts w:ascii="Times New Roman" w:eastAsia="Times New Roman" w:hAnsi="Times New Roman" w:cs="Times New Roman"/>
        </w:rPr>
        <w:t>and</w:t>
      </w:r>
      <w:r w:rsidR="00D0118B">
        <w:rPr>
          <w:rFonts w:ascii="Times New Roman" w:eastAsia="Times New Roman" w:hAnsi="Times New Roman" w:cs="Times New Roman"/>
        </w:rPr>
        <w:t xml:space="preserve"> </w:t>
      </w:r>
      <w:r w:rsidR="001C75E5">
        <w:rPr>
          <w:rFonts w:ascii="Times New Roman" w:eastAsia="Times New Roman" w:hAnsi="Times New Roman" w:cs="Times New Roman"/>
        </w:rPr>
        <w:t>improv</w:t>
      </w:r>
      <w:r w:rsidR="00B778EF">
        <w:rPr>
          <w:rFonts w:ascii="Times New Roman" w:eastAsia="Times New Roman" w:hAnsi="Times New Roman" w:cs="Times New Roman"/>
        </w:rPr>
        <w:t>ing</w:t>
      </w:r>
      <w:r w:rsidR="001C75E5">
        <w:rPr>
          <w:rFonts w:ascii="Times New Roman" w:eastAsia="Times New Roman" w:hAnsi="Times New Roman" w:cs="Times New Roman"/>
        </w:rPr>
        <w:t xml:space="preserve"> the wellbeing of </w:t>
      </w:r>
      <w:r w:rsidR="00B778EF">
        <w:rPr>
          <w:rFonts w:ascii="Times New Roman" w:eastAsia="Times New Roman" w:hAnsi="Times New Roman" w:cs="Times New Roman"/>
        </w:rPr>
        <w:t>the increasingly diver</w:t>
      </w:r>
      <w:r w:rsidR="001F646C">
        <w:rPr>
          <w:rFonts w:ascii="Times New Roman" w:eastAsia="Times New Roman" w:hAnsi="Times New Roman" w:cs="Times New Roman"/>
        </w:rPr>
        <w:t xml:space="preserve">se </w:t>
      </w:r>
      <w:r w:rsidR="001C75E5">
        <w:rPr>
          <w:rFonts w:ascii="Times New Roman" w:eastAsia="Times New Roman" w:hAnsi="Times New Roman" w:cs="Times New Roman"/>
        </w:rPr>
        <w:t>population</w:t>
      </w:r>
      <w:r w:rsidR="001F646C">
        <w:rPr>
          <w:rFonts w:ascii="Times New Roman" w:eastAsia="Times New Roman" w:hAnsi="Times New Roman" w:cs="Times New Roman"/>
        </w:rPr>
        <w:t xml:space="preserve"> aged 50 and older</w:t>
      </w:r>
      <w:r w:rsidR="001C75E5">
        <w:rPr>
          <w:rFonts w:ascii="Times New Roman" w:eastAsia="Times New Roman" w:hAnsi="Times New Roman" w:cs="Times New Roman"/>
        </w:rPr>
        <w:t xml:space="preserve">. </w:t>
      </w:r>
    </w:p>
    <w:p w14:paraId="14D39B48" w14:textId="2E4EE478" w:rsidR="002D5AEF" w:rsidRPr="00EF0DEE" w:rsidRDefault="002D5AEF" w:rsidP="67C8E18F">
      <w:pPr>
        <w:spacing w:line="257" w:lineRule="auto"/>
        <w:rPr>
          <w:b/>
          <w:bCs/>
        </w:rPr>
      </w:pPr>
    </w:p>
    <w:p w14:paraId="1CE8F0D6" w14:textId="77777777" w:rsidR="00E5399C" w:rsidRDefault="7D4FDF97" w:rsidP="00E5399C">
      <w:pPr>
        <w:spacing w:line="257" w:lineRule="auto"/>
        <w:rPr>
          <w:rFonts w:ascii="Times New Roman" w:eastAsia="Times New Roman" w:hAnsi="Times New Roman" w:cs="Times New Roman"/>
          <w:b/>
          <w:bCs/>
        </w:rPr>
      </w:pPr>
      <w:proofErr w:type="spellStart"/>
      <w:r w:rsidRPr="00EF0DEE">
        <w:rPr>
          <w:rFonts w:ascii="Times New Roman" w:eastAsia="Times New Roman" w:hAnsi="Times New Roman" w:cs="Times New Roman"/>
          <w:b/>
          <w:bCs/>
        </w:rPr>
        <w:t>Bilbiographic</w:t>
      </w:r>
      <w:proofErr w:type="spellEnd"/>
      <w:r w:rsidRPr="00EF0DEE">
        <w:rPr>
          <w:rFonts w:ascii="Times New Roman" w:eastAsia="Times New Roman" w:hAnsi="Times New Roman" w:cs="Times New Roman"/>
          <w:b/>
          <w:bCs/>
        </w:rPr>
        <w:t xml:space="preserve"> References</w:t>
      </w:r>
    </w:p>
    <w:p w14:paraId="3AD2BAC3" w14:textId="77777777" w:rsidR="00E5399C" w:rsidRDefault="00E5399C" w:rsidP="00E5399C">
      <w:pPr>
        <w:spacing w:line="257" w:lineRule="auto"/>
        <w:rPr>
          <w:rFonts w:ascii="Calibri" w:eastAsia="Calibri" w:hAnsi="Calibri" w:cs="Calibri"/>
          <w:sz w:val="22"/>
          <w:szCs w:val="22"/>
        </w:rPr>
      </w:pPr>
    </w:p>
    <w:p w14:paraId="357A79D0" w14:textId="77777777" w:rsidR="007F4239" w:rsidRPr="007F4239" w:rsidRDefault="00E5399C" w:rsidP="007F4239">
      <w:pPr>
        <w:pStyle w:val="Bibliography"/>
        <w:rPr>
          <w:rFonts w:ascii="Times New Roman" w:hAnsi="Times New Roman" w:cs="Times New Roman"/>
        </w:rPr>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7F4239" w:rsidRPr="007F4239">
        <w:rPr>
          <w:rFonts w:ascii="Times New Roman" w:hAnsi="Times New Roman" w:cs="Times New Roman"/>
        </w:rPr>
        <w:t xml:space="preserve">Abraído-Lanza, A. F., Dohrenwend, B. P., Ng-Mak, D. S., &amp; Turner, J. B. (1999). The Latino mortality paradox: A test of the «salmon bias» and healthy migrant hypotheses. </w:t>
      </w:r>
      <w:r w:rsidR="007F4239" w:rsidRPr="007F4239">
        <w:rPr>
          <w:rFonts w:ascii="Times New Roman" w:hAnsi="Times New Roman" w:cs="Times New Roman"/>
          <w:i/>
          <w:iCs/>
        </w:rPr>
        <w:t>American Journal of Public Health</w:t>
      </w:r>
      <w:r w:rsidR="007F4239" w:rsidRPr="007F4239">
        <w:rPr>
          <w:rFonts w:ascii="Times New Roman" w:hAnsi="Times New Roman" w:cs="Times New Roman"/>
        </w:rPr>
        <w:t xml:space="preserve">, </w:t>
      </w:r>
      <w:r w:rsidR="007F4239" w:rsidRPr="007F4239">
        <w:rPr>
          <w:rFonts w:ascii="Times New Roman" w:hAnsi="Times New Roman" w:cs="Times New Roman"/>
          <w:i/>
          <w:iCs/>
        </w:rPr>
        <w:t>89</w:t>
      </w:r>
      <w:r w:rsidR="007F4239" w:rsidRPr="007F4239">
        <w:rPr>
          <w:rFonts w:ascii="Times New Roman" w:hAnsi="Times New Roman" w:cs="Times New Roman"/>
        </w:rPr>
        <w:t>(10), 1543-1548.</w:t>
      </w:r>
    </w:p>
    <w:p w14:paraId="369FECEB"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Akresh, I. R., &amp; Frank, R. (2008). Health selection among new immigrants. </w:t>
      </w:r>
      <w:r w:rsidRPr="007F4239">
        <w:rPr>
          <w:rFonts w:ascii="Times New Roman" w:hAnsi="Times New Roman" w:cs="Times New Roman"/>
          <w:i/>
          <w:iCs/>
        </w:rPr>
        <w:t>American Journal of Public Health</w:t>
      </w:r>
      <w:r w:rsidRPr="007F4239">
        <w:rPr>
          <w:rFonts w:ascii="Times New Roman" w:hAnsi="Times New Roman" w:cs="Times New Roman"/>
        </w:rPr>
        <w:t xml:space="preserve">, </w:t>
      </w:r>
      <w:r w:rsidRPr="007F4239">
        <w:rPr>
          <w:rFonts w:ascii="Times New Roman" w:hAnsi="Times New Roman" w:cs="Times New Roman"/>
          <w:i/>
          <w:iCs/>
        </w:rPr>
        <w:t>98</w:t>
      </w:r>
      <w:r w:rsidRPr="007F4239">
        <w:rPr>
          <w:rFonts w:ascii="Times New Roman" w:hAnsi="Times New Roman" w:cs="Times New Roman"/>
        </w:rPr>
        <w:t>(11), 2058-2064. https://doi.org/10.2105/AJPH.2006.100974</w:t>
      </w:r>
    </w:p>
    <w:p w14:paraId="3050C15F"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Berger, N., Van der Heyden, J., &amp; Van Oyen, H. (2015). The global activity limitation indicator and self-rated health: Two complementary predictors of mortality. </w:t>
      </w:r>
      <w:r w:rsidRPr="007F4239">
        <w:rPr>
          <w:rFonts w:ascii="Times New Roman" w:hAnsi="Times New Roman" w:cs="Times New Roman"/>
          <w:i/>
          <w:iCs/>
        </w:rPr>
        <w:t>Archives of Public Health</w:t>
      </w:r>
      <w:r w:rsidRPr="007F4239">
        <w:rPr>
          <w:rFonts w:ascii="Times New Roman" w:hAnsi="Times New Roman" w:cs="Times New Roman"/>
        </w:rPr>
        <w:t xml:space="preserve">, </w:t>
      </w:r>
      <w:r w:rsidRPr="007F4239">
        <w:rPr>
          <w:rFonts w:ascii="Times New Roman" w:hAnsi="Times New Roman" w:cs="Times New Roman"/>
          <w:i/>
          <w:iCs/>
        </w:rPr>
        <w:t>73</w:t>
      </w:r>
      <w:r w:rsidRPr="007F4239">
        <w:rPr>
          <w:rFonts w:ascii="Times New Roman" w:hAnsi="Times New Roman" w:cs="Times New Roman"/>
        </w:rPr>
        <w:t>(1), 25. https://doi.org/10.1186/s13690-015-0073-0</w:t>
      </w:r>
    </w:p>
    <w:p w14:paraId="251736B9"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Borrell, L. N. (2006). Self-reported hypertension and race among Hispanics in the National Health Interview Survey. </w:t>
      </w:r>
      <w:r w:rsidRPr="007F4239">
        <w:rPr>
          <w:rFonts w:ascii="Times New Roman" w:hAnsi="Times New Roman" w:cs="Times New Roman"/>
          <w:i/>
          <w:iCs/>
        </w:rPr>
        <w:t>Ethnicity &amp; Disease</w:t>
      </w:r>
      <w:r w:rsidRPr="007F4239">
        <w:rPr>
          <w:rFonts w:ascii="Times New Roman" w:hAnsi="Times New Roman" w:cs="Times New Roman"/>
        </w:rPr>
        <w:t xml:space="preserve">, </w:t>
      </w:r>
      <w:r w:rsidRPr="007F4239">
        <w:rPr>
          <w:rFonts w:ascii="Times New Roman" w:hAnsi="Times New Roman" w:cs="Times New Roman"/>
          <w:i/>
          <w:iCs/>
        </w:rPr>
        <w:t>16</w:t>
      </w:r>
      <w:r w:rsidRPr="007F4239">
        <w:rPr>
          <w:rFonts w:ascii="Times New Roman" w:hAnsi="Times New Roman" w:cs="Times New Roman"/>
        </w:rPr>
        <w:t>(1), Article 1.</w:t>
      </w:r>
    </w:p>
    <w:p w14:paraId="069B2F8D"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Case, A., &amp; Deaton, A. (2015). Rising morbidity and mortality in midlife among white non-Hispanic Americans in the 21st century. </w:t>
      </w:r>
      <w:r w:rsidRPr="007F4239">
        <w:rPr>
          <w:rFonts w:ascii="Times New Roman" w:hAnsi="Times New Roman" w:cs="Times New Roman"/>
          <w:i/>
          <w:iCs/>
        </w:rPr>
        <w:t xml:space="preserve">Proceedings of the National Academy of </w:t>
      </w:r>
      <w:r w:rsidRPr="007F4239">
        <w:rPr>
          <w:rFonts w:ascii="Times New Roman" w:hAnsi="Times New Roman" w:cs="Times New Roman"/>
          <w:i/>
          <w:iCs/>
        </w:rPr>
        <w:lastRenderedPageBreak/>
        <w:t>Sciences of the United States of America</w:t>
      </w:r>
      <w:r w:rsidRPr="007F4239">
        <w:rPr>
          <w:rFonts w:ascii="Times New Roman" w:hAnsi="Times New Roman" w:cs="Times New Roman"/>
        </w:rPr>
        <w:t xml:space="preserve">, </w:t>
      </w:r>
      <w:r w:rsidRPr="007F4239">
        <w:rPr>
          <w:rFonts w:ascii="Times New Roman" w:hAnsi="Times New Roman" w:cs="Times New Roman"/>
          <w:i/>
          <w:iCs/>
        </w:rPr>
        <w:t>112</w:t>
      </w:r>
      <w:r w:rsidRPr="007F4239">
        <w:rPr>
          <w:rFonts w:ascii="Times New Roman" w:hAnsi="Times New Roman" w:cs="Times New Roman"/>
        </w:rPr>
        <w:t>(49), 15078-15083. https://doi.org/10.1073/pnas.1518393112</w:t>
      </w:r>
    </w:p>
    <w:p w14:paraId="0A7BED9F"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Case, A., &amp; Deaton, A. (2017). Mortality and morbidity in the 21st century. </w:t>
      </w:r>
      <w:r w:rsidRPr="007F4239">
        <w:rPr>
          <w:rFonts w:ascii="Times New Roman" w:hAnsi="Times New Roman" w:cs="Times New Roman"/>
          <w:i/>
          <w:iCs/>
        </w:rPr>
        <w:t>Brookings Papers on Economic Activity</w:t>
      </w:r>
      <w:r w:rsidRPr="007F4239">
        <w:rPr>
          <w:rFonts w:ascii="Times New Roman" w:hAnsi="Times New Roman" w:cs="Times New Roman"/>
        </w:rPr>
        <w:t xml:space="preserve">, </w:t>
      </w:r>
      <w:r w:rsidRPr="007F4239">
        <w:rPr>
          <w:rFonts w:ascii="Times New Roman" w:hAnsi="Times New Roman" w:cs="Times New Roman"/>
          <w:i/>
          <w:iCs/>
        </w:rPr>
        <w:t>2017</w:t>
      </w:r>
      <w:r w:rsidRPr="007F4239">
        <w:rPr>
          <w:rFonts w:ascii="Times New Roman" w:hAnsi="Times New Roman" w:cs="Times New Roman"/>
        </w:rPr>
        <w:t>(Spring), 397-476. https://doi.org/10.1353/eca.2017.0005</w:t>
      </w:r>
    </w:p>
    <w:p w14:paraId="4F57A57B"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Chinn, J. J., &amp; Hummer, R. A. (2016). Racial Disparities in Functional Limitations Among Hispanic Women in the United States. </w:t>
      </w:r>
      <w:r w:rsidRPr="007F4239">
        <w:rPr>
          <w:rFonts w:ascii="Times New Roman" w:hAnsi="Times New Roman" w:cs="Times New Roman"/>
          <w:i/>
          <w:iCs/>
        </w:rPr>
        <w:t>Research on Aging</w:t>
      </w:r>
      <w:r w:rsidRPr="007F4239">
        <w:rPr>
          <w:rFonts w:ascii="Times New Roman" w:hAnsi="Times New Roman" w:cs="Times New Roman"/>
        </w:rPr>
        <w:t xml:space="preserve">, </w:t>
      </w:r>
      <w:r w:rsidRPr="007F4239">
        <w:rPr>
          <w:rFonts w:ascii="Times New Roman" w:hAnsi="Times New Roman" w:cs="Times New Roman"/>
          <w:i/>
          <w:iCs/>
        </w:rPr>
        <w:t>38</w:t>
      </w:r>
      <w:r w:rsidRPr="007F4239">
        <w:rPr>
          <w:rFonts w:ascii="Times New Roman" w:hAnsi="Times New Roman" w:cs="Times New Roman"/>
        </w:rPr>
        <w:t>(3), Article 3. https://doi.org/10.1177/0164027515620244</w:t>
      </w:r>
    </w:p>
    <w:p w14:paraId="70744CC7"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Di Lego, V., Di Giulio, P., &amp; Luy, M. (2020). Gender Differences in Healthy and Unhealthy Life Expectancy. </w:t>
      </w:r>
      <w:r w:rsidRPr="007F4239">
        <w:rPr>
          <w:rFonts w:ascii="Times New Roman" w:hAnsi="Times New Roman" w:cs="Times New Roman"/>
          <w:i/>
          <w:iCs/>
        </w:rPr>
        <w:t>International Handbooks of Population</w:t>
      </w:r>
      <w:r w:rsidRPr="007F4239">
        <w:rPr>
          <w:rFonts w:ascii="Times New Roman" w:hAnsi="Times New Roman" w:cs="Times New Roman"/>
        </w:rPr>
        <w:t xml:space="preserve">, </w:t>
      </w:r>
      <w:r w:rsidRPr="007F4239">
        <w:rPr>
          <w:rFonts w:ascii="Times New Roman" w:hAnsi="Times New Roman" w:cs="Times New Roman"/>
          <w:i/>
          <w:iCs/>
        </w:rPr>
        <w:t>9</w:t>
      </w:r>
      <w:r w:rsidRPr="007F4239">
        <w:rPr>
          <w:rFonts w:ascii="Times New Roman" w:hAnsi="Times New Roman" w:cs="Times New Roman"/>
        </w:rPr>
        <w:t>, 151-172. https://doi.org/10.1007/978-3-030-37668-0_11</w:t>
      </w:r>
    </w:p>
    <w:p w14:paraId="38B25A1E"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Edemekong, P. F., Bomgaars, D. L., Sukumaran, S., &amp; Schoo, C. (2023). Activities of Daily Living. En </w:t>
      </w:r>
      <w:r w:rsidRPr="007F4239">
        <w:rPr>
          <w:rFonts w:ascii="Times New Roman" w:hAnsi="Times New Roman" w:cs="Times New Roman"/>
          <w:i/>
          <w:iCs/>
        </w:rPr>
        <w:t>StatPearls</w:t>
      </w:r>
      <w:r w:rsidRPr="007F4239">
        <w:rPr>
          <w:rFonts w:ascii="Times New Roman" w:hAnsi="Times New Roman" w:cs="Times New Roman"/>
        </w:rPr>
        <w:t>. StatPearls Publishing. http://www.ncbi.nlm.nih.gov/books/NBK470404/</w:t>
      </w:r>
    </w:p>
    <w:p w14:paraId="2D37F310" w14:textId="77777777" w:rsidR="007F4239" w:rsidRPr="007F4239" w:rsidRDefault="007F4239" w:rsidP="007F4239">
      <w:pPr>
        <w:pStyle w:val="Bibliography"/>
        <w:rPr>
          <w:rFonts w:ascii="Times New Roman" w:hAnsi="Times New Roman" w:cs="Times New Roman"/>
        </w:rPr>
      </w:pPr>
      <w:r w:rsidRPr="00EA2CF4">
        <w:rPr>
          <w:rFonts w:ascii="Times New Roman" w:hAnsi="Times New Roman" w:cs="Times New Roman"/>
          <w:lang w:val="es-AR"/>
        </w:rPr>
        <w:t xml:space="preserve">Frasquilho, D., Matos, M. G., Salonna, F., Guerreiro, D., Storti, C. C., Gaspar, T., &amp; Caldas-De-Almeida, J. M. (2016). </w:t>
      </w:r>
      <w:r w:rsidRPr="007F4239">
        <w:rPr>
          <w:rFonts w:ascii="Times New Roman" w:hAnsi="Times New Roman" w:cs="Times New Roman"/>
        </w:rPr>
        <w:t xml:space="preserve">Mental health outcomes in times of economic recession: A systematic literature review Health behavior, health promotion and society. </w:t>
      </w:r>
      <w:r w:rsidRPr="007F4239">
        <w:rPr>
          <w:rFonts w:ascii="Times New Roman" w:hAnsi="Times New Roman" w:cs="Times New Roman"/>
          <w:i/>
          <w:iCs/>
        </w:rPr>
        <w:t>BMC Public Health</w:t>
      </w:r>
      <w:r w:rsidRPr="007F4239">
        <w:rPr>
          <w:rFonts w:ascii="Times New Roman" w:hAnsi="Times New Roman" w:cs="Times New Roman"/>
        </w:rPr>
        <w:t xml:space="preserve">, </w:t>
      </w:r>
      <w:r w:rsidRPr="007F4239">
        <w:rPr>
          <w:rFonts w:ascii="Times New Roman" w:hAnsi="Times New Roman" w:cs="Times New Roman"/>
          <w:i/>
          <w:iCs/>
        </w:rPr>
        <w:t>16</w:t>
      </w:r>
      <w:r w:rsidRPr="007F4239">
        <w:rPr>
          <w:rFonts w:ascii="Times New Roman" w:hAnsi="Times New Roman" w:cs="Times New Roman"/>
        </w:rPr>
        <w:t>(1). https://doi.org/10.1186/s12889-016-2720-y</w:t>
      </w:r>
    </w:p>
    <w:p w14:paraId="56746F33"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Freedman, V. A., Martin, L. G., &amp; Schoeni, R. F. (2002). Recent trends in disability and functioning among older adults in the United States: A systematic review. </w:t>
      </w:r>
      <w:r w:rsidRPr="007F4239">
        <w:rPr>
          <w:rFonts w:ascii="Times New Roman" w:hAnsi="Times New Roman" w:cs="Times New Roman"/>
          <w:i/>
          <w:iCs/>
        </w:rPr>
        <w:t>JAMA</w:t>
      </w:r>
      <w:r w:rsidRPr="007F4239">
        <w:rPr>
          <w:rFonts w:ascii="Times New Roman" w:hAnsi="Times New Roman" w:cs="Times New Roman"/>
        </w:rPr>
        <w:t xml:space="preserve">, </w:t>
      </w:r>
      <w:r w:rsidRPr="007F4239">
        <w:rPr>
          <w:rFonts w:ascii="Times New Roman" w:hAnsi="Times New Roman" w:cs="Times New Roman"/>
          <w:i/>
          <w:iCs/>
        </w:rPr>
        <w:t>288</w:t>
      </w:r>
      <w:r w:rsidRPr="007F4239">
        <w:rPr>
          <w:rFonts w:ascii="Times New Roman" w:hAnsi="Times New Roman" w:cs="Times New Roman"/>
        </w:rPr>
        <w:t>(24), 3137-3146. https://doi.org/10.1001/jama.288.24.3137</w:t>
      </w:r>
    </w:p>
    <w:p w14:paraId="4BDACED2"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Freedman, V. A., Spillman, B. C., Andreski, P. M., Cornman, J. C., Crimmins, E. M., Kramarow, E., Lubitz, J., Martin, L. G., Merkin, S. S., Schoeni, R. F., Seeman, T. E., &amp; Waidmann, T. A. (2013). Trends in Late-Life Activity Limitations in the United States: </w:t>
      </w:r>
      <w:r w:rsidRPr="007F4239">
        <w:rPr>
          <w:rFonts w:ascii="Times New Roman" w:hAnsi="Times New Roman" w:cs="Times New Roman"/>
        </w:rPr>
        <w:lastRenderedPageBreak/>
        <w:t xml:space="preserve">An Update From Five National Surveys. </w:t>
      </w:r>
      <w:r w:rsidRPr="007F4239">
        <w:rPr>
          <w:rFonts w:ascii="Times New Roman" w:hAnsi="Times New Roman" w:cs="Times New Roman"/>
          <w:i/>
          <w:iCs/>
        </w:rPr>
        <w:t>Demography</w:t>
      </w:r>
      <w:r w:rsidRPr="007F4239">
        <w:rPr>
          <w:rFonts w:ascii="Times New Roman" w:hAnsi="Times New Roman" w:cs="Times New Roman"/>
        </w:rPr>
        <w:t xml:space="preserve">, </w:t>
      </w:r>
      <w:r w:rsidRPr="007F4239">
        <w:rPr>
          <w:rFonts w:ascii="Times New Roman" w:hAnsi="Times New Roman" w:cs="Times New Roman"/>
          <w:i/>
          <w:iCs/>
        </w:rPr>
        <w:t>50</w:t>
      </w:r>
      <w:r w:rsidRPr="007F4239">
        <w:rPr>
          <w:rFonts w:ascii="Times New Roman" w:hAnsi="Times New Roman" w:cs="Times New Roman"/>
        </w:rPr>
        <w:t>(2), 661-671. https://doi.org/10.1007/s13524-012-0167-z</w:t>
      </w:r>
    </w:p>
    <w:p w14:paraId="243D1938"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Goyat, R., Vyas, A., &amp; Sambamoorthi, U. (2016). Racial/Ethnic Disparities in Disability Prevalence. </w:t>
      </w:r>
      <w:r w:rsidRPr="007F4239">
        <w:rPr>
          <w:rFonts w:ascii="Times New Roman" w:hAnsi="Times New Roman" w:cs="Times New Roman"/>
          <w:i/>
          <w:iCs/>
        </w:rPr>
        <w:t>Journal of Racial and Ethnic Health Disparities</w:t>
      </w:r>
      <w:r w:rsidRPr="007F4239">
        <w:rPr>
          <w:rFonts w:ascii="Times New Roman" w:hAnsi="Times New Roman" w:cs="Times New Roman"/>
        </w:rPr>
        <w:t xml:space="preserve">, </w:t>
      </w:r>
      <w:r w:rsidRPr="007F4239">
        <w:rPr>
          <w:rFonts w:ascii="Times New Roman" w:hAnsi="Times New Roman" w:cs="Times New Roman"/>
          <w:i/>
          <w:iCs/>
        </w:rPr>
        <w:t>3</w:t>
      </w:r>
      <w:r w:rsidRPr="007F4239">
        <w:rPr>
          <w:rFonts w:ascii="Times New Roman" w:hAnsi="Times New Roman" w:cs="Times New Roman"/>
        </w:rPr>
        <w:t>(4), Article 4. https://doi.org/10.1007/s40615-015-0182-z</w:t>
      </w:r>
    </w:p>
    <w:p w14:paraId="56FD4565" w14:textId="77777777" w:rsidR="007F4239" w:rsidRPr="007F4239" w:rsidRDefault="007F4239" w:rsidP="007F4239">
      <w:pPr>
        <w:pStyle w:val="Bibliography"/>
        <w:rPr>
          <w:rFonts w:ascii="Times New Roman" w:hAnsi="Times New Roman" w:cs="Times New Roman"/>
        </w:rPr>
      </w:pPr>
      <w:r w:rsidRPr="00EA2CF4">
        <w:rPr>
          <w:rFonts w:ascii="Times New Roman" w:hAnsi="Times New Roman" w:cs="Times New Roman"/>
          <w:lang w:val="es-AR"/>
        </w:rPr>
        <w:t xml:space="preserve">Hayward, M. D., Hummer, R. A., Chiu, C.-T., González-González, C., &amp; Wong, R. (2014). </w:t>
      </w:r>
      <w:r w:rsidRPr="007F4239">
        <w:rPr>
          <w:rFonts w:ascii="Times New Roman" w:hAnsi="Times New Roman" w:cs="Times New Roman"/>
        </w:rPr>
        <w:t xml:space="preserve">Does the Hispanic Paradox in U.S. Adult Mortality Extend to Disability? </w:t>
      </w:r>
      <w:r w:rsidRPr="007F4239">
        <w:rPr>
          <w:rFonts w:ascii="Times New Roman" w:hAnsi="Times New Roman" w:cs="Times New Roman"/>
          <w:i/>
          <w:iCs/>
        </w:rPr>
        <w:t>Population Research and Policy Review</w:t>
      </w:r>
      <w:r w:rsidRPr="007F4239">
        <w:rPr>
          <w:rFonts w:ascii="Times New Roman" w:hAnsi="Times New Roman" w:cs="Times New Roman"/>
        </w:rPr>
        <w:t xml:space="preserve">, </w:t>
      </w:r>
      <w:r w:rsidRPr="007F4239">
        <w:rPr>
          <w:rFonts w:ascii="Times New Roman" w:hAnsi="Times New Roman" w:cs="Times New Roman"/>
          <w:i/>
          <w:iCs/>
        </w:rPr>
        <w:t>33</w:t>
      </w:r>
      <w:r w:rsidRPr="007F4239">
        <w:rPr>
          <w:rFonts w:ascii="Times New Roman" w:hAnsi="Times New Roman" w:cs="Times New Roman"/>
        </w:rPr>
        <w:t>(1), 81-96. https://doi.org/10.1007/s11113-013-9312-7</w:t>
      </w:r>
    </w:p>
    <w:p w14:paraId="4D5C1B8B"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Katz, S. (1983). Assessing self-maintenance: Activities of daily living, mobility, and instrumental activities of daily living. </w:t>
      </w:r>
      <w:r w:rsidRPr="007F4239">
        <w:rPr>
          <w:rFonts w:ascii="Times New Roman" w:hAnsi="Times New Roman" w:cs="Times New Roman"/>
          <w:i/>
          <w:iCs/>
        </w:rPr>
        <w:t>Journal of the American Geriatrics Society</w:t>
      </w:r>
      <w:r w:rsidRPr="007F4239">
        <w:rPr>
          <w:rFonts w:ascii="Times New Roman" w:hAnsi="Times New Roman" w:cs="Times New Roman"/>
        </w:rPr>
        <w:t xml:space="preserve">, </w:t>
      </w:r>
      <w:r w:rsidRPr="007F4239">
        <w:rPr>
          <w:rFonts w:ascii="Times New Roman" w:hAnsi="Times New Roman" w:cs="Times New Roman"/>
          <w:i/>
          <w:iCs/>
        </w:rPr>
        <w:t>31</w:t>
      </w:r>
      <w:r w:rsidRPr="007F4239">
        <w:rPr>
          <w:rFonts w:ascii="Times New Roman" w:hAnsi="Times New Roman" w:cs="Times New Roman"/>
        </w:rPr>
        <w:t>(12), 721-727. https://doi.org/10.1111/j.1532-5415.1983.tb03391.x</w:t>
      </w:r>
    </w:p>
    <w:p w14:paraId="619973E4"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Lakdawalla, D. N., Bhattacharya, J., &amp; Goldman, D. P. (2004). Are The Young Becoming More Disabled? </w:t>
      </w:r>
      <w:r w:rsidRPr="007F4239">
        <w:rPr>
          <w:rFonts w:ascii="Times New Roman" w:hAnsi="Times New Roman" w:cs="Times New Roman"/>
          <w:i/>
          <w:iCs/>
        </w:rPr>
        <w:t>Health Affairs</w:t>
      </w:r>
      <w:r w:rsidRPr="007F4239">
        <w:rPr>
          <w:rFonts w:ascii="Times New Roman" w:hAnsi="Times New Roman" w:cs="Times New Roman"/>
        </w:rPr>
        <w:t xml:space="preserve">, </w:t>
      </w:r>
      <w:r w:rsidRPr="007F4239">
        <w:rPr>
          <w:rFonts w:ascii="Times New Roman" w:hAnsi="Times New Roman" w:cs="Times New Roman"/>
          <w:i/>
          <w:iCs/>
        </w:rPr>
        <w:t>23</w:t>
      </w:r>
      <w:r w:rsidRPr="007F4239">
        <w:rPr>
          <w:rFonts w:ascii="Times New Roman" w:hAnsi="Times New Roman" w:cs="Times New Roman"/>
        </w:rPr>
        <w:t>(1), 168-176. https://doi.org/10.1377/hlthaff.23.1.168</w:t>
      </w:r>
    </w:p>
    <w:p w14:paraId="56FFEE35"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Mahajan, S., Caraballo, C., Lu, Y., Valero-Elizondo, J., Massey, D., Annapureddy, A. R., Roy, B., Riley, C., Murugiah, K., Onuma, O., Nunez-Smith, M., Forman, H. P., Nasir, K., Herrin, J., &amp; Krumholz, H. M. (2021). Trends in Differences in Health Status and Health Care Access and Affordability by Race and Ethnicity in the United States, 1999-2018. </w:t>
      </w:r>
      <w:r w:rsidRPr="007F4239">
        <w:rPr>
          <w:rFonts w:ascii="Times New Roman" w:hAnsi="Times New Roman" w:cs="Times New Roman"/>
          <w:i/>
          <w:iCs/>
        </w:rPr>
        <w:t>JAMA</w:t>
      </w:r>
      <w:r w:rsidRPr="007F4239">
        <w:rPr>
          <w:rFonts w:ascii="Times New Roman" w:hAnsi="Times New Roman" w:cs="Times New Roman"/>
        </w:rPr>
        <w:t xml:space="preserve">, </w:t>
      </w:r>
      <w:r w:rsidRPr="007F4239">
        <w:rPr>
          <w:rFonts w:ascii="Times New Roman" w:hAnsi="Times New Roman" w:cs="Times New Roman"/>
          <w:i/>
          <w:iCs/>
        </w:rPr>
        <w:t>326</w:t>
      </w:r>
      <w:r w:rsidRPr="007F4239">
        <w:rPr>
          <w:rFonts w:ascii="Times New Roman" w:hAnsi="Times New Roman" w:cs="Times New Roman"/>
        </w:rPr>
        <w:t>(7), Article 7. https://doi.org/10.1001/jama.2021.9907</w:t>
      </w:r>
    </w:p>
    <w:p w14:paraId="3362552D"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Martin, L. G., Freedman, V. A., Schoeni, R. F., &amp; Andreski, P. M. (2010). Trends in disability and related chronic conditions among people ages fifty to sixty-four. </w:t>
      </w:r>
      <w:r w:rsidRPr="007F4239">
        <w:rPr>
          <w:rFonts w:ascii="Times New Roman" w:hAnsi="Times New Roman" w:cs="Times New Roman"/>
          <w:i/>
          <w:iCs/>
        </w:rPr>
        <w:t>Health Affairs (Project Hope)</w:t>
      </w:r>
      <w:r w:rsidRPr="007F4239">
        <w:rPr>
          <w:rFonts w:ascii="Times New Roman" w:hAnsi="Times New Roman" w:cs="Times New Roman"/>
        </w:rPr>
        <w:t xml:space="preserve">, </w:t>
      </w:r>
      <w:r w:rsidRPr="007F4239">
        <w:rPr>
          <w:rFonts w:ascii="Times New Roman" w:hAnsi="Times New Roman" w:cs="Times New Roman"/>
          <w:i/>
          <w:iCs/>
        </w:rPr>
        <w:t>29</w:t>
      </w:r>
      <w:r w:rsidRPr="007F4239">
        <w:rPr>
          <w:rFonts w:ascii="Times New Roman" w:hAnsi="Times New Roman" w:cs="Times New Roman"/>
        </w:rPr>
        <w:t>(4), 725-731. https://doi.org/10.1377/hlthaff.2008.0746</w:t>
      </w:r>
    </w:p>
    <w:p w14:paraId="5E6A64BB"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lastRenderedPageBreak/>
        <w:t xml:space="preserve">Martin, L. G., Schoeni, R. F., &amp; Andreski, P. M. (2010). Trends in health of older adults in the United States: Past, present, future. </w:t>
      </w:r>
      <w:r w:rsidRPr="007F4239">
        <w:rPr>
          <w:rFonts w:ascii="Times New Roman" w:hAnsi="Times New Roman" w:cs="Times New Roman"/>
          <w:i/>
          <w:iCs/>
        </w:rPr>
        <w:t>Demography</w:t>
      </w:r>
      <w:r w:rsidRPr="007F4239">
        <w:rPr>
          <w:rFonts w:ascii="Times New Roman" w:hAnsi="Times New Roman" w:cs="Times New Roman"/>
        </w:rPr>
        <w:t xml:space="preserve">, </w:t>
      </w:r>
      <w:r w:rsidRPr="007F4239">
        <w:rPr>
          <w:rFonts w:ascii="Times New Roman" w:hAnsi="Times New Roman" w:cs="Times New Roman"/>
          <w:i/>
          <w:iCs/>
        </w:rPr>
        <w:t>47 Suppl</w:t>
      </w:r>
      <w:r w:rsidRPr="007F4239">
        <w:rPr>
          <w:rFonts w:ascii="Times New Roman" w:hAnsi="Times New Roman" w:cs="Times New Roman"/>
        </w:rPr>
        <w:t>(Suppl 1), S17-40. https://doi.org/10.1353/dem.2010.0003</w:t>
      </w:r>
    </w:p>
    <w:p w14:paraId="32A73B6B"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McAlpine, D. D., McCreedy, E., &amp; Alang, S. (2018). The Meaning and Predictive Value of Self-rated Mental Health among Persons with a Mental Health Problem. </w:t>
      </w:r>
      <w:r w:rsidRPr="007F4239">
        <w:rPr>
          <w:rFonts w:ascii="Times New Roman" w:hAnsi="Times New Roman" w:cs="Times New Roman"/>
          <w:i/>
          <w:iCs/>
        </w:rPr>
        <w:t>Journal of Health and Social Behavior</w:t>
      </w:r>
      <w:r w:rsidRPr="007F4239">
        <w:rPr>
          <w:rFonts w:ascii="Times New Roman" w:hAnsi="Times New Roman" w:cs="Times New Roman"/>
        </w:rPr>
        <w:t xml:space="preserve">, </w:t>
      </w:r>
      <w:r w:rsidRPr="007F4239">
        <w:rPr>
          <w:rFonts w:ascii="Times New Roman" w:hAnsi="Times New Roman" w:cs="Times New Roman"/>
          <w:i/>
          <w:iCs/>
        </w:rPr>
        <w:t>59</w:t>
      </w:r>
      <w:r w:rsidRPr="007F4239">
        <w:rPr>
          <w:rFonts w:ascii="Times New Roman" w:hAnsi="Times New Roman" w:cs="Times New Roman"/>
        </w:rPr>
        <w:t>(2), 200-214. https://doi.org/10.1177/0022146518755485</w:t>
      </w:r>
    </w:p>
    <w:p w14:paraId="549F3769"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Melvin, J., Hummer, R. A., Elo, I. T., &amp; Mehta, N. (2014). Age patterns of racial/ethnic/nativity differences in disability and physical functioning in the United States. </w:t>
      </w:r>
      <w:r w:rsidRPr="007F4239">
        <w:rPr>
          <w:rFonts w:ascii="Times New Roman" w:hAnsi="Times New Roman" w:cs="Times New Roman"/>
          <w:i/>
          <w:iCs/>
        </w:rPr>
        <w:t>Demographic Research</w:t>
      </w:r>
      <w:r w:rsidRPr="007F4239">
        <w:rPr>
          <w:rFonts w:ascii="Times New Roman" w:hAnsi="Times New Roman" w:cs="Times New Roman"/>
        </w:rPr>
        <w:t xml:space="preserve">, </w:t>
      </w:r>
      <w:r w:rsidRPr="007F4239">
        <w:rPr>
          <w:rFonts w:ascii="Times New Roman" w:hAnsi="Times New Roman" w:cs="Times New Roman"/>
          <w:i/>
          <w:iCs/>
        </w:rPr>
        <w:t>31</w:t>
      </w:r>
      <w:r w:rsidRPr="007F4239">
        <w:rPr>
          <w:rFonts w:ascii="Times New Roman" w:hAnsi="Times New Roman" w:cs="Times New Roman"/>
        </w:rPr>
        <w:t>, 497-510.</w:t>
      </w:r>
    </w:p>
    <w:p w14:paraId="7B1D922E"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Okoro, C. A., Hollis, N. D., Cyrus, A. C., &amp; Griffin-Blake, S. (2018). Prevalence of Disabilities and Health Care Access by Disability Status and Type Among Adults—United States, 2016. </w:t>
      </w:r>
      <w:r w:rsidRPr="007F4239">
        <w:rPr>
          <w:rFonts w:ascii="Times New Roman" w:hAnsi="Times New Roman" w:cs="Times New Roman"/>
          <w:i/>
          <w:iCs/>
        </w:rPr>
        <w:t>Morbidity and Mortality Weekly Report</w:t>
      </w:r>
      <w:r w:rsidRPr="007F4239">
        <w:rPr>
          <w:rFonts w:ascii="Times New Roman" w:hAnsi="Times New Roman" w:cs="Times New Roman"/>
        </w:rPr>
        <w:t xml:space="preserve">, </w:t>
      </w:r>
      <w:r w:rsidRPr="007F4239">
        <w:rPr>
          <w:rFonts w:ascii="Times New Roman" w:hAnsi="Times New Roman" w:cs="Times New Roman"/>
          <w:i/>
          <w:iCs/>
        </w:rPr>
        <w:t>67</w:t>
      </w:r>
      <w:r w:rsidRPr="007F4239">
        <w:rPr>
          <w:rFonts w:ascii="Times New Roman" w:hAnsi="Times New Roman" w:cs="Times New Roman"/>
        </w:rPr>
        <w:t>(32), 882-887. https://doi.org/10.15585/mmwr.mm6732a3</w:t>
      </w:r>
    </w:p>
    <w:p w14:paraId="387DE326"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Ostchega, Y., Harris, T. B., Hirsch, R., Parsons, V. L., &amp; Kington, R. (2000). The Prevalence of Functional Limitations and Disability in Older Persons in the US: Data from the National Health and Nutrition Examination Survey III. </w:t>
      </w:r>
      <w:r w:rsidRPr="007F4239">
        <w:rPr>
          <w:rFonts w:ascii="Times New Roman" w:hAnsi="Times New Roman" w:cs="Times New Roman"/>
          <w:i/>
          <w:iCs/>
        </w:rPr>
        <w:t>Journal of the American Geriatrics Society</w:t>
      </w:r>
      <w:r w:rsidRPr="007F4239">
        <w:rPr>
          <w:rFonts w:ascii="Times New Roman" w:hAnsi="Times New Roman" w:cs="Times New Roman"/>
        </w:rPr>
        <w:t xml:space="preserve">, </w:t>
      </w:r>
      <w:r w:rsidRPr="007F4239">
        <w:rPr>
          <w:rFonts w:ascii="Times New Roman" w:hAnsi="Times New Roman" w:cs="Times New Roman"/>
          <w:i/>
          <w:iCs/>
        </w:rPr>
        <w:t>48</w:t>
      </w:r>
      <w:r w:rsidRPr="007F4239">
        <w:rPr>
          <w:rFonts w:ascii="Times New Roman" w:hAnsi="Times New Roman" w:cs="Times New Roman"/>
        </w:rPr>
        <w:t>(9), 1132-1135. https://doi.org/10.1111/j.1532-5415.2000.tb04791.x</w:t>
      </w:r>
    </w:p>
    <w:p w14:paraId="50800D22"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R Core Team. (2015). </w:t>
      </w:r>
      <w:r w:rsidRPr="007F4239">
        <w:rPr>
          <w:rFonts w:ascii="Times New Roman" w:hAnsi="Times New Roman" w:cs="Times New Roman"/>
          <w:i/>
          <w:iCs/>
        </w:rPr>
        <w:t>R: A Language and Environment for Statistical Computing. R Foundation for Statistical Computing</w:t>
      </w:r>
      <w:r w:rsidRPr="007F4239">
        <w:rPr>
          <w:rFonts w:ascii="Times New Roman" w:hAnsi="Times New Roman" w:cs="Times New Roman"/>
        </w:rPr>
        <w:t xml:space="preserve"> [Software]. http://www.R-project.org/</w:t>
      </w:r>
    </w:p>
    <w:p w14:paraId="5B84B382"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Schoeni, R. F., Freedman, V. A., &amp; Wallace, R. B. (2001). Persistent, Consistent, Widespread, and Robust? Another Look at Recent Trends in Old-Age Disability. </w:t>
      </w:r>
      <w:r w:rsidRPr="007F4239">
        <w:rPr>
          <w:rFonts w:ascii="Times New Roman" w:hAnsi="Times New Roman" w:cs="Times New Roman"/>
          <w:i/>
          <w:iCs/>
        </w:rPr>
        <w:t>The Journals of Gerontology: Series B</w:t>
      </w:r>
      <w:r w:rsidRPr="007F4239">
        <w:rPr>
          <w:rFonts w:ascii="Times New Roman" w:hAnsi="Times New Roman" w:cs="Times New Roman"/>
        </w:rPr>
        <w:t xml:space="preserve">, </w:t>
      </w:r>
      <w:r w:rsidRPr="007F4239">
        <w:rPr>
          <w:rFonts w:ascii="Times New Roman" w:hAnsi="Times New Roman" w:cs="Times New Roman"/>
          <w:i/>
          <w:iCs/>
        </w:rPr>
        <w:t>56</w:t>
      </w:r>
      <w:r w:rsidRPr="007F4239">
        <w:rPr>
          <w:rFonts w:ascii="Times New Roman" w:hAnsi="Times New Roman" w:cs="Times New Roman"/>
        </w:rPr>
        <w:t>(4), S206-S218. https://doi.org/10.1093/geronb/56.4.S206</w:t>
      </w:r>
    </w:p>
    <w:p w14:paraId="0CE75A1F"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lastRenderedPageBreak/>
        <w:t xml:space="preserve">Seeman, T. E., Merkin, S. S., Crimmins, E. M., &amp; Karlamangla, A. S. (2010). Disability Trends Among Older Americans: National Health and Nutrition Examination Surveys, 1988–1994 and 1999–2004. </w:t>
      </w:r>
      <w:r w:rsidRPr="007F4239">
        <w:rPr>
          <w:rFonts w:ascii="Times New Roman" w:hAnsi="Times New Roman" w:cs="Times New Roman"/>
          <w:i/>
          <w:iCs/>
        </w:rPr>
        <w:t>American Journal of Public Health</w:t>
      </w:r>
      <w:r w:rsidRPr="007F4239">
        <w:rPr>
          <w:rFonts w:ascii="Times New Roman" w:hAnsi="Times New Roman" w:cs="Times New Roman"/>
        </w:rPr>
        <w:t xml:space="preserve">, </w:t>
      </w:r>
      <w:r w:rsidRPr="007F4239">
        <w:rPr>
          <w:rFonts w:ascii="Times New Roman" w:hAnsi="Times New Roman" w:cs="Times New Roman"/>
          <w:i/>
          <w:iCs/>
        </w:rPr>
        <w:t>100</w:t>
      </w:r>
      <w:r w:rsidRPr="007F4239">
        <w:rPr>
          <w:rFonts w:ascii="Times New Roman" w:hAnsi="Times New Roman" w:cs="Times New Roman"/>
        </w:rPr>
        <w:t>(1), 100-107. https://doi.org/10.2105/AJPH.2008.157388</w:t>
      </w:r>
    </w:p>
    <w:p w14:paraId="22790D36"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Sharma, S., Hale, J. M., Myrskylä, M., &amp; Kulu, H. (2023). Racial, Ethnic, Nativity, and Educational Disparities in Cognitive Impairment and Activity Limitations in the United States, 1998–2016. </w:t>
      </w:r>
      <w:r w:rsidRPr="007F4239">
        <w:rPr>
          <w:rFonts w:ascii="Times New Roman" w:hAnsi="Times New Roman" w:cs="Times New Roman"/>
          <w:i/>
          <w:iCs/>
        </w:rPr>
        <w:t>Demography</w:t>
      </w:r>
      <w:r w:rsidRPr="007F4239">
        <w:rPr>
          <w:rFonts w:ascii="Times New Roman" w:hAnsi="Times New Roman" w:cs="Times New Roman"/>
        </w:rPr>
        <w:t xml:space="preserve">, </w:t>
      </w:r>
      <w:r w:rsidRPr="007F4239">
        <w:rPr>
          <w:rFonts w:ascii="Times New Roman" w:hAnsi="Times New Roman" w:cs="Times New Roman"/>
          <w:i/>
          <w:iCs/>
        </w:rPr>
        <w:t>60</w:t>
      </w:r>
      <w:r w:rsidRPr="007F4239">
        <w:rPr>
          <w:rFonts w:ascii="Times New Roman" w:hAnsi="Times New Roman" w:cs="Times New Roman"/>
        </w:rPr>
        <w:t>(5), 1441-1468. https://doi.org/10.1215/00703370-10941414</w:t>
      </w:r>
    </w:p>
    <w:p w14:paraId="18FCA211"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Tsai, Y. (2017). Education and disability trends of older Americans, 2000-2014. </w:t>
      </w:r>
      <w:r w:rsidRPr="007F4239">
        <w:rPr>
          <w:rFonts w:ascii="Times New Roman" w:hAnsi="Times New Roman" w:cs="Times New Roman"/>
          <w:i/>
          <w:iCs/>
        </w:rPr>
        <w:t>Journal of Public Health (Oxford, England)</w:t>
      </w:r>
      <w:r w:rsidRPr="007F4239">
        <w:rPr>
          <w:rFonts w:ascii="Times New Roman" w:hAnsi="Times New Roman" w:cs="Times New Roman"/>
        </w:rPr>
        <w:t xml:space="preserve">, </w:t>
      </w:r>
      <w:r w:rsidRPr="007F4239">
        <w:rPr>
          <w:rFonts w:ascii="Times New Roman" w:hAnsi="Times New Roman" w:cs="Times New Roman"/>
          <w:i/>
          <w:iCs/>
        </w:rPr>
        <w:t>39</w:t>
      </w:r>
      <w:r w:rsidRPr="007F4239">
        <w:rPr>
          <w:rFonts w:ascii="Times New Roman" w:hAnsi="Times New Roman" w:cs="Times New Roman"/>
        </w:rPr>
        <w:t>(3), 447-454. https://doi.org/10.1093/pubmed/fdw082</w:t>
      </w:r>
    </w:p>
    <w:p w14:paraId="2EE22AA9"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Van Oyen, H., Nusselder, W., Jagger, C., Kolip, P., Cambois, E., &amp; Robine, J. M. (2013). Gender differences in healthy life years within the EU: An exploration of the «health-survival» paradox. </w:t>
      </w:r>
      <w:r w:rsidRPr="007F4239">
        <w:rPr>
          <w:rFonts w:ascii="Times New Roman" w:hAnsi="Times New Roman" w:cs="Times New Roman"/>
          <w:i/>
          <w:iCs/>
        </w:rPr>
        <w:t>International Journal of Public Health</w:t>
      </w:r>
      <w:r w:rsidRPr="007F4239">
        <w:rPr>
          <w:rFonts w:ascii="Times New Roman" w:hAnsi="Times New Roman" w:cs="Times New Roman"/>
        </w:rPr>
        <w:t xml:space="preserve">, </w:t>
      </w:r>
      <w:r w:rsidRPr="007F4239">
        <w:rPr>
          <w:rFonts w:ascii="Times New Roman" w:hAnsi="Times New Roman" w:cs="Times New Roman"/>
          <w:i/>
          <w:iCs/>
        </w:rPr>
        <w:t>58</w:t>
      </w:r>
      <w:r w:rsidRPr="007F4239">
        <w:rPr>
          <w:rFonts w:ascii="Times New Roman" w:hAnsi="Times New Roman" w:cs="Times New Roman"/>
        </w:rPr>
        <w:t>(1), 143-155. https://doi.org/10.1007/s00038-012-0361-1</w:t>
      </w:r>
    </w:p>
    <w:p w14:paraId="358B6FFC" w14:textId="77777777" w:rsidR="007F4239" w:rsidRPr="007F4239" w:rsidRDefault="007F4239" w:rsidP="007F4239">
      <w:pPr>
        <w:pStyle w:val="Bibliography"/>
        <w:rPr>
          <w:rFonts w:ascii="Times New Roman" w:hAnsi="Times New Roman" w:cs="Times New Roman"/>
        </w:rPr>
      </w:pPr>
      <w:r w:rsidRPr="007F4239">
        <w:rPr>
          <w:rFonts w:ascii="Times New Roman" w:hAnsi="Times New Roman" w:cs="Times New Roman"/>
        </w:rPr>
        <w:t xml:space="preserve">Waidmann, T. A., &amp; Liu, K. (2000). Disability Trends Among Elderly Persons and Implications for the Future. </w:t>
      </w:r>
      <w:r w:rsidRPr="007F4239">
        <w:rPr>
          <w:rFonts w:ascii="Times New Roman" w:hAnsi="Times New Roman" w:cs="Times New Roman"/>
          <w:i/>
          <w:iCs/>
        </w:rPr>
        <w:t>The Journals of Gerontology: Series B</w:t>
      </w:r>
      <w:r w:rsidRPr="007F4239">
        <w:rPr>
          <w:rFonts w:ascii="Times New Roman" w:hAnsi="Times New Roman" w:cs="Times New Roman"/>
        </w:rPr>
        <w:t xml:space="preserve">, </w:t>
      </w:r>
      <w:r w:rsidRPr="007F4239">
        <w:rPr>
          <w:rFonts w:ascii="Times New Roman" w:hAnsi="Times New Roman" w:cs="Times New Roman"/>
          <w:i/>
          <w:iCs/>
        </w:rPr>
        <w:t>55</w:t>
      </w:r>
      <w:r w:rsidRPr="007F4239">
        <w:rPr>
          <w:rFonts w:ascii="Times New Roman" w:hAnsi="Times New Roman" w:cs="Times New Roman"/>
        </w:rPr>
        <w:t>(5), S298-S307. https://doi.org/10.1093/geronb/55.5.S298</w:t>
      </w:r>
    </w:p>
    <w:p w14:paraId="30BC321C" w14:textId="703C69CC" w:rsidR="001C75E5" w:rsidRDefault="00E5399C" w:rsidP="00E5399C">
      <w:pPr>
        <w:spacing w:line="257" w:lineRule="auto"/>
        <w:rPr>
          <w:rFonts w:ascii="Times New Roman" w:eastAsia="Times New Roman" w:hAnsi="Times New Roman" w:cs="Times New Roman"/>
        </w:rPr>
      </w:pPr>
      <w:r>
        <w:rPr>
          <w:rFonts w:ascii="Times New Roman" w:eastAsia="Times New Roman" w:hAnsi="Times New Roman" w:cs="Times New Roman"/>
        </w:rPr>
        <w:fldChar w:fldCharType="end"/>
      </w:r>
      <w:r w:rsidR="7D4FDF97" w:rsidRPr="67C8E18F">
        <w:rPr>
          <w:rFonts w:ascii="Times New Roman" w:eastAsia="Times New Roman" w:hAnsi="Times New Roman" w:cs="Times New Roman"/>
        </w:rPr>
        <w:t xml:space="preserve"> </w:t>
      </w:r>
    </w:p>
    <w:p w14:paraId="014AAFD1" w14:textId="77777777" w:rsidR="00D866E1" w:rsidRDefault="00D866E1">
      <w:pPr>
        <w:rPr>
          <w:rFonts w:ascii="Times New Roman" w:eastAsia="Times New Roman" w:hAnsi="Times New Roman" w:cs="Times New Roman"/>
        </w:rPr>
      </w:pPr>
      <w:r>
        <w:rPr>
          <w:rFonts w:ascii="Times New Roman" w:eastAsia="Times New Roman" w:hAnsi="Times New Roman" w:cs="Times New Roman"/>
        </w:rPr>
        <w:br w:type="page"/>
      </w:r>
    </w:p>
    <w:p w14:paraId="7877CE1B" w14:textId="77777777" w:rsidR="002A7A27" w:rsidRDefault="002A7A27" w:rsidP="002A7A27">
      <w:pPr>
        <w:rPr>
          <w:rFonts w:ascii="Times New Roman" w:eastAsia="Times New Roman" w:hAnsi="Times New Roman" w:cs="Times New Roman"/>
        </w:rPr>
      </w:pPr>
    </w:p>
    <w:p w14:paraId="272AE41C" w14:textId="33F6977E" w:rsidR="002A7A27" w:rsidRPr="00274B15" w:rsidRDefault="002A7A27" w:rsidP="002A7A27">
      <w:pPr>
        <w:rPr>
          <w:sz w:val="22"/>
          <w:szCs w:val="22"/>
        </w:rPr>
      </w:pPr>
      <w:r w:rsidRPr="00274B15">
        <w:rPr>
          <w:rFonts w:ascii="Times New Roman" w:eastAsia="Times New Roman" w:hAnsi="Times New Roman" w:cs="Times New Roman"/>
          <w:sz w:val="22"/>
          <w:szCs w:val="22"/>
          <w:u w:val="single"/>
        </w:rPr>
        <w:t xml:space="preserve">Table 1: Descriptive characteristics of the </w:t>
      </w:r>
      <w:r w:rsidR="00B0349E">
        <w:rPr>
          <w:rFonts w:ascii="Times New Roman" w:eastAsia="Times New Roman" w:hAnsi="Times New Roman" w:cs="Times New Roman"/>
          <w:sz w:val="22"/>
          <w:szCs w:val="22"/>
          <w:u w:val="single"/>
        </w:rPr>
        <w:t xml:space="preserve">NHIS </w:t>
      </w:r>
      <w:r w:rsidRPr="00274B15">
        <w:rPr>
          <w:rFonts w:ascii="Times New Roman" w:eastAsia="Times New Roman" w:hAnsi="Times New Roman" w:cs="Times New Roman"/>
          <w:sz w:val="22"/>
          <w:szCs w:val="22"/>
          <w:u w:val="single"/>
        </w:rPr>
        <w:t>sample</w:t>
      </w:r>
      <w:r>
        <w:rPr>
          <w:rFonts w:ascii="Times New Roman" w:eastAsia="Times New Roman" w:hAnsi="Times New Roman" w:cs="Times New Roman"/>
          <w:sz w:val="22"/>
          <w:szCs w:val="22"/>
          <w:u w:val="single"/>
        </w:rPr>
        <w:t xml:space="preserve"> by decade and age group</w:t>
      </w:r>
    </w:p>
    <w:p w14:paraId="337DDB37" w14:textId="5AAD8C48" w:rsidR="002A7A27" w:rsidRDefault="002A7A27" w:rsidP="002A7A27">
      <w:pPr>
        <w:rPr>
          <w:rFonts w:ascii="Times New Roman" w:eastAsia="Times New Roman" w:hAnsi="Times New Roman" w:cs="Times New Roman"/>
        </w:rPr>
      </w:pPr>
    </w:p>
    <w:tbl>
      <w:tblPr>
        <w:tblpPr w:leftFromText="180" w:rightFromText="180" w:vertAnchor="text" w:horzAnchor="margin" w:tblpXSpec="center" w:tblpY="-51"/>
        <w:tblW w:w="53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083"/>
        <w:gridCol w:w="1011"/>
        <w:gridCol w:w="566"/>
        <w:gridCol w:w="696"/>
        <w:gridCol w:w="646"/>
        <w:gridCol w:w="946"/>
        <w:gridCol w:w="806"/>
        <w:gridCol w:w="1011"/>
        <w:gridCol w:w="566"/>
        <w:gridCol w:w="696"/>
        <w:gridCol w:w="646"/>
        <w:gridCol w:w="946"/>
        <w:gridCol w:w="806"/>
      </w:tblGrid>
      <w:tr w:rsidR="002A7A27" w:rsidRPr="003D7DE2" w14:paraId="53263BA9" w14:textId="77777777" w:rsidTr="001B1476">
        <w:trPr>
          <w:trHeight w:val="373"/>
        </w:trPr>
        <w:tc>
          <w:tcPr>
            <w:tcW w:w="439" w:type="pct"/>
            <w:vMerge w:val="restart"/>
            <w:shd w:val="clear" w:color="auto" w:fill="auto"/>
            <w:noWrap/>
            <w:vAlign w:val="bottom"/>
          </w:tcPr>
          <w:p w14:paraId="7E4FAD09"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Age Group</w:t>
            </w:r>
          </w:p>
        </w:tc>
        <w:tc>
          <w:tcPr>
            <w:tcW w:w="464" w:type="pct"/>
            <w:vMerge w:val="restart"/>
            <w:shd w:val="clear" w:color="auto" w:fill="auto"/>
            <w:noWrap/>
            <w:vAlign w:val="bottom"/>
          </w:tcPr>
          <w:p w14:paraId="51AE2D3A"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Decade</w:t>
            </w:r>
          </w:p>
        </w:tc>
        <w:tc>
          <w:tcPr>
            <w:tcW w:w="2049" w:type="pct"/>
            <w:gridSpan w:val="6"/>
            <w:shd w:val="clear" w:color="auto" w:fill="auto"/>
            <w:noWrap/>
            <w:vAlign w:val="bottom"/>
          </w:tcPr>
          <w:p w14:paraId="2209E6C2"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Mean</w:t>
            </w:r>
          </w:p>
        </w:tc>
        <w:tc>
          <w:tcPr>
            <w:tcW w:w="2049" w:type="pct"/>
            <w:gridSpan w:val="6"/>
            <w:shd w:val="clear" w:color="auto" w:fill="auto"/>
            <w:noWrap/>
            <w:vAlign w:val="bottom"/>
          </w:tcPr>
          <w:p w14:paraId="70E66E66"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Standard Deviation</w:t>
            </w:r>
          </w:p>
        </w:tc>
      </w:tr>
      <w:tr w:rsidR="001B1476" w:rsidRPr="003D7DE2" w14:paraId="75A73C70" w14:textId="77777777" w:rsidTr="001B1476">
        <w:trPr>
          <w:trHeight w:val="373"/>
        </w:trPr>
        <w:tc>
          <w:tcPr>
            <w:tcW w:w="439" w:type="pct"/>
            <w:vMerge/>
            <w:shd w:val="clear" w:color="auto" w:fill="auto"/>
            <w:noWrap/>
            <w:vAlign w:val="bottom"/>
            <w:hideMark/>
          </w:tcPr>
          <w:p w14:paraId="7CCB9EED"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p>
        </w:tc>
        <w:tc>
          <w:tcPr>
            <w:tcW w:w="464" w:type="pct"/>
            <w:vMerge/>
            <w:shd w:val="clear" w:color="auto" w:fill="auto"/>
            <w:noWrap/>
            <w:vAlign w:val="bottom"/>
            <w:hideMark/>
          </w:tcPr>
          <w:p w14:paraId="2A9CF6D1"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p>
        </w:tc>
        <w:tc>
          <w:tcPr>
            <w:tcW w:w="435" w:type="pct"/>
            <w:shd w:val="clear" w:color="auto" w:fill="auto"/>
            <w:noWrap/>
            <w:vAlign w:val="bottom"/>
            <w:hideMark/>
          </w:tcPr>
          <w:p w14:paraId="62B56832"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 Females</w:t>
            </w:r>
          </w:p>
        </w:tc>
        <w:tc>
          <w:tcPr>
            <w:tcW w:w="256" w:type="pct"/>
            <w:shd w:val="clear" w:color="auto" w:fill="auto"/>
            <w:noWrap/>
            <w:vAlign w:val="bottom"/>
            <w:hideMark/>
          </w:tcPr>
          <w:p w14:paraId="646B2FD0"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Age</w:t>
            </w:r>
          </w:p>
        </w:tc>
        <w:tc>
          <w:tcPr>
            <w:tcW w:w="308" w:type="pct"/>
            <w:shd w:val="clear" w:color="auto" w:fill="auto"/>
            <w:noWrap/>
            <w:vAlign w:val="bottom"/>
            <w:hideMark/>
          </w:tcPr>
          <w:p w14:paraId="7F161CBE"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LADL</w:t>
            </w:r>
          </w:p>
        </w:tc>
        <w:tc>
          <w:tcPr>
            <w:tcW w:w="288" w:type="pct"/>
            <w:shd w:val="clear" w:color="auto" w:fill="auto"/>
            <w:noWrap/>
            <w:vAlign w:val="bottom"/>
            <w:hideMark/>
          </w:tcPr>
          <w:p w14:paraId="0E59B198"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IADL</w:t>
            </w:r>
          </w:p>
        </w:tc>
        <w:tc>
          <w:tcPr>
            <w:tcW w:w="408" w:type="pct"/>
            <w:shd w:val="clear" w:color="auto" w:fill="auto"/>
            <w:noWrap/>
            <w:vAlign w:val="bottom"/>
            <w:hideMark/>
          </w:tcPr>
          <w:p w14:paraId="21FEBE68"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Education</w:t>
            </w:r>
          </w:p>
        </w:tc>
        <w:tc>
          <w:tcPr>
            <w:tcW w:w="352" w:type="pct"/>
            <w:shd w:val="clear" w:color="auto" w:fill="auto"/>
            <w:noWrap/>
            <w:vAlign w:val="bottom"/>
            <w:hideMark/>
          </w:tcPr>
          <w:p w14:paraId="44DB595F"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Nativity</w:t>
            </w:r>
          </w:p>
        </w:tc>
        <w:tc>
          <w:tcPr>
            <w:tcW w:w="435" w:type="pct"/>
            <w:shd w:val="clear" w:color="auto" w:fill="auto"/>
            <w:noWrap/>
            <w:vAlign w:val="bottom"/>
            <w:hideMark/>
          </w:tcPr>
          <w:p w14:paraId="2E007731"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 Females</w:t>
            </w:r>
          </w:p>
        </w:tc>
        <w:tc>
          <w:tcPr>
            <w:tcW w:w="256" w:type="pct"/>
            <w:shd w:val="clear" w:color="auto" w:fill="auto"/>
            <w:noWrap/>
            <w:vAlign w:val="bottom"/>
            <w:hideMark/>
          </w:tcPr>
          <w:p w14:paraId="62E958EF"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Age</w:t>
            </w:r>
          </w:p>
        </w:tc>
        <w:tc>
          <w:tcPr>
            <w:tcW w:w="308" w:type="pct"/>
            <w:shd w:val="clear" w:color="auto" w:fill="auto"/>
            <w:noWrap/>
            <w:vAlign w:val="bottom"/>
            <w:hideMark/>
          </w:tcPr>
          <w:p w14:paraId="2D05A344"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LADL</w:t>
            </w:r>
          </w:p>
        </w:tc>
        <w:tc>
          <w:tcPr>
            <w:tcW w:w="288" w:type="pct"/>
            <w:shd w:val="clear" w:color="auto" w:fill="auto"/>
            <w:noWrap/>
            <w:vAlign w:val="bottom"/>
            <w:hideMark/>
          </w:tcPr>
          <w:p w14:paraId="4C552465"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IADL</w:t>
            </w:r>
          </w:p>
        </w:tc>
        <w:tc>
          <w:tcPr>
            <w:tcW w:w="408" w:type="pct"/>
            <w:shd w:val="clear" w:color="auto" w:fill="auto"/>
            <w:noWrap/>
            <w:vAlign w:val="bottom"/>
            <w:hideMark/>
          </w:tcPr>
          <w:p w14:paraId="79621579"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Education</w:t>
            </w:r>
          </w:p>
        </w:tc>
        <w:tc>
          <w:tcPr>
            <w:tcW w:w="352" w:type="pct"/>
            <w:shd w:val="clear" w:color="auto" w:fill="auto"/>
            <w:noWrap/>
            <w:vAlign w:val="bottom"/>
            <w:hideMark/>
          </w:tcPr>
          <w:p w14:paraId="42DEBA8B" w14:textId="77777777" w:rsidR="002A7A27" w:rsidRPr="009E48BA" w:rsidRDefault="002A7A27" w:rsidP="003F35C3">
            <w:pPr>
              <w:spacing w:after="0" w:line="240" w:lineRule="auto"/>
              <w:rPr>
                <w:rFonts w:ascii="Times New Roman" w:eastAsia="Times New Roman" w:hAnsi="Times New Roman" w:cs="Times New Roman"/>
                <w:color w:val="000000"/>
                <w:sz w:val="18"/>
                <w:szCs w:val="18"/>
                <w:lang w:eastAsia="en-US"/>
              </w:rPr>
            </w:pPr>
            <w:r w:rsidRPr="009E48BA">
              <w:rPr>
                <w:rFonts w:ascii="Times New Roman" w:eastAsia="Times New Roman" w:hAnsi="Times New Roman" w:cs="Times New Roman"/>
                <w:color w:val="000000"/>
                <w:sz w:val="18"/>
                <w:szCs w:val="18"/>
                <w:lang w:eastAsia="en-US"/>
              </w:rPr>
              <w:t>Nativity</w:t>
            </w:r>
          </w:p>
        </w:tc>
      </w:tr>
      <w:tr w:rsidR="001B1476" w:rsidRPr="003D7DE2" w14:paraId="1884D2E0" w14:textId="77777777" w:rsidTr="001B1476">
        <w:trPr>
          <w:trHeight w:val="373"/>
        </w:trPr>
        <w:tc>
          <w:tcPr>
            <w:tcW w:w="439" w:type="pct"/>
            <w:shd w:val="clear" w:color="auto" w:fill="auto"/>
            <w:noWrap/>
            <w:vAlign w:val="bottom"/>
            <w:hideMark/>
          </w:tcPr>
          <w:p w14:paraId="2BC67BA4"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50-64</w:t>
            </w:r>
          </w:p>
        </w:tc>
        <w:tc>
          <w:tcPr>
            <w:tcW w:w="464" w:type="pct"/>
            <w:shd w:val="clear" w:color="auto" w:fill="auto"/>
            <w:noWrap/>
            <w:vAlign w:val="bottom"/>
            <w:hideMark/>
          </w:tcPr>
          <w:p w14:paraId="78820C3B"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2000-2009</w:t>
            </w:r>
          </w:p>
        </w:tc>
        <w:tc>
          <w:tcPr>
            <w:tcW w:w="435" w:type="pct"/>
            <w:shd w:val="clear" w:color="auto" w:fill="auto"/>
            <w:noWrap/>
            <w:vAlign w:val="bottom"/>
            <w:hideMark/>
          </w:tcPr>
          <w:p w14:paraId="301C227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0.52</w:t>
            </w:r>
          </w:p>
        </w:tc>
        <w:tc>
          <w:tcPr>
            <w:tcW w:w="256" w:type="pct"/>
            <w:shd w:val="clear" w:color="auto" w:fill="auto"/>
            <w:noWrap/>
            <w:vAlign w:val="bottom"/>
            <w:hideMark/>
          </w:tcPr>
          <w:p w14:paraId="426383A7"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56.7</w:t>
            </w:r>
          </w:p>
        </w:tc>
        <w:tc>
          <w:tcPr>
            <w:tcW w:w="308" w:type="pct"/>
            <w:shd w:val="clear" w:color="auto" w:fill="auto"/>
            <w:noWrap/>
            <w:vAlign w:val="bottom"/>
            <w:hideMark/>
          </w:tcPr>
          <w:p w14:paraId="7EBE75A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0.02</w:t>
            </w:r>
          </w:p>
        </w:tc>
        <w:tc>
          <w:tcPr>
            <w:tcW w:w="288" w:type="pct"/>
            <w:shd w:val="clear" w:color="auto" w:fill="auto"/>
            <w:noWrap/>
            <w:vAlign w:val="bottom"/>
            <w:hideMark/>
          </w:tcPr>
          <w:p w14:paraId="6BB3AB2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0.04</w:t>
            </w:r>
          </w:p>
        </w:tc>
        <w:tc>
          <w:tcPr>
            <w:tcW w:w="408" w:type="pct"/>
            <w:shd w:val="clear" w:color="auto" w:fill="auto"/>
            <w:noWrap/>
            <w:vAlign w:val="bottom"/>
            <w:hideMark/>
          </w:tcPr>
          <w:p w14:paraId="66B904C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1.16</w:t>
            </w:r>
          </w:p>
        </w:tc>
        <w:tc>
          <w:tcPr>
            <w:tcW w:w="352" w:type="pct"/>
            <w:shd w:val="clear" w:color="auto" w:fill="auto"/>
            <w:noWrap/>
            <w:vAlign w:val="bottom"/>
            <w:hideMark/>
          </w:tcPr>
          <w:p w14:paraId="62F82C04"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0.86</w:t>
            </w:r>
          </w:p>
        </w:tc>
        <w:tc>
          <w:tcPr>
            <w:tcW w:w="435" w:type="pct"/>
            <w:shd w:val="clear" w:color="auto" w:fill="auto"/>
            <w:noWrap/>
            <w:vAlign w:val="bottom"/>
            <w:hideMark/>
          </w:tcPr>
          <w:p w14:paraId="65BD6F5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hideMark/>
          </w:tcPr>
          <w:p w14:paraId="2F6641CA"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4.28</w:t>
            </w:r>
          </w:p>
        </w:tc>
        <w:tc>
          <w:tcPr>
            <w:tcW w:w="308" w:type="pct"/>
            <w:shd w:val="clear" w:color="auto" w:fill="auto"/>
            <w:noWrap/>
            <w:vAlign w:val="bottom"/>
            <w:hideMark/>
          </w:tcPr>
          <w:p w14:paraId="00F6B7A8"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0.15</w:t>
            </w:r>
          </w:p>
        </w:tc>
        <w:tc>
          <w:tcPr>
            <w:tcW w:w="288" w:type="pct"/>
            <w:shd w:val="clear" w:color="auto" w:fill="auto"/>
            <w:noWrap/>
            <w:vAlign w:val="bottom"/>
            <w:hideMark/>
          </w:tcPr>
          <w:p w14:paraId="13F0504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0.21</w:t>
            </w:r>
          </w:p>
        </w:tc>
        <w:tc>
          <w:tcPr>
            <w:tcW w:w="408" w:type="pct"/>
            <w:shd w:val="clear" w:color="auto" w:fill="auto"/>
            <w:noWrap/>
            <w:vAlign w:val="bottom"/>
            <w:hideMark/>
          </w:tcPr>
          <w:p w14:paraId="05442F4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0.63</w:t>
            </w:r>
          </w:p>
        </w:tc>
        <w:tc>
          <w:tcPr>
            <w:tcW w:w="352" w:type="pct"/>
            <w:shd w:val="clear" w:color="auto" w:fill="auto"/>
            <w:noWrap/>
            <w:vAlign w:val="bottom"/>
            <w:hideMark/>
          </w:tcPr>
          <w:p w14:paraId="23D75FD9"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0.35</w:t>
            </w:r>
          </w:p>
        </w:tc>
      </w:tr>
      <w:tr w:rsidR="001B1476" w:rsidRPr="003D7DE2" w14:paraId="42075E4B" w14:textId="77777777" w:rsidTr="001B1476">
        <w:trPr>
          <w:trHeight w:val="373"/>
        </w:trPr>
        <w:tc>
          <w:tcPr>
            <w:tcW w:w="439" w:type="pct"/>
            <w:shd w:val="clear" w:color="auto" w:fill="auto"/>
            <w:noWrap/>
            <w:vAlign w:val="bottom"/>
            <w:hideMark/>
          </w:tcPr>
          <w:p w14:paraId="3A9A9EB3"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50-64</w:t>
            </w:r>
          </w:p>
        </w:tc>
        <w:tc>
          <w:tcPr>
            <w:tcW w:w="464" w:type="pct"/>
            <w:shd w:val="clear" w:color="auto" w:fill="auto"/>
            <w:noWrap/>
            <w:vAlign w:val="bottom"/>
            <w:hideMark/>
          </w:tcPr>
          <w:p w14:paraId="58C70783"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2010-2018</w:t>
            </w:r>
          </w:p>
        </w:tc>
        <w:tc>
          <w:tcPr>
            <w:tcW w:w="435" w:type="pct"/>
            <w:shd w:val="clear" w:color="auto" w:fill="auto"/>
            <w:noWrap/>
            <w:vAlign w:val="bottom"/>
            <w:hideMark/>
          </w:tcPr>
          <w:p w14:paraId="667823E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0.52</w:t>
            </w:r>
          </w:p>
        </w:tc>
        <w:tc>
          <w:tcPr>
            <w:tcW w:w="256" w:type="pct"/>
            <w:shd w:val="clear" w:color="auto" w:fill="auto"/>
            <w:noWrap/>
            <w:vAlign w:val="bottom"/>
            <w:hideMark/>
          </w:tcPr>
          <w:p w14:paraId="2A0528CF"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56.1</w:t>
            </w:r>
          </w:p>
        </w:tc>
        <w:tc>
          <w:tcPr>
            <w:tcW w:w="308" w:type="pct"/>
            <w:shd w:val="clear" w:color="auto" w:fill="auto"/>
            <w:noWrap/>
            <w:vAlign w:val="bottom"/>
            <w:hideMark/>
          </w:tcPr>
          <w:p w14:paraId="22FB5E46"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0.02</w:t>
            </w:r>
          </w:p>
        </w:tc>
        <w:tc>
          <w:tcPr>
            <w:tcW w:w="288" w:type="pct"/>
            <w:shd w:val="clear" w:color="auto" w:fill="auto"/>
            <w:noWrap/>
            <w:vAlign w:val="bottom"/>
            <w:hideMark/>
          </w:tcPr>
          <w:p w14:paraId="205C6B7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0.04</w:t>
            </w:r>
          </w:p>
        </w:tc>
        <w:tc>
          <w:tcPr>
            <w:tcW w:w="408" w:type="pct"/>
            <w:shd w:val="clear" w:color="auto" w:fill="auto"/>
            <w:noWrap/>
            <w:vAlign w:val="bottom"/>
            <w:hideMark/>
          </w:tcPr>
          <w:p w14:paraId="1492708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1.09</w:t>
            </w:r>
          </w:p>
        </w:tc>
        <w:tc>
          <w:tcPr>
            <w:tcW w:w="352" w:type="pct"/>
            <w:shd w:val="clear" w:color="auto" w:fill="auto"/>
            <w:noWrap/>
            <w:vAlign w:val="bottom"/>
            <w:hideMark/>
          </w:tcPr>
          <w:p w14:paraId="50F3671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0.86</w:t>
            </w:r>
          </w:p>
        </w:tc>
        <w:tc>
          <w:tcPr>
            <w:tcW w:w="435" w:type="pct"/>
            <w:shd w:val="clear" w:color="auto" w:fill="auto"/>
            <w:noWrap/>
            <w:vAlign w:val="bottom"/>
            <w:hideMark/>
          </w:tcPr>
          <w:p w14:paraId="24C605B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hideMark/>
          </w:tcPr>
          <w:p w14:paraId="5BD51D3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4.26</w:t>
            </w:r>
          </w:p>
        </w:tc>
        <w:tc>
          <w:tcPr>
            <w:tcW w:w="308" w:type="pct"/>
            <w:shd w:val="clear" w:color="auto" w:fill="auto"/>
            <w:noWrap/>
            <w:vAlign w:val="bottom"/>
            <w:hideMark/>
          </w:tcPr>
          <w:p w14:paraId="19CE6627"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0.13</w:t>
            </w:r>
          </w:p>
        </w:tc>
        <w:tc>
          <w:tcPr>
            <w:tcW w:w="288" w:type="pct"/>
            <w:shd w:val="clear" w:color="auto" w:fill="auto"/>
            <w:noWrap/>
            <w:vAlign w:val="bottom"/>
            <w:hideMark/>
          </w:tcPr>
          <w:p w14:paraId="1E31AF3A"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0.19</w:t>
            </w:r>
          </w:p>
        </w:tc>
        <w:tc>
          <w:tcPr>
            <w:tcW w:w="408" w:type="pct"/>
            <w:shd w:val="clear" w:color="auto" w:fill="auto"/>
            <w:noWrap/>
            <w:vAlign w:val="bottom"/>
            <w:hideMark/>
          </w:tcPr>
          <w:p w14:paraId="731BFB5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0.65</w:t>
            </w:r>
          </w:p>
        </w:tc>
        <w:tc>
          <w:tcPr>
            <w:tcW w:w="352" w:type="pct"/>
            <w:shd w:val="clear" w:color="auto" w:fill="auto"/>
            <w:noWrap/>
            <w:vAlign w:val="bottom"/>
            <w:hideMark/>
          </w:tcPr>
          <w:p w14:paraId="138720F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0.35</w:t>
            </w:r>
          </w:p>
        </w:tc>
      </w:tr>
      <w:tr w:rsidR="001B1476" w:rsidRPr="003D7DE2" w14:paraId="26C6109E" w14:textId="77777777" w:rsidTr="001B1476">
        <w:trPr>
          <w:trHeight w:val="373"/>
        </w:trPr>
        <w:tc>
          <w:tcPr>
            <w:tcW w:w="439" w:type="pct"/>
            <w:shd w:val="clear" w:color="auto" w:fill="auto"/>
            <w:noWrap/>
            <w:vAlign w:val="bottom"/>
            <w:hideMark/>
          </w:tcPr>
          <w:p w14:paraId="2FB94B8C"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65-74</w:t>
            </w:r>
          </w:p>
        </w:tc>
        <w:tc>
          <w:tcPr>
            <w:tcW w:w="464" w:type="pct"/>
            <w:shd w:val="clear" w:color="auto" w:fill="auto"/>
            <w:noWrap/>
            <w:vAlign w:val="bottom"/>
            <w:hideMark/>
          </w:tcPr>
          <w:p w14:paraId="72940DB4"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2000-2009</w:t>
            </w:r>
          </w:p>
        </w:tc>
        <w:tc>
          <w:tcPr>
            <w:tcW w:w="435" w:type="pct"/>
            <w:shd w:val="clear" w:color="auto" w:fill="auto"/>
            <w:noWrap/>
            <w:vAlign w:val="bottom"/>
            <w:hideMark/>
          </w:tcPr>
          <w:p w14:paraId="34DE960C"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0.53</w:t>
            </w:r>
          </w:p>
        </w:tc>
        <w:tc>
          <w:tcPr>
            <w:tcW w:w="256" w:type="pct"/>
            <w:shd w:val="clear" w:color="auto" w:fill="auto"/>
            <w:noWrap/>
            <w:vAlign w:val="bottom"/>
            <w:hideMark/>
          </w:tcPr>
          <w:p w14:paraId="5A2F145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69.0</w:t>
            </w:r>
          </w:p>
        </w:tc>
        <w:tc>
          <w:tcPr>
            <w:tcW w:w="308" w:type="pct"/>
            <w:shd w:val="clear" w:color="auto" w:fill="auto"/>
            <w:noWrap/>
            <w:vAlign w:val="bottom"/>
            <w:hideMark/>
          </w:tcPr>
          <w:p w14:paraId="5B2B259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0.04</w:t>
            </w:r>
          </w:p>
        </w:tc>
        <w:tc>
          <w:tcPr>
            <w:tcW w:w="288" w:type="pct"/>
            <w:shd w:val="clear" w:color="auto" w:fill="auto"/>
            <w:noWrap/>
            <w:vAlign w:val="bottom"/>
            <w:hideMark/>
          </w:tcPr>
          <w:p w14:paraId="214EEF19"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0.06</w:t>
            </w:r>
          </w:p>
        </w:tc>
        <w:tc>
          <w:tcPr>
            <w:tcW w:w="408" w:type="pct"/>
            <w:shd w:val="clear" w:color="auto" w:fill="auto"/>
            <w:noWrap/>
            <w:vAlign w:val="bottom"/>
            <w:hideMark/>
          </w:tcPr>
          <w:p w14:paraId="6C375D9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1.13</w:t>
            </w:r>
          </w:p>
        </w:tc>
        <w:tc>
          <w:tcPr>
            <w:tcW w:w="352" w:type="pct"/>
            <w:shd w:val="clear" w:color="auto" w:fill="auto"/>
            <w:noWrap/>
            <w:vAlign w:val="bottom"/>
            <w:hideMark/>
          </w:tcPr>
          <w:p w14:paraId="230F071C"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0.89</w:t>
            </w:r>
          </w:p>
        </w:tc>
        <w:tc>
          <w:tcPr>
            <w:tcW w:w="435" w:type="pct"/>
            <w:shd w:val="clear" w:color="auto" w:fill="auto"/>
            <w:noWrap/>
            <w:vAlign w:val="bottom"/>
            <w:hideMark/>
          </w:tcPr>
          <w:p w14:paraId="1290842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hideMark/>
          </w:tcPr>
          <w:p w14:paraId="4D29C05A"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2.83</w:t>
            </w:r>
          </w:p>
        </w:tc>
        <w:tc>
          <w:tcPr>
            <w:tcW w:w="308" w:type="pct"/>
            <w:shd w:val="clear" w:color="auto" w:fill="auto"/>
            <w:noWrap/>
            <w:vAlign w:val="bottom"/>
            <w:hideMark/>
          </w:tcPr>
          <w:p w14:paraId="55C518C8"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0.19</w:t>
            </w:r>
          </w:p>
        </w:tc>
        <w:tc>
          <w:tcPr>
            <w:tcW w:w="288" w:type="pct"/>
            <w:shd w:val="clear" w:color="auto" w:fill="auto"/>
            <w:noWrap/>
            <w:vAlign w:val="bottom"/>
            <w:hideMark/>
          </w:tcPr>
          <w:p w14:paraId="0554939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0.25</w:t>
            </w:r>
          </w:p>
        </w:tc>
        <w:tc>
          <w:tcPr>
            <w:tcW w:w="408" w:type="pct"/>
            <w:shd w:val="clear" w:color="auto" w:fill="auto"/>
            <w:noWrap/>
            <w:vAlign w:val="bottom"/>
            <w:hideMark/>
          </w:tcPr>
          <w:p w14:paraId="18ADCC2A"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0.65</w:t>
            </w:r>
          </w:p>
        </w:tc>
        <w:tc>
          <w:tcPr>
            <w:tcW w:w="352" w:type="pct"/>
            <w:shd w:val="clear" w:color="auto" w:fill="auto"/>
            <w:noWrap/>
            <w:vAlign w:val="bottom"/>
            <w:hideMark/>
          </w:tcPr>
          <w:p w14:paraId="5E7E1A5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0.31</w:t>
            </w:r>
          </w:p>
        </w:tc>
      </w:tr>
      <w:tr w:rsidR="001B1476" w:rsidRPr="003D7DE2" w14:paraId="51BA5DA3" w14:textId="77777777" w:rsidTr="001B1476">
        <w:trPr>
          <w:trHeight w:val="373"/>
        </w:trPr>
        <w:tc>
          <w:tcPr>
            <w:tcW w:w="439" w:type="pct"/>
            <w:shd w:val="clear" w:color="auto" w:fill="auto"/>
            <w:noWrap/>
            <w:vAlign w:val="bottom"/>
            <w:hideMark/>
          </w:tcPr>
          <w:p w14:paraId="17784508"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65-74</w:t>
            </w:r>
          </w:p>
        </w:tc>
        <w:tc>
          <w:tcPr>
            <w:tcW w:w="464" w:type="pct"/>
            <w:shd w:val="clear" w:color="auto" w:fill="auto"/>
            <w:noWrap/>
            <w:vAlign w:val="bottom"/>
            <w:hideMark/>
          </w:tcPr>
          <w:p w14:paraId="7BFD1041"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2010-2018</w:t>
            </w:r>
          </w:p>
        </w:tc>
        <w:tc>
          <w:tcPr>
            <w:tcW w:w="435" w:type="pct"/>
            <w:shd w:val="clear" w:color="auto" w:fill="auto"/>
            <w:noWrap/>
            <w:vAlign w:val="bottom"/>
            <w:hideMark/>
          </w:tcPr>
          <w:p w14:paraId="36659157"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0.54</w:t>
            </w:r>
          </w:p>
        </w:tc>
        <w:tc>
          <w:tcPr>
            <w:tcW w:w="256" w:type="pct"/>
            <w:shd w:val="clear" w:color="auto" w:fill="auto"/>
            <w:noWrap/>
            <w:vAlign w:val="bottom"/>
            <w:hideMark/>
          </w:tcPr>
          <w:p w14:paraId="718576A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69.1</w:t>
            </w:r>
          </w:p>
        </w:tc>
        <w:tc>
          <w:tcPr>
            <w:tcW w:w="308" w:type="pct"/>
            <w:shd w:val="clear" w:color="auto" w:fill="auto"/>
            <w:noWrap/>
            <w:vAlign w:val="bottom"/>
            <w:hideMark/>
          </w:tcPr>
          <w:p w14:paraId="28266393"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0.04</w:t>
            </w:r>
          </w:p>
        </w:tc>
        <w:tc>
          <w:tcPr>
            <w:tcW w:w="288" w:type="pct"/>
            <w:shd w:val="clear" w:color="auto" w:fill="auto"/>
            <w:noWrap/>
            <w:vAlign w:val="bottom"/>
            <w:hideMark/>
          </w:tcPr>
          <w:p w14:paraId="63C6D624"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0.07</w:t>
            </w:r>
          </w:p>
        </w:tc>
        <w:tc>
          <w:tcPr>
            <w:tcW w:w="408" w:type="pct"/>
            <w:shd w:val="clear" w:color="auto" w:fill="auto"/>
            <w:noWrap/>
            <w:vAlign w:val="bottom"/>
            <w:hideMark/>
          </w:tcPr>
          <w:p w14:paraId="5E1217D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0.91</w:t>
            </w:r>
          </w:p>
        </w:tc>
        <w:tc>
          <w:tcPr>
            <w:tcW w:w="352" w:type="pct"/>
            <w:shd w:val="clear" w:color="auto" w:fill="auto"/>
            <w:noWrap/>
            <w:vAlign w:val="bottom"/>
            <w:hideMark/>
          </w:tcPr>
          <w:p w14:paraId="7728869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0.87</w:t>
            </w:r>
          </w:p>
        </w:tc>
        <w:tc>
          <w:tcPr>
            <w:tcW w:w="435" w:type="pct"/>
            <w:shd w:val="clear" w:color="auto" w:fill="auto"/>
            <w:noWrap/>
            <w:vAlign w:val="bottom"/>
            <w:hideMark/>
          </w:tcPr>
          <w:p w14:paraId="68C11F2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hideMark/>
          </w:tcPr>
          <w:p w14:paraId="53D43CF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2.88</w:t>
            </w:r>
          </w:p>
        </w:tc>
        <w:tc>
          <w:tcPr>
            <w:tcW w:w="308" w:type="pct"/>
            <w:shd w:val="clear" w:color="auto" w:fill="auto"/>
            <w:noWrap/>
            <w:vAlign w:val="bottom"/>
            <w:hideMark/>
          </w:tcPr>
          <w:p w14:paraId="10345D07"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0.18</w:t>
            </w:r>
          </w:p>
        </w:tc>
        <w:tc>
          <w:tcPr>
            <w:tcW w:w="288" w:type="pct"/>
            <w:shd w:val="clear" w:color="auto" w:fill="auto"/>
            <w:noWrap/>
            <w:vAlign w:val="bottom"/>
            <w:hideMark/>
          </w:tcPr>
          <w:p w14:paraId="43E181FA"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0.25</w:t>
            </w:r>
          </w:p>
        </w:tc>
        <w:tc>
          <w:tcPr>
            <w:tcW w:w="408" w:type="pct"/>
            <w:shd w:val="clear" w:color="auto" w:fill="auto"/>
            <w:noWrap/>
            <w:vAlign w:val="bottom"/>
            <w:hideMark/>
          </w:tcPr>
          <w:p w14:paraId="3D4422A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0.67</w:t>
            </w:r>
          </w:p>
        </w:tc>
        <w:tc>
          <w:tcPr>
            <w:tcW w:w="352" w:type="pct"/>
            <w:shd w:val="clear" w:color="auto" w:fill="auto"/>
            <w:noWrap/>
            <w:vAlign w:val="bottom"/>
            <w:hideMark/>
          </w:tcPr>
          <w:p w14:paraId="79F1F113"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0.33</w:t>
            </w:r>
          </w:p>
        </w:tc>
      </w:tr>
      <w:tr w:rsidR="001B1476" w:rsidRPr="003D7DE2" w14:paraId="085540D2" w14:textId="77777777" w:rsidTr="001B1476">
        <w:trPr>
          <w:trHeight w:val="373"/>
        </w:trPr>
        <w:tc>
          <w:tcPr>
            <w:tcW w:w="439" w:type="pct"/>
            <w:shd w:val="clear" w:color="auto" w:fill="auto"/>
            <w:noWrap/>
            <w:vAlign w:val="bottom"/>
            <w:hideMark/>
          </w:tcPr>
          <w:p w14:paraId="75A71A3E"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75-84</w:t>
            </w:r>
          </w:p>
        </w:tc>
        <w:tc>
          <w:tcPr>
            <w:tcW w:w="464" w:type="pct"/>
            <w:shd w:val="clear" w:color="auto" w:fill="auto"/>
            <w:noWrap/>
            <w:vAlign w:val="bottom"/>
            <w:hideMark/>
          </w:tcPr>
          <w:p w14:paraId="26A6A92C"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2000-2009</w:t>
            </w:r>
          </w:p>
        </w:tc>
        <w:tc>
          <w:tcPr>
            <w:tcW w:w="435" w:type="pct"/>
            <w:shd w:val="clear" w:color="auto" w:fill="auto"/>
            <w:noWrap/>
            <w:vAlign w:val="bottom"/>
            <w:hideMark/>
          </w:tcPr>
          <w:p w14:paraId="62B4BF2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0.56</w:t>
            </w:r>
          </w:p>
        </w:tc>
        <w:tc>
          <w:tcPr>
            <w:tcW w:w="256" w:type="pct"/>
            <w:shd w:val="clear" w:color="auto" w:fill="auto"/>
            <w:noWrap/>
            <w:vAlign w:val="bottom"/>
            <w:hideMark/>
          </w:tcPr>
          <w:p w14:paraId="4B15D73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78.9</w:t>
            </w:r>
          </w:p>
        </w:tc>
        <w:tc>
          <w:tcPr>
            <w:tcW w:w="308" w:type="pct"/>
            <w:shd w:val="clear" w:color="auto" w:fill="auto"/>
            <w:noWrap/>
            <w:vAlign w:val="bottom"/>
            <w:hideMark/>
          </w:tcPr>
          <w:p w14:paraId="1FED4A18"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0.08</w:t>
            </w:r>
          </w:p>
        </w:tc>
        <w:tc>
          <w:tcPr>
            <w:tcW w:w="288" w:type="pct"/>
            <w:shd w:val="clear" w:color="auto" w:fill="auto"/>
            <w:noWrap/>
            <w:vAlign w:val="bottom"/>
            <w:hideMark/>
          </w:tcPr>
          <w:p w14:paraId="6D4045A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0.14</w:t>
            </w:r>
          </w:p>
        </w:tc>
        <w:tc>
          <w:tcPr>
            <w:tcW w:w="408" w:type="pct"/>
            <w:shd w:val="clear" w:color="auto" w:fill="auto"/>
            <w:noWrap/>
            <w:vAlign w:val="bottom"/>
            <w:hideMark/>
          </w:tcPr>
          <w:p w14:paraId="55BCBD5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0.99</w:t>
            </w:r>
          </w:p>
        </w:tc>
        <w:tc>
          <w:tcPr>
            <w:tcW w:w="352" w:type="pct"/>
            <w:shd w:val="clear" w:color="auto" w:fill="auto"/>
            <w:noWrap/>
            <w:vAlign w:val="bottom"/>
            <w:hideMark/>
          </w:tcPr>
          <w:p w14:paraId="44B933FC"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0.89</w:t>
            </w:r>
          </w:p>
        </w:tc>
        <w:tc>
          <w:tcPr>
            <w:tcW w:w="435" w:type="pct"/>
            <w:shd w:val="clear" w:color="auto" w:fill="auto"/>
            <w:noWrap/>
            <w:vAlign w:val="bottom"/>
            <w:hideMark/>
          </w:tcPr>
          <w:p w14:paraId="100C21E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hideMark/>
          </w:tcPr>
          <w:p w14:paraId="3C7DDFE8"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2.83</w:t>
            </w:r>
          </w:p>
        </w:tc>
        <w:tc>
          <w:tcPr>
            <w:tcW w:w="308" w:type="pct"/>
            <w:shd w:val="clear" w:color="auto" w:fill="auto"/>
            <w:noWrap/>
            <w:vAlign w:val="bottom"/>
            <w:hideMark/>
          </w:tcPr>
          <w:p w14:paraId="44038F36"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0.27</w:t>
            </w:r>
          </w:p>
        </w:tc>
        <w:tc>
          <w:tcPr>
            <w:tcW w:w="288" w:type="pct"/>
            <w:shd w:val="clear" w:color="auto" w:fill="auto"/>
            <w:noWrap/>
            <w:vAlign w:val="bottom"/>
            <w:hideMark/>
          </w:tcPr>
          <w:p w14:paraId="5799F2D7"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0.34</w:t>
            </w:r>
          </w:p>
        </w:tc>
        <w:tc>
          <w:tcPr>
            <w:tcW w:w="408" w:type="pct"/>
            <w:shd w:val="clear" w:color="auto" w:fill="auto"/>
            <w:noWrap/>
            <w:vAlign w:val="bottom"/>
            <w:hideMark/>
          </w:tcPr>
          <w:p w14:paraId="48061558"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0.67</w:t>
            </w:r>
          </w:p>
        </w:tc>
        <w:tc>
          <w:tcPr>
            <w:tcW w:w="352" w:type="pct"/>
            <w:shd w:val="clear" w:color="auto" w:fill="auto"/>
            <w:noWrap/>
            <w:vAlign w:val="bottom"/>
            <w:hideMark/>
          </w:tcPr>
          <w:p w14:paraId="2C6DB8BF"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0.31</w:t>
            </w:r>
          </w:p>
        </w:tc>
      </w:tr>
      <w:tr w:rsidR="001B1476" w:rsidRPr="003D7DE2" w14:paraId="380DE1AC" w14:textId="77777777" w:rsidTr="001B1476">
        <w:trPr>
          <w:trHeight w:val="373"/>
        </w:trPr>
        <w:tc>
          <w:tcPr>
            <w:tcW w:w="439" w:type="pct"/>
            <w:shd w:val="clear" w:color="auto" w:fill="auto"/>
            <w:noWrap/>
            <w:vAlign w:val="bottom"/>
            <w:hideMark/>
          </w:tcPr>
          <w:p w14:paraId="49A46C10"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75-84</w:t>
            </w:r>
          </w:p>
        </w:tc>
        <w:tc>
          <w:tcPr>
            <w:tcW w:w="464" w:type="pct"/>
            <w:shd w:val="clear" w:color="auto" w:fill="auto"/>
            <w:noWrap/>
            <w:vAlign w:val="bottom"/>
            <w:hideMark/>
          </w:tcPr>
          <w:p w14:paraId="43D28F5C"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2010-2018</w:t>
            </w:r>
          </w:p>
        </w:tc>
        <w:tc>
          <w:tcPr>
            <w:tcW w:w="435" w:type="pct"/>
            <w:shd w:val="clear" w:color="auto" w:fill="auto"/>
            <w:noWrap/>
            <w:vAlign w:val="bottom"/>
            <w:hideMark/>
          </w:tcPr>
          <w:p w14:paraId="7FD28553"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0.59</w:t>
            </w:r>
          </w:p>
        </w:tc>
        <w:tc>
          <w:tcPr>
            <w:tcW w:w="256" w:type="pct"/>
            <w:shd w:val="clear" w:color="auto" w:fill="auto"/>
            <w:noWrap/>
            <w:vAlign w:val="bottom"/>
            <w:hideMark/>
          </w:tcPr>
          <w:p w14:paraId="4A51B73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78.9</w:t>
            </w:r>
          </w:p>
        </w:tc>
        <w:tc>
          <w:tcPr>
            <w:tcW w:w="308" w:type="pct"/>
            <w:shd w:val="clear" w:color="auto" w:fill="auto"/>
            <w:noWrap/>
            <w:vAlign w:val="bottom"/>
            <w:hideMark/>
          </w:tcPr>
          <w:p w14:paraId="3BEF833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0.08</w:t>
            </w:r>
          </w:p>
        </w:tc>
        <w:tc>
          <w:tcPr>
            <w:tcW w:w="288" w:type="pct"/>
            <w:shd w:val="clear" w:color="auto" w:fill="auto"/>
            <w:noWrap/>
            <w:vAlign w:val="bottom"/>
            <w:hideMark/>
          </w:tcPr>
          <w:p w14:paraId="6E88B51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0.15</w:t>
            </w:r>
          </w:p>
        </w:tc>
        <w:tc>
          <w:tcPr>
            <w:tcW w:w="408" w:type="pct"/>
            <w:shd w:val="clear" w:color="auto" w:fill="auto"/>
            <w:noWrap/>
            <w:vAlign w:val="bottom"/>
            <w:hideMark/>
          </w:tcPr>
          <w:p w14:paraId="0D97CF0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0.82</w:t>
            </w:r>
          </w:p>
        </w:tc>
        <w:tc>
          <w:tcPr>
            <w:tcW w:w="352" w:type="pct"/>
            <w:shd w:val="clear" w:color="auto" w:fill="auto"/>
            <w:noWrap/>
            <w:vAlign w:val="bottom"/>
            <w:hideMark/>
          </w:tcPr>
          <w:p w14:paraId="13ED344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0.89</w:t>
            </w:r>
          </w:p>
        </w:tc>
        <w:tc>
          <w:tcPr>
            <w:tcW w:w="435" w:type="pct"/>
            <w:shd w:val="clear" w:color="auto" w:fill="auto"/>
            <w:noWrap/>
            <w:vAlign w:val="bottom"/>
            <w:hideMark/>
          </w:tcPr>
          <w:p w14:paraId="0DFA61C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0.49</w:t>
            </w:r>
          </w:p>
        </w:tc>
        <w:tc>
          <w:tcPr>
            <w:tcW w:w="256" w:type="pct"/>
            <w:shd w:val="clear" w:color="auto" w:fill="auto"/>
            <w:noWrap/>
            <w:vAlign w:val="bottom"/>
            <w:hideMark/>
          </w:tcPr>
          <w:p w14:paraId="5984EF2C"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2.79</w:t>
            </w:r>
          </w:p>
        </w:tc>
        <w:tc>
          <w:tcPr>
            <w:tcW w:w="308" w:type="pct"/>
            <w:shd w:val="clear" w:color="auto" w:fill="auto"/>
            <w:noWrap/>
            <w:vAlign w:val="bottom"/>
            <w:hideMark/>
          </w:tcPr>
          <w:p w14:paraId="5BD83E74"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0.27</w:t>
            </w:r>
          </w:p>
        </w:tc>
        <w:tc>
          <w:tcPr>
            <w:tcW w:w="288" w:type="pct"/>
            <w:shd w:val="clear" w:color="auto" w:fill="auto"/>
            <w:noWrap/>
            <w:vAlign w:val="bottom"/>
            <w:hideMark/>
          </w:tcPr>
          <w:p w14:paraId="11E0CF5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0.36</w:t>
            </w:r>
          </w:p>
        </w:tc>
        <w:tc>
          <w:tcPr>
            <w:tcW w:w="408" w:type="pct"/>
            <w:shd w:val="clear" w:color="auto" w:fill="auto"/>
            <w:noWrap/>
            <w:vAlign w:val="bottom"/>
            <w:hideMark/>
          </w:tcPr>
          <w:p w14:paraId="787E34D5"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0.67</w:t>
            </w:r>
          </w:p>
        </w:tc>
        <w:tc>
          <w:tcPr>
            <w:tcW w:w="352" w:type="pct"/>
            <w:shd w:val="clear" w:color="auto" w:fill="auto"/>
            <w:noWrap/>
            <w:vAlign w:val="bottom"/>
            <w:hideMark/>
          </w:tcPr>
          <w:p w14:paraId="1CBDCA7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0.31</w:t>
            </w:r>
          </w:p>
        </w:tc>
      </w:tr>
      <w:tr w:rsidR="001B1476" w:rsidRPr="003D7DE2" w14:paraId="0708EA0F" w14:textId="77777777" w:rsidTr="001B1476">
        <w:trPr>
          <w:trHeight w:val="373"/>
        </w:trPr>
        <w:tc>
          <w:tcPr>
            <w:tcW w:w="439" w:type="pct"/>
            <w:shd w:val="clear" w:color="auto" w:fill="auto"/>
            <w:noWrap/>
            <w:vAlign w:val="bottom"/>
          </w:tcPr>
          <w:p w14:paraId="0797492C"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All</w:t>
            </w:r>
          </w:p>
        </w:tc>
        <w:tc>
          <w:tcPr>
            <w:tcW w:w="464" w:type="pct"/>
            <w:shd w:val="clear" w:color="auto" w:fill="auto"/>
            <w:noWrap/>
            <w:vAlign w:val="bottom"/>
          </w:tcPr>
          <w:p w14:paraId="51DECD9D"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2000-2009</w:t>
            </w:r>
          </w:p>
        </w:tc>
        <w:tc>
          <w:tcPr>
            <w:tcW w:w="435" w:type="pct"/>
            <w:shd w:val="clear" w:color="auto" w:fill="auto"/>
            <w:noWrap/>
            <w:vAlign w:val="bottom"/>
          </w:tcPr>
          <w:p w14:paraId="6B82D573"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0.53</w:t>
            </w:r>
          </w:p>
        </w:tc>
        <w:tc>
          <w:tcPr>
            <w:tcW w:w="256" w:type="pct"/>
            <w:shd w:val="clear" w:color="auto" w:fill="auto"/>
            <w:noWrap/>
            <w:vAlign w:val="bottom"/>
          </w:tcPr>
          <w:p w14:paraId="15439FAE"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62.9</w:t>
            </w:r>
          </w:p>
        </w:tc>
        <w:tc>
          <w:tcPr>
            <w:tcW w:w="308" w:type="pct"/>
            <w:shd w:val="clear" w:color="auto" w:fill="auto"/>
            <w:noWrap/>
            <w:vAlign w:val="bottom"/>
          </w:tcPr>
          <w:p w14:paraId="5E519646"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0.03</w:t>
            </w:r>
          </w:p>
        </w:tc>
        <w:tc>
          <w:tcPr>
            <w:tcW w:w="288" w:type="pct"/>
            <w:shd w:val="clear" w:color="auto" w:fill="auto"/>
            <w:noWrap/>
            <w:vAlign w:val="bottom"/>
          </w:tcPr>
          <w:p w14:paraId="7AFEE0E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0.06</w:t>
            </w:r>
          </w:p>
        </w:tc>
        <w:tc>
          <w:tcPr>
            <w:tcW w:w="408" w:type="pct"/>
            <w:shd w:val="clear" w:color="auto" w:fill="auto"/>
            <w:noWrap/>
            <w:vAlign w:val="bottom"/>
          </w:tcPr>
          <w:p w14:paraId="1F0615B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1.13</w:t>
            </w:r>
          </w:p>
        </w:tc>
        <w:tc>
          <w:tcPr>
            <w:tcW w:w="352" w:type="pct"/>
            <w:shd w:val="clear" w:color="auto" w:fill="auto"/>
            <w:noWrap/>
            <w:vAlign w:val="bottom"/>
          </w:tcPr>
          <w:p w14:paraId="477B0E2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0.87</w:t>
            </w:r>
          </w:p>
        </w:tc>
        <w:tc>
          <w:tcPr>
            <w:tcW w:w="435" w:type="pct"/>
            <w:shd w:val="clear" w:color="auto" w:fill="auto"/>
            <w:noWrap/>
            <w:vAlign w:val="bottom"/>
          </w:tcPr>
          <w:p w14:paraId="56DBBD3F"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tcPr>
          <w:p w14:paraId="46F7FF1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9.04</w:t>
            </w:r>
          </w:p>
        </w:tc>
        <w:tc>
          <w:tcPr>
            <w:tcW w:w="308" w:type="pct"/>
            <w:shd w:val="clear" w:color="auto" w:fill="auto"/>
            <w:noWrap/>
            <w:vAlign w:val="bottom"/>
          </w:tcPr>
          <w:p w14:paraId="3302E496"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0.18</w:t>
            </w:r>
          </w:p>
        </w:tc>
        <w:tc>
          <w:tcPr>
            <w:tcW w:w="288" w:type="pct"/>
            <w:shd w:val="clear" w:color="auto" w:fill="auto"/>
            <w:noWrap/>
            <w:vAlign w:val="bottom"/>
          </w:tcPr>
          <w:p w14:paraId="11081B4C"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0.24</w:t>
            </w:r>
          </w:p>
        </w:tc>
        <w:tc>
          <w:tcPr>
            <w:tcW w:w="408" w:type="pct"/>
            <w:shd w:val="clear" w:color="auto" w:fill="auto"/>
            <w:noWrap/>
            <w:vAlign w:val="bottom"/>
          </w:tcPr>
          <w:p w14:paraId="7F0BED0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0.65</w:t>
            </w:r>
          </w:p>
        </w:tc>
        <w:tc>
          <w:tcPr>
            <w:tcW w:w="352" w:type="pct"/>
            <w:shd w:val="clear" w:color="auto" w:fill="auto"/>
            <w:noWrap/>
            <w:vAlign w:val="bottom"/>
          </w:tcPr>
          <w:p w14:paraId="0791FFA4"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0.34</w:t>
            </w:r>
          </w:p>
        </w:tc>
      </w:tr>
      <w:tr w:rsidR="001B1476" w:rsidRPr="003D7DE2" w14:paraId="5A1B0BC6" w14:textId="77777777" w:rsidTr="001B1476">
        <w:trPr>
          <w:trHeight w:val="373"/>
        </w:trPr>
        <w:tc>
          <w:tcPr>
            <w:tcW w:w="439" w:type="pct"/>
            <w:shd w:val="clear" w:color="auto" w:fill="auto"/>
            <w:noWrap/>
            <w:vAlign w:val="bottom"/>
          </w:tcPr>
          <w:p w14:paraId="7C07ECC1"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All</w:t>
            </w:r>
          </w:p>
        </w:tc>
        <w:tc>
          <w:tcPr>
            <w:tcW w:w="464" w:type="pct"/>
            <w:shd w:val="clear" w:color="auto" w:fill="auto"/>
            <w:noWrap/>
            <w:vAlign w:val="bottom"/>
          </w:tcPr>
          <w:p w14:paraId="5712A7DD" w14:textId="77777777" w:rsidR="002A7A27" w:rsidRPr="009E48BA" w:rsidRDefault="002A7A27" w:rsidP="003F35C3">
            <w:pPr>
              <w:spacing w:after="0" w:line="240" w:lineRule="auto"/>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2010-2018</w:t>
            </w:r>
          </w:p>
        </w:tc>
        <w:tc>
          <w:tcPr>
            <w:tcW w:w="435" w:type="pct"/>
            <w:shd w:val="clear" w:color="auto" w:fill="auto"/>
            <w:noWrap/>
            <w:vAlign w:val="bottom"/>
          </w:tcPr>
          <w:p w14:paraId="01BEBDF4"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0.54</w:t>
            </w:r>
          </w:p>
        </w:tc>
        <w:tc>
          <w:tcPr>
            <w:tcW w:w="256" w:type="pct"/>
            <w:shd w:val="clear" w:color="auto" w:fill="auto"/>
            <w:noWrap/>
            <w:vAlign w:val="bottom"/>
          </w:tcPr>
          <w:p w14:paraId="0D89E60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62.6</w:t>
            </w:r>
          </w:p>
        </w:tc>
        <w:tc>
          <w:tcPr>
            <w:tcW w:w="308" w:type="pct"/>
            <w:shd w:val="clear" w:color="auto" w:fill="auto"/>
            <w:noWrap/>
            <w:vAlign w:val="bottom"/>
          </w:tcPr>
          <w:p w14:paraId="7E4955D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0.03</w:t>
            </w:r>
          </w:p>
        </w:tc>
        <w:tc>
          <w:tcPr>
            <w:tcW w:w="288" w:type="pct"/>
            <w:shd w:val="clear" w:color="auto" w:fill="auto"/>
            <w:noWrap/>
            <w:vAlign w:val="bottom"/>
          </w:tcPr>
          <w:p w14:paraId="5E6FAAD1"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0.06</w:t>
            </w:r>
          </w:p>
        </w:tc>
        <w:tc>
          <w:tcPr>
            <w:tcW w:w="408" w:type="pct"/>
            <w:shd w:val="clear" w:color="auto" w:fill="auto"/>
            <w:noWrap/>
            <w:vAlign w:val="bottom"/>
          </w:tcPr>
          <w:p w14:paraId="7CF9024B"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1.01</w:t>
            </w:r>
          </w:p>
        </w:tc>
        <w:tc>
          <w:tcPr>
            <w:tcW w:w="352" w:type="pct"/>
            <w:shd w:val="clear" w:color="auto" w:fill="auto"/>
            <w:noWrap/>
            <w:vAlign w:val="bottom"/>
          </w:tcPr>
          <w:p w14:paraId="77D9E670"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0.87</w:t>
            </w:r>
          </w:p>
        </w:tc>
        <w:tc>
          <w:tcPr>
            <w:tcW w:w="435" w:type="pct"/>
            <w:shd w:val="clear" w:color="auto" w:fill="auto"/>
            <w:noWrap/>
            <w:vAlign w:val="bottom"/>
          </w:tcPr>
          <w:p w14:paraId="7D6A45CE"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0.50</w:t>
            </w:r>
          </w:p>
        </w:tc>
        <w:tc>
          <w:tcPr>
            <w:tcW w:w="256" w:type="pct"/>
            <w:shd w:val="clear" w:color="auto" w:fill="auto"/>
            <w:noWrap/>
            <w:vAlign w:val="bottom"/>
          </w:tcPr>
          <w:p w14:paraId="7104D80F"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9.48</w:t>
            </w:r>
          </w:p>
        </w:tc>
        <w:tc>
          <w:tcPr>
            <w:tcW w:w="308" w:type="pct"/>
            <w:shd w:val="clear" w:color="auto" w:fill="auto"/>
            <w:noWrap/>
            <w:vAlign w:val="bottom"/>
          </w:tcPr>
          <w:p w14:paraId="61E1AAC3"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0.17</w:t>
            </w:r>
          </w:p>
        </w:tc>
        <w:tc>
          <w:tcPr>
            <w:tcW w:w="288" w:type="pct"/>
            <w:shd w:val="clear" w:color="auto" w:fill="auto"/>
            <w:noWrap/>
            <w:vAlign w:val="bottom"/>
          </w:tcPr>
          <w:p w14:paraId="2960E9A9"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0.24</w:t>
            </w:r>
          </w:p>
        </w:tc>
        <w:tc>
          <w:tcPr>
            <w:tcW w:w="408" w:type="pct"/>
            <w:shd w:val="clear" w:color="auto" w:fill="auto"/>
            <w:noWrap/>
            <w:vAlign w:val="bottom"/>
          </w:tcPr>
          <w:p w14:paraId="05F0C4AD"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0.67</w:t>
            </w:r>
          </w:p>
        </w:tc>
        <w:tc>
          <w:tcPr>
            <w:tcW w:w="352" w:type="pct"/>
            <w:shd w:val="clear" w:color="auto" w:fill="auto"/>
            <w:noWrap/>
            <w:vAlign w:val="bottom"/>
          </w:tcPr>
          <w:p w14:paraId="00B5D0E2" w14:textId="77777777" w:rsidR="002A7A27" w:rsidRPr="009E48BA" w:rsidRDefault="002A7A27" w:rsidP="003F35C3">
            <w:pPr>
              <w:spacing w:after="0" w:line="240" w:lineRule="auto"/>
              <w:jc w:val="center"/>
              <w:rPr>
                <w:rFonts w:ascii="Times New Roman" w:eastAsia="Times New Roman" w:hAnsi="Times New Roman" w:cs="Times New Roman"/>
                <w:color w:val="000000"/>
                <w:sz w:val="20"/>
                <w:szCs w:val="20"/>
                <w:lang w:eastAsia="en-US"/>
              </w:rPr>
            </w:pPr>
            <w:r w:rsidRPr="009E48BA">
              <w:rPr>
                <w:rFonts w:ascii="Times New Roman" w:eastAsia="Times New Roman" w:hAnsi="Times New Roman" w:cs="Times New Roman"/>
                <w:color w:val="000000"/>
                <w:sz w:val="20"/>
                <w:szCs w:val="20"/>
                <w:lang w:eastAsia="en-US"/>
              </w:rPr>
              <w:t>0.34</w:t>
            </w:r>
          </w:p>
        </w:tc>
      </w:tr>
    </w:tbl>
    <w:p w14:paraId="5A9F8212" w14:textId="77777777" w:rsidR="002A7A27" w:rsidRDefault="002A7A27" w:rsidP="002A7A27">
      <w:r>
        <w:br w:type="page"/>
      </w:r>
    </w:p>
    <w:p w14:paraId="5F13DD77" w14:textId="77777777" w:rsidR="00396F50" w:rsidRDefault="00396F50" w:rsidP="00396F50">
      <w:pPr>
        <w:rPr>
          <w:rFonts w:ascii="Times New Roman" w:eastAsia="Times New Roman" w:hAnsi="Times New Roman" w:cs="Times New Roman"/>
          <w:u w:val="single"/>
        </w:rPr>
      </w:pPr>
      <w:r w:rsidRPr="009E48BA">
        <w:lastRenderedPageBreak/>
        <w:t xml:space="preserve">Table </w:t>
      </w:r>
      <w:proofErr w:type="gramStart"/>
      <w:r w:rsidRPr="009E48BA">
        <w:t>2 :</w:t>
      </w:r>
      <w:proofErr w:type="gramEnd"/>
      <w:r w:rsidRPr="009E48BA">
        <w:t xml:space="preserve"> </w:t>
      </w:r>
      <w:r w:rsidRPr="004955FF">
        <w:rPr>
          <w:rFonts w:ascii="Times New Roman" w:eastAsia="Times New Roman" w:hAnsi="Times New Roman" w:cs="Times New Roman"/>
          <w:sz w:val="22"/>
          <w:szCs w:val="22"/>
          <w:u w:val="single"/>
        </w:rPr>
        <w:t>Predicted</w:t>
      </w:r>
      <w:r>
        <w:rPr>
          <w:rFonts w:ascii="Times New Roman" w:eastAsia="Times New Roman" w:hAnsi="Times New Roman" w:cs="Times New Roman"/>
          <w:sz w:val="22"/>
          <w:szCs w:val="22"/>
          <w:u w:val="single"/>
        </w:rPr>
        <w:t xml:space="preserve"> </w:t>
      </w:r>
      <w:r w:rsidRPr="004955FF">
        <w:rPr>
          <w:rFonts w:ascii="Times New Roman" w:eastAsia="Times New Roman" w:hAnsi="Times New Roman" w:cs="Times New Roman"/>
          <w:sz w:val="22"/>
          <w:szCs w:val="22"/>
          <w:u w:val="single"/>
        </w:rPr>
        <w:t xml:space="preserve">ADL </w:t>
      </w:r>
      <w:r>
        <w:rPr>
          <w:rFonts w:ascii="Times New Roman" w:eastAsia="Times New Roman" w:hAnsi="Times New Roman" w:cs="Times New Roman"/>
          <w:sz w:val="22"/>
          <w:szCs w:val="22"/>
          <w:u w:val="single"/>
        </w:rPr>
        <w:t xml:space="preserve">and IADL </w:t>
      </w:r>
      <w:r w:rsidRPr="004955FF">
        <w:rPr>
          <w:rFonts w:ascii="Times New Roman" w:eastAsia="Times New Roman" w:hAnsi="Times New Roman" w:cs="Times New Roman"/>
          <w:sz w:val="22"/>
          <w:szCs w:val="22"/>
          <w:u w:val="single"/>
        </w:rPr>
        <w:t xml:space="preserve">prevalence </w:t>
      </w:r>
      <w:r>
        <w:rPr>
          <w:rFonts w:ascii="Times New Roman" w:eastAsia="Times New Roman" w:hAnsi="Times New Roman" w:cs="Times New Roman"/>
          <w:u w:val="single"/>
        </w:rPr>
        <w:t>and Relative Change</w:t>
      </w:r>
      <w:r w:rsidRPr="004955FF">
        <w:rPr>
          <w:rFonts w:ascii="Times New Roman" w:eastAsia="Times New Roman" w:hAnsi="Times New Roman" w:cs="Times New Roman"/>
          <w:sz w:val="22"/>
          <w:szCs w:val="22"/>
          <w:u w:val="single"/>
        </w:rPr>
        <w:t xml:space="preserve"> by sex,</w:t>
      </w:r>
      <w:r>
        <w:rPr>
          <w:rFonts w:ascii="Times New Roman" w:eastAsia="Times New Roman" w:hAnsi="Times New Roman" w:cs="Times New Roman"/>
          <w:u w:val="single"/>
        </w:rPr>
        <w:t xml:space="preserve"> </w:t>
      </w:r>
      <w:r w:rsidRPr="004955FF">
        <w:rPr>
          <w:rFonts w:ascii="Times New Roman" w:eastAsia="Times New Roman" w:hAnsi="Times New Roman" w:cs="Times New Roman"/>
          <w:sz w:val="22"/>
          <w:szCs w:val="22"/>
          <w:u w:val="single"/>
        </w:rPr>
        <w:t>race and ethnicity</w:t>
      </w:r>
      <w:r>
        <w:rPr>
          <w:rFonts w:ascii="Times New Roman" w:eastAsia="Times New Roman" w:hAnsi="Times New Roman" w:cs="Times New Roman"/>
          <w:sz w:val="22"/>
          <w:szCs w:val="22"/>
          <w:u w:val="single"/>
        </w:rPr>
        <w:t xml:space="preserve"> for years</w:t>
      </w:r>
      <w:r w:rsidRPr="004955FF">
        <w:rPr>
          <w:rFonts w:ascii="Times New Roman" w:eastAsia="Times New Roman" w:hAnsi="Times New Roman" w:cs="Times New Roman"/>
          <w:sz w:val="22"/>
          <w:szCs w:val="22"/>
          <w:u w:val="single"/>
        </w:rPr>
        <w:t xml:space="preserve"> 2000</w:t>
      </w:r>
      <w:r>
        <w:rPr>
          <w:rFonts w:ascii="Times New Roman" w:eastAsia="Times New Roman" w:hAnsi="Times New Roman" w:cs="Times New Roman"/>
          <w:sz w:val="22"/>
          <w:szCs w:val="22"/>
          <w:u w:val="single"/>
        </w:rPr>
        <w:t xml:space="preserve">, 2010 and 2018, </w:t>
      </w:r>
      <w:r>
        <w:rPr>
          <w:rFonts w:ascii="Times New Roman" w:eastAsia="Times New Roman" w:hAnsi="Times New Roman" w:cs="Times New Roman"/>
          <w:u w:val="single"/>
        </w:rPr>
        <w:t xml:space="preserve">group aged 50-64 </w:t>
      </w:r>
    </w:p>
    <w:p w14:paraId="18241418" w14:textId="77777777" w:rsidR="00396F50" w:rsidRDefault="00396F50" w:rsidP="00396F50">
      <w:pPr>
        <w:rPr>
          <w:rFonts w:ascii="Times New Roman" w:eastAsia="Times New Roman" w:hAnsi="Times New Roman" w:cs="Times New Roman"/>
          <w:u w:val="single"/>
        </w:rPr>
      </w:pPr>
    </w:p>
    <w:tbl>
      <w:tblPr>
        <w:tblW w:w="8946" w:type="dxa"/>
        <w:jc w:val="center"/>
        <w:tblLook w:val="04A0" w:firstRow="1" w:lastRow="0" w:firstColumn="1" w:lastColumn="0" w:noHBand="0" w:noVBand="1"/>
      </w:tblPr>
      <w:tblGrid>
        <w:gridCol w:w="907"/>
        <w:gridCol w:w="926"/>
        <w:gridCol w:w="1242"/>
        <w:gridCol w:w="1059"/>
        <w:gridCol w:w="1016"/>
        <w:gridCol w:w="1226"/>
        <w:gridCol w:w="1137"/>
        <w:gridCol w:w="1433"/>
      </w:tblGrid>
      <w:tr w:rsidR="00396F50" w:rsidRPr="003D35B9" w14:paraId="79F2B021" w14:textId="77777777" w:rsidTr="00876112">
        <w:trPr>
          <w:trHeight w:val="1068"/>
          <w:jc w:val="center"/>
        </w:trPr>
        <w:tc>
          <w:tcPr>
            <w:tcW w:w="1833" w:type="dxa"/>
            <w:gridSpan w:val="2"/>
            <w:tcBorders>
              <w:bottom w:val="single" w:sz="4" w:space="0" w:color="auto"/>
              <w:right w:val="single" w:sz="4" w:space="0" w:color="auto"/>
            </w:tcBorders>
            <w:shd w:val="clear" w:color="auto" w:fill="auto"/>
            <w:noWrap/>
            <w:vAlign w:val="center"/>
            <w:hideMark/>
          </w:tcPr>
          <w:p w14:paraId="3B23ABD8" w14:textId="77777777" w:rsidR="00396F50" w:rsidRPr="003D35B9" w:rsidRDefault="00396F50" w:rsidP="00876112">
            <w:pPr>
              <w:spacing w:after="0" w:line="240" w:lineRule="auto"/>
              <w:jc w:val="center"/>
              <w:rPr>
                <w:rFonts w:ascii="Times New Roman" w:eastAsia="Times New Roman" w:hAnsi="Times New Roman" w:cs="Times New Roman"/>
                <w:color w:val="000000"/>
                <w:sz w:val="32"/>
                <w:szCs w:val="32"/>
              </w:rPr>
            </w:pPr>
            <w:r w:rsidRPr="003D35B9">
              <w:rPr>
                <w:rFonts w:ascii="Times New Roman" w:eastAsia="Times New Roman" w:hAnsi="Times New Roman" w:cs="Times New Roman"/>
                <w:color w:val="000000"/>
                <w:sz w:val="32"/>
                <w:szCs w:val="32"/>
              </w:rPr>
              <w:t>ADL</w:t>
            </w:r>
          </w:p>
        </w:tc>
        <w:tc>
          <w:tcPr>
            <w:tcW w:w="1242" w:type="dxa"/>
            <w:tcBorders>
              <w:left w:val="single" w:sz="4" w:space="0" w:color="auto"/>
              <w:bottom w:val="single" w:sz="4" w:space="0" w:color="auto"/>
            </w:tcBorders>
            <w:shd w:val="clear" w:color="auto" w:fill="auto"/>
            <w:noWrap/>
            <w:vAlign w:val="center"/>
            <w:hideMark/>
          </w:tcPr>
          <w:p w14:paraId="6284501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Prevalence 2000</w:t>
            </w:r>
          </w:p>
        </w:tc>
        <w:tc>
          <w:tcPr>
            <w:tcW w:w="1059" w:type="dxa"/>
            <w:tcBorders>
              <w:bottom w:val="single" w:sz="4" w:space="0" w:color="auto"/>
            </w:tcBorders>
            <w:shd w:val="clear" w:color="auto" w:fill="auto"/>
            <w:vAlign w:val="center"/>
            <w:hideMark/>
          </w:tcPr>
          <w:p w14:paraId="09024FCA"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Prevalence 20</w:t>
            </w:r>
            <w:r>
              <w:rPr>
                <w:rFonts w:ascii="Times New Roman" w:eastAsia="Times New Roman" w:hAnsi="Times New Roman" w:cs="Times New Roman"/>
                <w:color w:val="000000"/>
                <w:sz w:val="18"/>
                <w:szCs w:val="18"/>
              </w:rPr>
              <w:t>10</w:t>
            </w:r>
          </w:p>
        </w:tc>
        <w:tc>
          <w:tcPr>
            <w:tcW w:w="1016" w:type="dxa"/>
            <w:tcBorders>
              <w:bottom w:val="single" w:sz="4" w:space="0" w:color="auto"/>
            </w:tcBorders>
            <w:shd w:val="clear" w:color="auto" w:fill="auto"/>
            <w:vAlign w:val="center"/>
            <w:hideMark/>
          </w:tcPr>
          <w:p w14:paraId="38BBB76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Prevalence 20</w:t>
            </w:r>
            <w:r>
              <w:rPr>
                <w:rFonts w:ascii="Times New Roman" w:eastAsia="Times New Roman" w:hAnsi="Times New Roman" w:cs="Times New Roman"/>
                <w:color w:val="000000"/>
                <w:sz w:val="18"/>
                <w:szCs w:val="18"/>
              </w:rPr>
              <w:t>18</w:t>
            </w:r>
          </w:p>
        </w:tc>
        <w:tc>
          <w:tcPr>
            <w:tcW w:w="1226" w:type="dxa"/>
            <w:tcBorders>
              <w:bottom w:val="single" w:sz="4" w:space="0" w:color="auto"/>
            </w:tcBorders>
            <w:shd w:val="clear" w:color="auto" w:fill="auto"/>
            <w:vAlign w:val="center"/>
            <w:hideMark/>
          </w:tcPr>
          <w:p w14:paraId="147794A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2000-20</w:t>
            </w:r>
            <w:r>
              <w:rPr>
                <w:rFonts w:ascii="Times New Roman" w:eastAsia="Times New Roman" w:hAnsi="Times New Roman" w:cs="Times New Roman"/>
                <w:color w:val="000000"/>
                <w:sz w:val="18"/>
                <w:szCs w:val="18"/>
              </w:rPr>
              <w:t>10</w:t>
            </w:r>
          </w:p>
        </w:tc>
        <w:tc>
          <w:tcPr>
            <w:tcW w:w="1137" w:type="dxa"/>
            <w:tcBorders>
              <w:bottom w:val="single" w:sz="4" w:space="0" w:color="auto"/>
            </w:tcBorders>
            <w:shd w:val="clear" w:color="auto" w:fill="auto"/>
            <w:vAlign w:val="center"/>
            <w:hideMark/>
          </w:tcPr>
          <w:p w14:paraId="4A8F9BC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2010-2018</w:t>
            </w:r>
          </w:p>
        </w:tc>
        <w:tc>
          <w:tcPr>
            <w:tcW w:w="1433" w:type="dxa"/>
            <w:tcBorders>
              <w:bottom w:val="single" w:sz="4" w:space="0" w:color="auto"/>
            </w:tcBorders>
            <w:vAlign w:val="center"/>
          </w:tcPr>
          <w:p w14:paraId="0257B621"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Relative Change 2000.2018</w:t>
            </w:r>
          </w:p>
        </w:tc>
      </w:tr>
      <w:tr w:rsidR="00396F50" w:rsidRPr="003D35B9" w14:paraId="097BDEB8" w14:textId="77777777" w:rsidTr="00876112">
        <w:trPr>
          <w:trHeight w:val="288"/>
          <w:jc w:val="center"/>
        </w:trPr>
        <w:tc>
          <w:tcPr>
            <w:tcW w:w="907" w:type="dxa"/>
            <w:tcBorders>
              <w:top w:val="single" w:sz="4" w:space="0" w:color="auto"/>
              <w:left w:val="nil"/>
              <w:bottom w:val="nil"/>
              <w:right w:val="nil"/>
            </w:tcBorders>
            <w:shd w:val="clear" w:color="auto" w:fill="auto"/>
            <w:noWrap/>
            <w:vAlign w:val="center"/>
            <w:hideMark/>
          </w:tcPr>
          <w:p w14:paraId="6E5BDF4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single" w:sz="4" w:space="0" w:color="auto"/>
              <w:left w:val="nil"/>
              <w:bottom w:val="nil"/>
              <w:right w:val="single" w:sz="8" w:space="0" w:color="auto"/>
            </w:tcBorders>
            <w:shd w:val="clear" w:color="auto" w:fill="auto"/>
            <w:noWrap/>
            <w:vAlign w:val="center"/>
            <w:hideMark/>
          </w:tcPr>
          <w:p w14:paraId="55913F98"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242" w:type="dxa"/>
            <w:tcBorders>
              <w:top w:val="single" w:sz="4" w:space="0" w:color="auto"/>
              <w:left w:val="nil"/>
              <w:bottom w:val="nil"/>
              <w:right w:val="nil"/>
            </w:tcBorders>
            <w:shd w:val="clear" w:color="auto" w:fill="auto"/>
            <w:noWrap/>
            <w:vAlign w:val="center"/>
            <w:hideMark/>
          </w:tcPr>
          <w:p w14:paraId="404188D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1.20 (1.03;1.36)</w:t>
            </w:r>
          </w:p>
        </w:tc>
        <w:tc>
          <w:tcPr>
            <w:tcW w:w="1059" w:type="dxa"/>
            <w:tcBorders>
              <w:top w:val="single" w:sz="4" w:space="0" w:color="auto"/>
              <w:left w:val="nil"/>
              <w:bottom w:val="nil"/>
              <w:right w:val="nil"/>
            </w:tcBorders>
            <w:shd w:val="clear" w:color="auto" w:fill="auto"/>
            <w:noWrap/>
            <w:vAlign w:val="center"/>
            <w:hideMark/>
          </w:tcPr>
          <w:p w14:paraId="2D2BFCD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1.79* (1.62;1.97)</w:t>
            </w:r>
          </w:p>
        </w:tc>
        <w:tc>
          <w:tcPr>
            <w:tcW w:w="1016" w:type="dxa"/>
            <w:tcBorders>
              <w:top w:val="single" w:sz="4" w:space="0" w:color="auto"/>
              <w:left w:val="nil"/>
              <w:bottom w:val="nil"/>
              <w:right w:val="nil"/>
            </w:tcBorders>
            <w:shd w:val="clear" w:color="auto" w:fill="auto"/>
            <w:noWrap/>
            <w:vAlign w:val="center"/>
            <w:hideMark/>
          </w:tcPr>
          <w:p w14:paraId="0B8FC8A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1.92 (1.70;2.14)</w:t>
            </w:r>
          </w:p>
        </w:tc>
        <w:tc>
          <w:tcPr>
            <w:tcW w:w="1226" w:type="dxa"/>
            <w:tcBorders>
              <w:top w:val="single" w:sz="4" w:space="0" w:color="auto"/>
              <w:left w:val="nil"/>
              <w:bottom w:val="nil"/>
              <w:right w:val="nil"/>
            </w:tcBorders>
            <w:shd w:val="clear" w:color="auto" w:fill="auto"/>
            <w:noWrap/>
            <w:vAlign w:val="center"/>
          </w:tcPr>
          <w:p w14:paraId="261194D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49.1* (19.1;91.2)</w:t>
            </w:r>
          </w:p>
        </w:tc>
        <w:tc>
          <w:tcPr>
            <w:tcW w:w="1137" w:type="dxa"/>
            <w:tcBorders>
              <w:top w:val="single" w:sz="4" w:space="0" w:color="auto"/>
              <w:left w:val="nil"/>
              <w:bottom w:val="nil"/>
              <w:right w:val="nil"/>
            </w:tcBorders>
            <w:shd w:val="clear" w:color="auto" w:fill="auto"/>
            <w:noWrap/>
            <w:vAlign w:val="center"/>
          </w:tcPr>
          <w:p w14:paraId="0B88FF9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7.3 </w:t>
            </w:r>
          </w:p>
          <w:p w14:paraId="21C0F4E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(-13.7;32.1)</w:t>
            </w:r>
          </w:p>
        </w:tc>
        <w:tc>
          <w:tcPr>
            <w:tcW w:w="1433" w:type="dxa"/>
            <w:tcBorders>
              <w:top w:val="single" w:sz="4" w:space="0" w:color="auto"/>
              <w:left w:val="nil"/>
              <w:bottom w:val="nil"/>
              <w:right w:val="nil"/>
            </w:tcBorders>
          </w:tcPr>
          <w:p w14:paraId="0280279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60.00* (25.00;107.77)</w:t>
            </w:r>
          </w:p>
        </w:tc>
      </w:tr>
      <w:tr w:rsidR="00396F50" w:rsidRPr="003D35B9" w14:paraId="0EB6AF9B" w14:textId="77777777" w:rsidTr="00876112">
        <w:trPr>
          <w:trHeight w:val="312"/>
          <w:jc w:val="center"/>
        </w:trPr>
        <w:tc>
          <w:tcPr>
            <w:tcW w:w="907" w:type="dxa"/>
            <w:tcBorders>
              <w:top w:val="nil"/>
              <w:left w:val="nil"/>
              <w:bottom w:val="nil"/>
              <w:right w:val="nil"/>
            </w:tcBorders>
            <w:shd w:val="clear" w:color="auto" w:fill="auto"/>
            <w:noWrap/>
            <w:textDirection w:val="btLr"/>
            <w:vAlign w:val="bottom"/>
            <w:hideMark/>
          </w:tcPr>
          <w:p w14:paraId="701BECEB"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7A5CED6B"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242" w:type="dxa"/>
            <w:tcBorders>
              <w:top w:val="nil"/>
              <w:left w:val="nil"/>
              <w:bottom w:val="nil"/>
              <w:right w:val="nil"/>
            </w:tcBorders>
            <w:shd w:val="clear" w:color="auto" w:fill="auto"/>
            <w:noWrap/>
            <w:vAlign w:val="center"/>
            <w:hideMark/>
          </w:tcPr>
          <w:p w14:paraId="5A0D0EB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1.94 (1.39;2.49)</w:t>
            </w:r>
          </w:p>
        </w:tc>
        <w:tc>
          <w:tcPr>
            <w:tcW w:w="1059" w:type="dxa"/>
            <w:tcBorders>
              <w:top w:val="nil"/>
              <w:left w:val="nil"/>
              <w:bottom w:val="nil"/>
              <w:right w:val="nil"/>
            </w:tcBorders>
            <w:shd w:val="clear" w:color="auto" w:fill="auto"/>
            <w:noWrap/>
            <w:vAlign w:val="center"/>
          </w:tcPr>
          <w:p w14:paraId="41FB660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3.11* (2.55;3.66)</w:t>
            </w:r>
          </w:p>
        </w:tc>
        <w:tc>
          <w:tcPr>
            <w:tcW w:w="1016" w:type="dxa"/>
            <w:tcBorders>
              <w:top w:val="nil"/>
              <w:left w:val="nil"/>
              <w:bottom w:val="nil"/>
              <w:right w:val="nil"/>
            </w:tcBorders>
            <w:shd w:val="clear" w:color="auto" w:fill="auto"/>
            <w:noWrap/>
            <w:vAlign w:val="center"/>
          </w:tcPr>
          <w:p w14:paraId="64857CD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2.92 (2.31;3.86)</w:t>
            </w:r>
          </w:p>
        </w:tc>
        <w:tc>
          <w:tcPr>
            <w:tcW w:w="1226" w:type="dxa"/>
            <w:tcBorders>
              <w:top w:val="nil"/>
              <w:left w:val="nil"/>
              <w:bottom w:val="nil"/>
              <w:right w:val="nil"/>
            </w:tcBorders>
            <w:shd w:val="clear" w:color="auto" w:fill="auto"/>
            <w:noWrap/>
            <w:vAlign w:val="center"/>
          </w:tcPr>
          <w:p w14:paraId="7014538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60.3* (2.4;163.3)</w:t>
            </w:r>
          </w:p>
        </w:tc>
        <w:tc>
          <w:tcPr>
            <w:tcW w:w="1137" w:type="dxa"/>
            <w:tcBorders>
              <w:top w:val="nil"/>
              <w:left w:val="nil"/>
              <w:bottom w:val="nil"/>
              <w:right w:val="nil"/>
            </w:tcBorders>
            <w:shd w:val="clear" w:color="auto" w:fill="auto"/>
            <w:noWrap/>
            <w:vAlign w:val="center"/>
          </w:tcPr>
          <w:p w14:paraId="56D6083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-6.1 </w:t>
            </w:r>
          </w:p>
          <w:p w14:paraId="6C05DE4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(-36.9;38.9)</w:t>
            </w:r>
          </w:p>
        </w:tc>
        <w:tc>
          <w:tcPr>
            <w:tcW w:w="1433" w:type="dxa"/>
            <w:tcBorders>
              <w:top w:val="nil"/>
              <w:left w:val="nil"/>
              <w:bottom w:val="nil"/>
              <w:right w:val="nil"/>
            </w:tcBorders>
          </w:tcPr>
          <w:p w14:paraId="382C26E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50.52 </w:t>
            </w:r>
          </w:p>
          <w:p w14:paraId="10DD23E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(-7.23;154.68)</w:t>
            </w:r>
          </w:p>
        </w:tc>
      </w:tr>
      <w:tr w:rsidR="00396F50" w:rsidRPr="003D35B9" w14:paraId="2F08F690" w14:textId="77777777" w:rsidTr="00876112">
        <w:trPr>
          <w:trHeight w:val="312"/>
          <w:jc w:val="center"/>
        </w:trPr>
        <w:tc>
          <w:tcPr>
            <w:tcW w:w="907" w:type="dxa"/>
            <w:tcBorders>
              <w:top w:val="nil"/>
              <w:left w:val="nil"/>
              <w:bottom w:val="nil"/>
              <w:right w:val="nil"/>
            </w:tcBorders>
            <w:shd w:val="clear" w:color="auto" w:fill="auto"/>
            <w:noWrap/>
            <w:textDirection w:val="btLr"/>
            <w:vAlign w:val="bottom"/>
            <w:hideMark/>
          </w:tcPr>
          <w:p w14:paraId="117B959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4D278CB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242" w:type="dxa"/>
            <w:tcBorders>
              <w:top w:val="nil"/>
              <w:left w:val="nil"/>
              <w:bottom w:val="nil"/>
              <w:right w:val="nil"/>
            </w:tcBorders>
            <w:shd w:val="clear" w:color="auto" w:fill="auto"/>
            <w:noWrap/>
            <w:vAlign w:val="center"/>
            <w:hideMark/>
          </w:tcPr>
          <w:p w14:paraId="014F0D4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1.28 (0.78;1.77)</w:t>
            </w:r>
          </w:p>
        </w:tc>
        <w:tc>
          <w:tcPr>
            <w:tcW w:w="1059" w:type="dxa"/>
            <w:tcBorders>
              <w:top w:val="nil"/>
              <w:left w:val="nil"/>
              <w:bottom w:val="nil"/>
              <w:right w:val="nil"/>
            </w:tcBorders>
            <w:shd w:val="clear" w:color="auto" w:fill="auto"/>
            <w:noWrap/>
            <w:vAlign w:val="center"/>
          </w:tcPr>
          <w:p w14:paraId="50BDDFE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1.43 (1.06;1.80) </w:t>
            </w:r>
          </w:p>
        </w:tc>
        <w:tc>
          <w:tcPr>
            <w:tcW w:w="1016" w:type="dxa"/>
            <w:tcBorders>
              <w:top w:val="nil"/>
              <w:left w:val="nil"/>
              <w:bottom w:val="nil"/>
              <w:right w:val="nil"/>
            </w:tcBorders>
            <w:shd w:val="clear" w:color="auto" w:fill="auto"/>
            <w:noWrap/>
            <w:vAlign w:val="center"/>
          </w:tcPr>
          <w:p w14:paraId="1F43326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2.05 (1.54;2.56)</w:t>
            </w:r>
          </w:p>
        </w:tc>
        <w:tc>
          <w:tcPr>
            <w:tcW w:w="1226" w:type="dxa"/>
            <w:tcBorders>
              <w:top w:val="nil"/>
              <w:left w:val="nil"/>
              <w:bottom w:val="nil"/>
              <w:right w:val="nil"/>
            </w:tcBorders>
            <w:shd w:val="clear" w:color="auto" w:fill="auto"/>
            <w:noWrap/>
            <w:vAlign w:val="center"/>
          </w:tcPr>
          <w:p w14:paraId="445261C9" w14:textId="58EF2BD8" w:rsidR="004D1D4E" w:rsidRDefault="004D1D4E" w:rsidP="004D1D4E">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11.7</w:t>
            </w:r>
          </w:p>
          <w:p w14:paraId="6FF07E8A" w14:textId="64F92020" w:rsidR="00396F50" w:rsidRPr="004D1D4E" w:rsidRDefault="00396F50" w:rsidP="004D1D4E">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(-40.1;130.7)</w:t>
            </w:r>
          </w:p>
        </w:tc>
        <w:tc>
          <w:tcPr>
            <w:tcW w:w="1137" w:type="dxa"/>
            <w:tcBorders>
              <w:top w:val="nil"/>
              <w:left w:val="nil"/>
              <w:bottom w:val="nil"/>
              <w:right w:val="nil"/>
            </w:tcBorders>
            <w:shd w:val="clear" w:color="auto" w:fill="auto"/>
            <w:noWrap/>
            <w:vAlign w:val="center"/>
          </w:tcPr>
          <w:p w14:paraId="7833630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43.3 </w:t>
            </w:r>
          </w:p>
          <w:p w14:paraId="666AD6C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(-14.4;141.5)</w:t>
            </w:r>
          </w:p>
        </w:tc>
        <w:tc>
          <w:tcPr>
            <w:tcW w:w="1433" w:type="dxa"/>
            <w:tcBorders>
              <w:top w:val="nil"/>
              <w:left w:val="nil"/>
              <w:bottom w:val="nil"/>
              <w:right w:val="nil"/>
            </w:tcBorders>
          </w:tcPr>
          <w:p w14:paraId="2BBED5B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60.16 </w:t>
            </w:r>
          </w:p>
          <w:p w14:paraId="531A325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(-12.99;228.21)</w:t>
            </w:r>
          </w:p>
        </w:tc>
      </w:tr>
      <w:tr w:rsidR="00396F50" w:rsidRPr="003D35B9" w14:paraId="3BACD39B" w14:textId="77777777" w:rsidTr="00876112">
        <w:trPr>
          <w:trHeight w:val="288"/>
          <w:jc w:val="center"/>
        </w:trPr>
        <w:tc>
          <w:tcPr>
            <w:tcW w:w="907" w:type="dxa"/>
            <w:tcBorders>
              <w:top w:val="nil"/>
              <w:left w:val="nil"/>
              <w:bottom w:val="nil"/>
              <w:right w:val="nil"/>
            </w:tcBorders>
            <w:shd w:val="clear" w:color="auto" w:fill="auto"/>
            <w:noWrap/>
            <w:vAlign w:val="center"/>
            <w:hideMark/>
          </w:tcPr>
          <w:p w14:paraId="05E7C171"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26F4B85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242" w:type="dxa"/>
            <w:tcBorders>
              <w:top w:val="nil"/>
              <w:left w:val="nil"/>
              <w:bottom w:val="nil"/>
              <w:right w:val="nil"/>
            </w:tcBorders>
            <w:shd w:val="clear" w:color="auto" w:fill="auto"/>
            <w:noWrap/>
            <w:vAlign w:val="center"/>
            <w:hideMark/>
          </w:tcPr>
          <w:p w14:paraId="15507C2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1.44 (1.27;1.61)</w:t>
            </w:r>
          </w:p>
        </w:tc>
        <w:tc>
          <w:tcPr>
            <w:tcW w:w="1059" w:type="dxa"/>
            <w:tcBorders>
              <w:top w:val="nil"/>
              <w:left w:val="nil"/>
              <w:bottom w:val="nil"/>
              <w:right w:val="nil"/>
            </w:tcBorders>
            <w:shd w:val="clear" w:color="auto" w:fill="auto"/>
            <w:noWrap/>
            <w:vAlign w:val="center"/>
          </w:tcPr>
          <w:p w14:paraId="4BB6E35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2.18* (1.99;2.36)</w:t>
            </w:r>
          </w:p>
        </w:tc>
        <w:tc>
          <w:tcPr>
            <w:tcW w:w="1016" w:type="dxa"/>
            <w:tcBorders>
              <w:top w:val="nil"/>
              <w:left w:val="nil"/>
              <w:bottom w:val="nil"/>
              <w:right w:val="nil"/>
            </w:tcBorders>
            <w:shd w:val="clear" w:color="auto" w:fill="auto"/>
            <w:noWrap/>
            <w:vAlign w:val="center"/>
          </w:tcPr>
          <w:p w14:paraId="423D5DC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2.21 (1.98;2.44)</w:t>
            </w:r>
          </w:p>
        </w:tc>
        <w:tc>
          <w:tcPr>
            <w:tcW w:w="1226" w:type="dxa"/>
            <w:tcBorders>
              <w:top w:val="nil"/>
              <w:left w:val="nil"/>
              <w:bottom w:val="nil"/>
              <w:right w:val="nil"/>
            </w:tcBorders>
            <w:shd w:val="clear" w:color="auto" w:fill="auto"/>
            <w:noWrap/>
            <w:vAlign w:val="center"/>
          </w:tcPr>
          <w:p w14:paraId="4743397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51.3* (23.6;85.8)</w:t>
            </w:r>
          </w:p>
        </w:tc>
        <w:tc>
          <w:tcPr>
            <w:tcW w:w="1137" w:type="dxa"/>
            <w:tcBorders>
              <w:top w:val="nil"/>
              <w:left w:val="nil"/>
              <w:bottom w:val="nil"/>
              <w:right w:val="nil"/>
            </w:tcBorders>
            <w:shd w:val="clear" w:color="auto" w:fill="auto"/>
            <w:noWrap/>
            <w:vAlign w:val="center"/>
          </w:tcPr>
          <w:p w14:paraId="790151F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1.38 </w:t>
            </w:r>
          </w:p>
          <w:p w14:paraId="42B25D9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(-16.1;22.6)</w:t>
            </w:r>
          </w:p>
        </w:tc>
        <w:tc>
          <w:tcPr>
            <w:tcW w:w="1433" w:type="dxa"/>
            <w:tcBorders>
              <w:top w:val="nil"/>
              <w:left w:val="nil"/>
              <w:bottom w:val="nil"/>
              <w:right w:val="nil"/>
            </w:tcBorders>
          </w:tcPr>
          <w:p w14:paraId="4FBDB3F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53.47* (22.98;92.13)</w:t>
            </w:r>
          </w:p>
        </w:tc>
      </w:tr>
      <w:tr w:rsidR="00396F50" w:rsidRPr="003D35B9" w14:paraId="3A0E20EF" w14:textId="77777777" w:rsidTr="00876112">
        <w:trPr>
          <w:trHeight w:val="288"/>
          <w:jc w:val="center"/>
        </w:trPr>
        <w:tc>
          <w:tcPr>
            <w:tcW w:w="907" w:type="dxa"/>
            <w:tcBorders>
              <w:top w:val="nil"/>
              <w:left w:val="nil"/>
              <w:bottom w:val="nil"/>
              <w:right w:val="nil"/>
            </w:tcBorders>
            <w:shd w:val="clear" w:color="auto" w:fill="auto"/>
            <w:noWrap/>
            <w:textDirection w:val="btLr"/>
            <w:vAlign w:val="bottom"/>
            <w:hideMark/>
          </w:tcPr>
          <w:p w14:paraId="703EBDD8"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3205EDD2"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242" w:type="dxa"/>
            <w:tcBorders>
              <w:top w:val="nil"/>
              <w:left w:val="nil"/>
              <w:bottom w:val="nil"/>
              <w:right w:val="nil"/>
            </w:tcBorders>
            <w:shd w:val="clear" w:color="auto" w:fill="auto"/>
            <w:noWrap/>
            <w:vAlign w:val="center"/>
            <w:hideMark/>
          </w:tcPr>
          <w:p w14:paraId="28816FE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2.30 (1.77;2.83)</w:t>
            </w:r>
          </w:p>
        </w:tc>
        <w:tc>
          <w:tcPr>
            <w:tcW w:w="1059" w:type="dxa"/>
            <w:tcBorders>
              <w:top w:val="nil"/>
              <w:left w:val="nil"/>
              <w:bottom w:val="nil"/>
              <w:right w:val="nil"/>
            </w:tcBorders>
            <w:shd w:val="clear" w:color="auto" w:fill="auto"/>
            <w:noWrap/>
            <w:vAlign w:val="center"/>
          </w:tcPr>
          <w:p w14:paraId="08AF9A6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3.97* (3.41;4.54)</w:t>
            </w:r>
          </w:p>
        </w:tc>
        <w:tc>
          <w:tcPr>
            <w:tcW w:w="1016" w:type="dxa"/>
            <w:tcBorders>
              <w:top w:val="nil"/>
              <w:left w:val="nil"/>
              <w:bottom w:val="nil"/>
              <w:right w:val="nil"/>
            </w:tcBorders>
            <w:shd w:val="clear" w:color="auto" w:fill="auto"/>
            <w:noWrap/>
            <w:vAlign w:val="center"/>
          </w:tcPr>
          <w:p w14:paraId="53C27FC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4.04 (3.37;4.71)</w:t>
            </w:r>
          </w:p>
        </w:tc>
        <w:tc>
          <w:tcPr>
            <w:tcW w:w="1226" w:type="dxa"/>
            <w:tcBorders>
              <w:top w:val="nil"/>
              <w:left w:val="nil"/>
              <w:bottom w:val="nil"/>
              <w:right w:val="nil"/>
            </w:tcBorders>
            <w:shd w:val="clear" w:color="auto" w:fill="auto"/>
            <w:noWrap/>
            <w:vAlign w:val="center"/>
          </w:tcPr>
          <w:p w14:paraId="67AD283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72.6* (20.5;156.5)</w:t>
            </w:r>
          </w:p>
        </w:tc>
        <w:tc>
          <w:tcPr>
            <w:tcW w:w="1137" w:type="dxa"/>
            <w:tcBorders>
              <w:top w:val="nil"/>
              <w:left w:val="nil"/>
              <w:bottom w:val="nil"/>
              <w:right w:val="nil"/>
            </w:tcBorders>
            <w:shd w:val="clear" w:color="auto" w:fill="auto"/>
            <w:noWrap/>
            <w:vAlign w:val="center"/>
          </w:tcPr>
          <w:p w14:paraId="78ECE34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1.76 </w:t>
            </w:r>
          </w:p>
          <w:p w14:paraId="32D7189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(-25.8;38.1)</w:t>
            </w:r>
          </w:p>
        </w:tc>
        <w:tc>
          <w:tcPr>
            <w:tcW w:w="1433" w:type="dxa"/>
            <w:tcBorders>
              <w:top w:val="nil"/>
              <w:left w:val="nil"/>
              <w:bottom w:val="nil"/>
              <w:right w:val="nil"/>
            </w:tcBorders>
          </w:tcPr>
          <w:p w14:paraId="00D6588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75.65* (19.08;166.10)</w:t>
            </w:r>
          </w:p>
        </w:tc>
      </w:tr>
      <w:tr w:rsidR="00396F50" w:rsidRPr="003D35B9" w14:paraId="45FFF332" w14:textId="77777777" w:rsidTr="00876112">
        <w:trPr>
          <w:trHeight w:val="288"/>
          <w:jc w:val="center"/>
        </w:trPr>
        <w:tc>
          <w:tcPr>
            <w:tcW w:w="907" w:type="dxa"/>
            <w:tcBorders>
              <w:top w:val="nil"/>
              <w:left w:val="nil"/>
              <w:bottom w:val="nil"/>
              <w:right w:val="nil"/>
            </w:tcBorders>
            <w:shd w:val="clear" w:color="auto" w:fill="auto"/>
            <w:noWrap/>
            <w:textDirection w:val="btLr"/>
            <w:vAlign w:val="bottom"/>
            <w:hideMark/>
          </w:tcPr>
          <w:p w14:paraId="4B12430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16A2061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242" w:type="dxa"/>
            <w:tcBorders>
              <w:top w:val="nil"/>
              <w:left w:val="nil"/>
              <w:right w:val="nil"/>
            </w:tcBorders>
            <w:shd w:val="clear" w:color="auto" w:fill="auto"/>
            <w:noWrap/>
            <w:vAlign w:val="center"/>
            <w:hideMark/>
          </w:tcPr>
          <w:p w14:paraId="60D049B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1.65 (1.14;2.16)</w:t>
            </w:r>
          </w:p>
        </w:tc>
        <w:tc>
          <w:tcPr>
            <w:tcW w:w="1059" w:type="dxa"/>
            <w:tcBorders>
              <w:top w:val="nil"/>
              <w:left w:val="nil"/>
              <w:right w:val="nil"/>
            </w:tcBorders>
            <w:shd w:val="clear" w:color="auto" w:fill="auto"/>
            <w:noWrap/>
            <w:vAlign w:val="center"/>
          </w:tcPr>
          <w:p w14:paraId="31A8D58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1.90 (1.50;2.30)</w:t>
            </w:r>
          </w:p>
        </w:tc>
        <w:tc>
          <w:tcPr>
            <w:tcW w:w="1016" w:type="dxa"/>
            <w:tcBorders>
              <w:top w:val="nil"/>
              <w:left w:val="nil"/>
              <w:right w:val="nil"/>
            </w:tcBorders>
            <w:shd w:val="clear" w:color="auto" w:fill="auto"/>
            <w:noWrap/>
            <w:vAlign w:val="center"/>
          </w:tcPr>
          <w:p w14:paraId="3513C8E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3.03* (2.42;3.64)</w:t>
            </w:r>
          </w:p>
        </w:tc>
        <w:tc>
          <w:tcPr>
            <w:tcW w:w="1226" w:type="dxa"/>
            <w:tcBorders>
              <w:top w:val="nil"/>
              <w:left w:val="nil"/>
              <w:right w:val="nil"/>
            </w:tcBorders>
            <w:shd w:val="clear" w:color="auto" w:fill="auto"/>
            <w:noWrap/>
            <w:vAlign w:val="center"/>
          </w:tcPr>
          <w:p w14:paraId="2BCE09D7" w14:textId="77777777" w:rsid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15.15 </w:t>
            </w:r>
          </w:p>
          <w:p w14:paraId="530DFB63" w14:textId="6A71D38F"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(-30.56;101.75)</w:t>
            </w:r>
          </w:p>
        </w:tc>
        <w:tc>
          <w:tcPr>
            <w:tcW w:w="1137" w:type="dxa"/>
            <w:tcBorders>
              <w:top w:val="nil"/>
              <w:left w:val="nil"/>
              <w:right w:val="nil"/>
            </w:tcBorders>
            <w:shd w:val="clear" w:color="auto" w:fill="auto"/>
            <w:noWrap/>
            <w:vAlign w:val="center"/>
          </w:tcPr>
          <w:p w14:paraId="5A71DFC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59.47* (5.22;142.67)</w:t>
            </w:r>
          </w:p>
        </w:tc>
        <w:tc>
          <w:tcPr>
            <w:tcW w:w="1433" w:type="dxa"/>
            <w:tcBorders>
              <w:top w:val="nil"/>
              <w:left w:val="nil"/>
              <w:right w:val="nil"/>
            </w:tcBorders>
          </w:tcPr>
          <w:p w14:paraId="5DA2B4D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83.64* (12.04;219.30)</w:t>
            </w:r>
          </w:p>
        </w:tc>
      </w:tr>
      <w:tr w:rsidR="00396F50" w:rsidRPr="003D35B9" w14:paraId="15C0BC69" w14:textId="77777777" w:rsidTr="00876112">
        <w:trPr>
          <w:trHeight w:val="300"/>
          <w:jc w:val="center"/>
        </w:trPr>
        <w:tc>
          <w:tcPr>
            <w:tcW w:w="1833" w:type="dxa"/>
            <w:gridSpan w:val="2"/>
            <w:tcBorders>
              <w:top w:val="nil"/>
              <w:left w:val="nil"/>
              <w:bottom w:val="single" w:sz="8" w:space="0" w:color="000000"/>
              <w:right w:val="single" w:sz="8" w:space="0" w:color="000000"/>
            </w:tcBorders>
            <w:shd w:val="clear" w:color="auto" w:fill="auto"/>
            <w:noWrap/>
            <w:vAlign w:val="center"/>
          </w:tcPr>
          <w:p w14:paraId="07219843" w14:textId="77777777" w:rsidR="00396F50" w:rsidRPr="003D35B9" w:rsidRDefault="00396F50" w:rsidP="00876112">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w:t>
            </w:r>
            <w:r w:rsidRPr="003D35B9">
              <w:rPr>
                <w:rFonts w:ascii="Times New Roman" w:eastAsia="Times New Roman" w:hAnsi="Times New Roman" w:cs="Times New Roman"/>
                <w:color w:val="000000"/>
                <w:sz w:val="32"/>
                <w:szCs w:val="32"/>
              </w:rPr>
              <w:t>ADL</w:t>
            </w:r>
          </w:p>
        </w:tc>
        <w:tc>
          <w:tcPr>
            <w:tcW w:w="1242" w:type="dxa"/>
            <w:tcBorders>
              <w:top w:val="nil"/>
              <w:left w:val="single" w:sz="8" w:space="0" w:color="000000"/>
              <w:bottom w:val="single" w:sz="4" w:space="0" w:color="auto"/>
              <w:right w:val="nil"/>
            </w:tcBorders>
            <w:shd w:val="clear" w:color="auto" w:fill="auto"/>
            <w:noWrap/>
            <w:vAlign w:val="center"/>
          </w:tcPr>
          <w:p w14:paraId="2EDB06A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059" w:type="dxa"/>
            <w:tcBorders>
              <w:top w:val="nil"/>
              <w:left w:val="nil"/>
              <w:bottom w:val="single" w:sz="4" w:space="0" w:color="auto"/>
              <w:right w:val="nil"/>
            </w:tcBorders>
            <w:shd w:val="clear" w:color="auto" w:fill="auto"/>
            <w:vAlign w:val="center"/>
          </w:tcPr>
          <w:p w14:paraId="239BE78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nil"/>
            </w:tcBorders>
            <w:shd w:val="clear" w:color="auto" w:fill="auto"/>
            <w:vAlign w:val="center"/>
          </w:tcPr>
          <w:p w14:paraId="2F0CEC5F" w14:textId="77777777" w:rsidR="00396F50" w:rsidRPr="004D1D4E" w:rsidRDefault="00396F50" w:rsidP="00876112">
            <w:pPr>
              <w:spacing w:after="0" w:line="240" w:lineRule="auto"/>
              <w:rPr>
                <w:rFonts w:ascii="Times New Roman" w:eastAsia="Times New Roman" w:hAnsi="Times New Roman" w:cs="Times New Roman"/>
                <w:sz w:val="16"/>
                <w:szCs w:val="16"/>
              </w:rPr>
            </w:pPr>
          </w:p>
        </w:tc>
        <w:tc>
          <w:tcPr>
            <w:tcW w:w="1226" w:type="dxa"/>
            <w:tcBorders>
              <w:top w:val="nil"/>
              <w:left w:val="nil"/>
              <w:bottom w:val="single" w:sz="4" w:space="0" w:color="auto"/>
              <w:right w:val="nil"/>
            </w:tcBorders>
            <w:shd w:val="clear" w:color="auto" w:fill="auto"/>
            <w:vAlign w:val="center"/>
          </w:tcPr>
          <w:p w14:paraId="1DD4CE4F" w14:textId="77777777" w:rsidR="00396F50" w:rsidRPr="004D1D4E" w:rsidRDefault="00396F50" w:rsidP="00876112">
            <w:pPr>
              <w:spacing w:after="0" w:line="240" w:lineRule="auto"/>
              <w:rPr>
                <w:rFonts w:ascii="Times New Roman" w:eastAsia="Times New Roman" w:hAnsi="Times New Roman" w:cs="Times New Roman"/>
                <w:sz w:val="16"/>
                <w:szCs w:val="16"/>
              </w:rPr>
            </w:pPr>
          </w:p>
        </w:tc>
        <w:tc>
          <w:tcPr>
            <w:tcW w:w="1137" w:type="dxa"/>
            <w:tcBorders>
              <w:top w:val="nil"/>
              <w:left w:val="nil"/>
              <w:bottom w:val="single" w:sz="4" w:space="0" w:color="auto"/>
              <w:right w:val="nil"/>
            </w:tcBorders>
            <w:shd w:val="clear" w:color="auto" w:fill="auto"/>
            <w:vAlign w:val="center"/>
          </w:tcPr>
          <w:p w14:paraId="07FB5F5B" w14:textId="77777777" w:rsidR="00396F50" w:rsidRPr="004D1D4E" w:rsidRDefault="00396F50" w:rsidP="00876112">
            <w:pPr>
              <w:spacing w:after="0" w:line="240" w:lineRule="auto"/>
              <w:rPr>
                <w:rFonts w:ascii="Times New Roman" w:eastAsia="Times New Roman" w:hAnsi="Times New Roman" w:cs="Times New Roman"/>
                <w:sz w:val="16"/>
                <w:szCs w:val="16"/>
              </w:rPr>
            </w:pPr>
          </w:p>
        </w:tc>
        <w:tc>
          <w:tcPr>
            <w:tcW w:w="1433" w:type="dxa"/>
            <w:tcBorders>
              <w:top w:val="nil"/>
              <w:left w:val="nil"/>
              <w:bottom w:val="single" w:sz="4" w:space="0" w:color="auto"/>
              <w:right w:val="nil"/>
            </w:tcBorders>
            <w:vAlign w:val="center"/>
          </w:tcPr>
          <w:p w14:paraId="5185D171" w14:textId="77777777" w:rsidR="00396F50" w:rsidRPr="004D1D4E" w:rsidRDefault="00396F50" w:rsidP="00876112">
            <w:pPr>
              <w:spacing w:after="0" w:line="240" w:lineRule="auto"/>
              <w:rPr>
                <w:rFonts w:ascii="Times New Roman" w:eastAsia="Times New Roman" w:hAnsi="Times New Roman" w:cs="Times New Roman"/>
                <w:sz w:val="16"/>
                <w:szCs w:val="16"/>
              </w:rPr>
            </w:pPr>
          </w:p>
        </w:tc>
      </w:tr>
      <w:tr w:rsidR="00396F50" w:rsidRPr="00986093" w14:paraId="464B2BE8" w14:textId="77777777" w:rsidTr="00876112">
        <w:trPr>
          <w:cantSplit/>
          <w:trHeight w:val="288"/>
          <w:jc w:val="center"/>
        </w:trPr>
        <w:tc>
          <w:tcPr>
            <w:tcW w:w="907" w:type="dxa"/>
            <w:tcBorders>
              <w:top w:val="nil"/>
              <w:left w:val="nil"/>
              <w:bottom w:val="nil"/>
              <w:right w:val="nil"/>
            </w:tcBorders>
            <w:shd w:val="clear" w:color="auto" w:fill="auto"/>
            <w:noWrap/>
            <w:vAlign w:val="center"/>
            <w:hideMark/>
          </w:tcPr>
          <w:p w14:paraId="1E08D240"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nil"/>
              <w:left w:val="nil"/>
              <w:bottom w:val="nil"/>
              <w:right w:val="single" w:sz="8" w:space="0" w:color="auto"/>
            </w:tcBorders>
            <w:shd w:val="clear" w:color="auto" w:fill="auto"/>
            <w:noWrap/>
            <w:vAlign w:val="center"/>
            <w:hideMark/>
          </w:tcPr>
          <w:p w14:paraId="5376AD60"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242" w:type="dxa"/>
            <w:tcBorders>
              <w:top w:val="nil"/>
              <w:left w:val="nil"/>
              <w:bottom w:val="nil"/>
              <w:right w:val="nil"/>
            </w:tcBorders>
            <w:shd w:val="clear" w:color="auto" w:fill="auto"/>
            <w:noWrap/>
            <w:vAlign w:val="center"/>
            <w:hideMark/>
          </w:tcPr>
          <w:p w14:paraId="0AE62AB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2.50 (2.25;2.74)</w:t>
            </w:r>
          </w:p>
        </w:tc>
        <w:tc>
          <w:tcPr>
            <w:tcW w:w="1059" w:type="dxa"/>
            <w:tcBorders>
              <w:top w:val="single" w:sz="4" w:space="0" w:color="auto"/>
              <w:left w:val="nil"/>
              <w:bottom w:val="nil"/>
              <w:right w:val="nil"/>
            </w:tcBorders>
            <w:shd w:val="clear" w:color="auto" w:fill="auto"/>
            <w:noWrap/>
            <w:vAlign w:val="center"/>
          </w:tcPr>
          <w:p w14:paraId="3B00BAF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3.32* (3.09;3.55)</w:t>
            </w:r>
          </w:p>
        </w:tc>
        <w:tc>
          <w:tcPr>
            <w:tcW w:w="1016" w:type="dxa"/>
            <w:tcBorders>
              <w:top w:val="single" w:sz="4" w:space="0" w:color="auto"/>
              <w:left w:val="nil"/>
              <w:bottom w:val="nil"/>
              <w:right w:val="nil"/>
            </w:tcBorders>
            <w:shd w:val="clear" w:color="auto" w:fill="auto"/>
            <w:noWrap/>
            <w:vAlign w:val="center"/>
          </w:tcPr>
          <w:p w14:paraId="261085F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3.45 (3.15;3.74)</w:t>
            </w:r>
          </w:p>
        </w:tc>
        <w:tc>
          <w:tcPr>
            <w:tcW w:w="1226" w:type="dxa"/>
            <w:tcBorders>
              <w:top w:val="single" w:sz="4" w:space="0" w:color="auto"/>
              <w:left w:val="nil"/>
              <w:bottom w:val="nil"/>
              <w:right w:val="nil"/>
            </w:tcBorders>
            <w:shd w:val="clear" w:color="auto" w:fill="auto"/>
            <w:noWrap/>
            <w:vAlign w:val="center"/>
          </w:tcPr>
          <w:p w14:paraId="62EF58F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32.8*</w:t>
            </w:r>
          </w:p>
          <w:p w14:paraId="1334396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(12.8;57.8)</w:t>
            </w:r>
          </w:p>
        </w:tc>
        <w:tc>
          <w:tcPr>
            <w:tcW w:w="1137" w:type="dxa"/>
            <w:tcBorders>
              <w:top w:val="single" w:sz="4" w:space="0" w:color="auto"/>
              <w:left w:val="nil"/>
              <w:bottom w:val="nil"/>
              <w:right w:val="nil"/>
            </w:tcBorders>
            <w:shd w:val="clear" w:color="auto" w:fill="auto"/>
            <w:noWrap/>
            <w:vAlign w:val="center"/>
          </w:tcPr>
          <w:p w14:paraId="558BA13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3.9 </w:t>
            </w:r>
          </w:p>
          <w:p w14:paraId="68B5025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(-11.3;21.0)</w:t>
            </w:r>
          </w:p>
        </w:tc>
        <w:tc>
          <w:tcPr>
            <w:tcW w:w="1433" w:type="dxa"/>
            <w:tcBorders>
              <w:top w:val="single" w:sz="4" w:space="0" w:color="auto"/>
              <w:left w:val="nil"/>
              <w:bottom w:val="nil"/>
              <w:right w:val="nil"/>
            </w:tcBorders>
          </w:tcPr>
          <w:p w14:paraId="032890E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38.00* (14.96;66.22)</w:t>
            </w:r>
          </w:p>
        </w:tc>
      </w:tr>
      <w:tr w:rsidR="00396F50" w:rsidRPr="00986093" w14:paraId="265A9DF0" w14:textId="77777777" w:rsidTr="00876112">
        <w:trPr>
          <w:cantSplit/>
          <w:trHeight w:val="288"/>
          <w:jc w:val="center"/>
        </w:trPr>
        <w:tc>
          <w:tcPr>
            <w:tcW w:w="907" w:type="dxa"/>
            <w:tcBorders>
              <w:top w:val="nil"/>
              <w:left w:val="nil"/>
              <w:bottom w:val="nil"/>
              <w:right w:val="nil"/>
            </w:tcBorders>
            <w:shd w:val="clear" w:color="auto" w:fill="auto"/>
            <w:noWrap/>
            <w:textDirection w:val="btLr"/>
            <w:vAlign w:val="bottom"/>
            <w:hideMark/>
          </w:tcPr>
          <w:p w14:paraId="4CE03C2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5170589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242" w:type="dxa"/>
            <w:tcBorders>
              <w:top w:val="nil"/>
              <w:left w:val="nil"/>
              <w:bottom w:val="nil"/>
              <w:right w:val="nil"/>
            </w:tcBorders>
            <w:shd w:val="clear" w:color="auto" w:fill="auto"/>
            <w:noWrap/>
            <w:vAlign w:val="center"/>
            <w:hideMark/>
          </w:tcPr>
          <w:p w14:paraId="5E0484E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3.56 (2.81;4.31)</w:t>
            </w:r>
          </w:p>
        </w:tc>
        <w:tc>
          <w:tcPr>
            <w:tcW w:w="1059" w:type="dxa"/>
            <w:tcBorders>
              <w:top w:val="nil"/>
              <w:left w:val="nil"/>
              <w:bottom w:val="nil"/>
              <w:right w:val="nil"/>
            </w:tcBorders>
            <w:shd w:val="clear" w:color="auto" w:fill="auto"/>
            <w:noWrap/>
            <w:vAlign w:val="center"/>
          </w:tcPr>
          <w:p w14:paraId="6E6C8F0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5.21* (4.51;5.91)</w:t>
            </w:r>
          </w:p>
        </w:tc>
        <w:tc>
          <w:tcPr>
            <w:tcW w:w="1016" w:type="dxa"/>
            <w:tcBorders>
              <w:top w:val="nil"/>
              <w:left w:val="nil"/>
              <w:bottom w:val="nil"/>
              <w:right w:val="nil"/>
            </w:tcBorders>
            <w:shd w:val="clear" w:color="auto" w:fill="auto"/>
            <w:noWrap/>
            <w:vAlign w:val="center"/>
          </w:tcPr>
          <w:p w14:paraId="55B6EC7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5.90 (5.02;6.79)</w:t>
            </w:r>
          </w:p>
        </w:tc>
        <w:tc>
          <w:tcPr>
            <w:tcW w:w="1226" w:type="dxa"/>
            <w:tcBorders>
              <w:top w:val="nil"/>
              <w:left w:val="nil"/>
              <w:bottom w:val="nil"/>
              <w:right w:val="nil"/>
            </w:tcBorders>
            <w:shd w:val="clear" w:color="auto" w:fill="auto"/>
            <w:noWrap/>
            <w:vAlign w:val="center"/>
          </w:tcPr>
          <w:p w14:paraId="659A2F4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46.4* (4.6;110.3)</w:t>
            </w:r>
          </w:p>
        </w:tc>
        <w:tc>
          <w:tcPr>
            <w:tcW w:w="1137" w:type="dxa"/>
            <w:tcBorders>
              <w:top w:val="nil"/>
              <w:left w:val="nil"/>
              <w:bottom w:val="nil"/>
              <w:right w:val="nil"/>
            </w:tcBorders>
            <w:shd w:val="clear" w:color="auto" w:fill="auto"/>
            <w:noWrap/>
            <w:vAlign w:val="center"/>
          </w:tcPr>
          <w:p w14:paraId="67148A6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13.2 </w:t>
            </w:r>
          </w:p>
          <w:p w14:paraId="1A0ED34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(-15.1;50.5)</w:t>
            </w:r>
          </w:p>
        </w:tc>
        <w:tc>
          <w:tcPr>
            <w:tcW w:w="1433" w:type="dxa"/>
            <w:tcBorders>
              <w:top w:val="nil"/>
              <w:left w:val="nil"/>
              <w:bottom w:val="nil"/>
              <w:right w:val="nil"/>
            </w:tcBorders>
          </w:tcPr>
          <w:p w14:paraId="45CB612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65.73* (16.47;141.64)</w:t>
            </w:r>
          </w:p>
        </w:tc>
      </w:tr>
      <w:tr w:rsidR="00396F50" w:rsidRPr="00986093" w14:paraId="62D93937" w14:textId="77777777" w:rsidTr="00876112">
        <w:trPr>
          <w:cantSplit/>
          <w:trHeight w:val="288"/>
          <w:jc w:val="center"/>
        </w:trPr>
        <w:tc>
          <w:tcPr>
            <w:tcW w:w="907" w:type="dxa"/>
            <w:tcBorders>
              <w:top w:val="nil"/>
              <w:left w:val="nil"/>
              <w:bottom w:val="nil"/>
              <w:right w:val="nil"/>
            </w:tcBorders>
            <w:shd w:val="clear" w:color="auto" w:fill="auto"/>
            <w:noWrap/>
            <w:textDirection w:val="btLr"/>
            <w:vAlign w:val="bottom"/>
            <w:hideMark/>
          </w:tcPr>
          <w:p w14:paraId="7D69BD53"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5C9121B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242" w:type="dxa"/>
            <w:tcBorders>
              <w:top w:val="nil"/>
              <w:left w:val="nil"/>
              <w:bottom w:val="nil"/>
              <w:right w:val="nil"/>
            </w:tcBorders>
            <w:shd w:val="clear" w:color="auto" w:fill="auto"/>
            <w:noWrap/>
            <w:vAlign w:val="center"/>
            <w:hideMark/>
          </w:tcPr>
          <w:p w14:paraId="46C87B5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2.38 (1.70;3.07)</w:t>
            </w:r>
          </w:p>
        </w:tc>
        <w:tc>
          <w:tcPr>
            <w:tcW w:w="1059" w:type="dxa"/>
            <w:tcBorders>
              <w:top w:val="nil"/>
              <w:left w:val="nil"/>
              <w:bottom w:val="nil"/>
              <w:right w:val="nil"/>
            </w:tcBorders>
            <w:shd w:val="clear" w:color="auto" w:fill="auto"/>
            <w:noWrap/>
            <w:vAlign w:val="center"/>
          </w:tcPr>
          <w:p w14:paraId="142FD7F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2.55 (2.05;3.04)</w:t>
            </w:r>
          </w:p>
        </w:tc>
        <w:tc>
          <w:tcPr>
            <w:tcW w:w="1016" w:type="dxa"/>
            <w:tcBorders>
              <w:top w:val="nil"/>
              <w:left w:val="nil"/>
              <w:bottom w:val="nil"/>
              <w:right w:val="nil"/>
            </w:tcBorders>
            <w:shd w:val="clear" w:color="auto" w:fill="auto"/>
            <w:noWrap/>
            <w:vAlign w:val="center"/>
          </w:tcPr>
          <w:p w14:paraId="0A7C52F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3.10 (2.48;3.72)</w:t>
            </w:r>
          </w:p>
        </w:tc>
        <w:tc>
          <w:tcPr>
            <w:tcW w:w="1226" w:type="dxa"/>
            <w:tcBorders>
              <w:top w:val="nil"/>
              <w:left w:val="nil"/>
              <w:bottom w:val="nil"/>
              <w:right w:val="nil"/>
            </w:tcBorders>
            <w:shd w:val="clear" w:color="auto" w:fill="auto"/>
            <w:noWrap/>
            <w:vAlign w:val="center"/>
          </w:tcPr>
          <w:p w14:paraId="5E88288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7.1 </w:t>
            </w:r>
          </w:p>
          <w:p w14:paraId="28875F2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(-33.2;78.8)</w:t>
            </w:r>
          </w:p>
        </w:tc>
        <w:tc>
          <w:tcPr>
            <w:tcW w:w="1137" w:type="dxa"/>
            <w:tcBorders>
              <w:top w:val="nil"/>
              <w:left w:val="nil"/>
              <w:bottom w:val="nil"/>
              <w:right w:val="nil"/>
            </w:tcBorders>
            <w:shd w:val="clear" w:color="auto" w:fill="auto"/>
            <w:noWrap/>
            <w:vAlign w:val="center"/>
          </w:tcPr>
          <w:p w14:paraId="6C59C65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21.6 </w:t>
            </w:r>
          </w:p>
          <w:p w14:paraId="4B1ABE6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(-18.4;81.5) </w:t>
            </w:r>
          </w:p>
        </w:tc>
        <w:tc>
          <w:tcPr>
            <w:tcW w:w="1433" w:type="dxa"/>
            <w:tcBorders>
              <w:top w:val="nil"/>
              <w:left w:val="nil"/>
              <w:bottom w:val="nil"/>
              <w:right w:val="nil"/>
            </w:tcBorders>
          </w:tcPr>
          <w:p w14:paraId="5C07B50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30.25 </w:t>
            </w:r>
          </w:p>
          <w:p w14:paraId="2EB7F90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(-19.22;118.82)</w:t>
            </w:r>
          </w:p>
        </w:tc>
      </w:tr>
      <w:tr w:rsidR="00396F50" w:rsidRPr="00986093" w14:paraId="3641413B" w14:textId="77777777" w:rsidTr="00876112">
        <w:trPr>
          <w:cantSplit/>
          <w:trHeight w:val="288"/>
          <w:jc w:val="center"/>
        </w:trPr>
        <w:tc>
          <w:tcPr>
            <w:tcW w:w="907" w:type="dxa"/>
            <w:tcBorders>
              <w:top w:val="nil"/>
              <w:left w:val="nil"/>
              <w:bottom w:val="nil"/>
              <w:right w:val="nil"/>
            </w:tcBorders>
            <w:shd w:val="clear" w:color="auto" w:fill="auto"/>
            <w:noWrap/>
            <w:vAlign w:val="center"/>
            <w:hideMark/>
          </w:tcPr>
          <w:p w14:paraId="4274CB3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15A608A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242" w:type="dxa"/>
            <w:tcBorders>
              <w:top w:val="nil"/>
              <w:left w:val="nil"/>
              <w:bottom w:val="nil"/>
              <w:right w:val="nil"/>
            </w:tcBorders>
            <w:shd w:val="clear" w:color="auto" w:fill="auto"/>
            <w:noWrap/>
            <w:vAlign w:val="center"/>
            <w:hideMark/>
          </w:tcPr>
          <w:p w14:paraId="1DA7B80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3.95 (3.65;4.25)</w:t>
            </w:r>
          </w:p>
        </w:tc>
        <w:tc>
          <w:tcPr>
            <w:tcW w:w="1059" w:type="dxa"/>
            <w:tcBorders>
              <w:top w:val="nil"/>
              <w:left w:val="nil"/>
              <w:bottom w:val="nil"/>
              <w:right w:val="nil"/>
            </w:tcBorders>
            <w:shd w:val="clear" w:color="auto" w:fill="auto"/>
            <w:noWrap/>
            <w:vAlign w:val="center"/>
          </w:tcPr>
          <w:p w14:paraId="464CB77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5.04* (4.77;5.32)</w:t>
            </w:r>
          </w:p>
        </w:tc>
        <w:tc>
          <w:tcPr>
            <w:tcW w:w="1016" w:type="dxa"/>
            <w:tcBorders>
              <w:top w:val="nil"/>
              <w:left w:val="nil"/>
              <w:bottom w:val="nil"/>
              <w:right w:val="nil"/>
            </w:tcBorders>
            <w:shd w:val="clear" w:color="auto" w:fill="auto"/>
            <w:noWrap/>
            <w:vAlign w:val="center"/>
          </w:tcPr>
          <w:p w14:paraId="0826596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5.15 (4.8;5.50)</w:t>
            </w:r>
          </w:p>
        </w:tc>
        <w:tc>
          <w:tcPr>
            <w:tcW w:w="1226" w:type="dxa"/>
            <w:tcBorders>
              <w:top w:val="nil"/>
              <w:left w:val="nil"/>
              <w:bottom w:val="nil"/>
              <w:right w:val="nil"/>
            </w:tcBorders>
            <w:shd w:val="clear" w:color="auto" w:fill="auto"/>
            <w:noWrap/>
            <w:vAlign w:val="center"/>
          </w:tcPr>
          <w:p w14:paraId="42404E6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27.6* (12.2;45.7)</w:t>
            </w:r>
          </w:p>
        </w:tc>
        <w:tc>
          <w:tcPr>
            <w:tcW w:w="1137" w:type="dxa"/>
            <w:tcBorders>
              <w:top w:val="nil"/>
              <w:left w:val="nil"/>
              <w:bottom w:val="nil"/>
              <w:right w:val="nil"/>
            </w:tcBorders>
            <w:shd w:val="clear" w:color="auto" w:fill="auto"/>
            <w:noWrap/>
            <w:vAlign w:val="center"/>
          </w:tcPr>
          <w:p w14:paraId="380BE58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2.18 </w:t>
            </w:r>
          </w:p>
          <w:p w14:paraId="3B70993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(-9.8;15.3)</w:t>
            </w:r>
          </w:p>
        </w:tc>
        <w:tc>
          <w:tcPr>
            <w:tcW w:w="1433" w:type="dxa"/>
            <w:tcBorders>
              <w:top w:val="nil"/>
              <w:left w:val="nil"/>
              <w:bottom w:val="nil"/>
              <w:right w:val="nil"/>
            </w:tcBorders>
          </w:tcPr>
          <w:p w14:paraId="69B3EAB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30.38* (12.94;50.68)</w:t>
            </w:r>
          </w:p>
        </w:tc>
      </w:tr>
      <w:tr w:rsidR="00396F50" w:rsidRPr="00986093" w14:paraId="35894517" w14:textId="77777777" w:rsidTr="00876112">
        <w:trPr>
          <w:cantSplit/>
          <w:trHeight w:val="288"/>
          <w:jc w:val="center"/>
        </w:trPr>
        <w:tc>
          <w:tcPr>
            <w:tcW w:w="907" w:type="dxa"/>
            <w:tcBorders>
              <w:top w:val="nil"/>
              <w:left w:val="nil"/>
              <w:bottom w:val="nil"/>
              <w:right w:val="nil"/>
            </w:tcBorders>
            <w:shd w:val="clear" w:color="auto" w:fill="auto"/>
            <w:noWrap/>
            <w:textDirection w:val="btLr"/>
            <w:vAlign w:val="bottom"/>
            <w:hideMark/>
          </w:tcPr>
          <w:p w14:paraId="007055D8"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7099F809"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242" w:type="dxa"/>
            <w:tcBorders>
              <w:top w:val="nil"/>
              <w:left w:val="nil"/>
              <w:bottom w:val="nil"/>
              <w:right w:val="nil"/>
            </w:tcBorders>
            <w:shd w:val="clear" w:color="auto" w:fill="auto"/>
            <w:noWrap/>
            <w:vAlign w:val="center"/>
            <w:hideMark/>
          </w:tcPr>
          <w:p w14:paraId="5DCD76C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6.07 (5.18;6.97)</w:t>
            </w:r>
          </w:p>
        </w:tc>
        <w:tc>
          <w:tcPr>
            <w:tcW w:w="1059" w:type="dxa"/>
            <w:tcBorders>
              <w:top w:val="nil"/>
              <w:left w:val="nil"/>
              <w:bottom w:val="nil"/>
              <w:right w:val="nil"/>
            </w:tcBorders>
            <w:shd w:val="clear" w:color="auto" w:fill="auto"/>
            <w:noWrap/>
            <w:vAlign w:val="center"/>
          </w:tcPr>
          <w:p w14:paraId="2E5322F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7.85* (7.07;8.64)</w:t>
            </w:r>
          </w:p>
        </w:tc>
        <w:tc>
          <w:tcPr>
            <w:tcW w:w="1016" w:type="dxa"/>
            <w:tcBorders>
              <w:top w:val="nil"/>
              <w:left w:val="nil"/>
              <w:bottom w:val="nil"/>
              <w:right w:val="nil"/>
            </w:tcBorders>
            <w:shd w:val="clear" w:color="auto" w:fill="auto"/>
            <w:noWrap/>
            <w:vAlign w:val="center"/>
          </w:tcPr>
          <w:p w14:paraId="4672043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6.92 (6.05;7.78)</w:t>
            </w:r>
          </w:p>
        </w:tc>
        <w:tc>
          <w:tcPr>
            <w:tcW w:w="1226" w:type="dxa"/>
            <w:tcBorders>
              <w:top w:val="nil"/>
              <w:left w:val="nil"/>
              <w:bottom w:val="nil"/>
              <w:right w:val="nil"/>
            </w:tcBorders>
            <w:shd w:val="clear" w:color="auto" w:fill="auto"/>
            <w:noWrap/>
            <w:vAlign w:val="center"/>
          </w:tcPr>
          <w:p w14:paraId="1F17EC8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29.3* (1.43;66.8)</w:t>
            </w:r>
          </w:p>
        </w:tc>
        <w:tc>
          <w:tcPr>
            <w:tcW w:w="1137" w:type="dxa"/>
            <w:tcBorders>
              <w:top w:val="nil"/>
              <w:left w:val="nil"/>
              <w:bottom w:val="nil"/>
              <w:right w:val="nil"/>
            </w:tcBorders>
            <w:shd w:val="clear" w:color="auto" w:fill="auto"/>
            <w:noWrap/>
            <w:vAlign w:val="center"/>
          </w:tcPr>
          <w:p w14:paraId="73D99BE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 -11.8</w:t>
            </w:r>
          </w:p>
          <w:p w14:paraId="7E3EFB3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(-30.0;10.0)</w:t>
            </w:r>
          </w:p>
        </w:tc>
        <w:tc>
          <w:tcPr>
            <w:tcW w:w="1433" w:type="dxa"/>
            <w:tcBorders>
              <w:top w:val="nil"/>
              <w:left w:val="nil"/>
              <w:bottom w:val="nil"/>
              <w:right w:val="nil"/>
            </w:tcBorders>
          </w:tcPr>
          <w:p w14:paraId="5137F7B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14.00 </w:t>
            </w:r>
          </w:p>
          <w:p w14:paraId="6B26409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(-13.20;50.19)</w:t>
            </w:r>
          </w:p>
        </w:tc>
      </w:tr>
      <w:tr w:rsidR="00396F50" w:rsidRPr="00986093" w14:paraId="52335AE0" w14:textId="77777777" w:rsidTr="00876112">
        <w:trPr>
          <w:cantSplit/>
          <w:trHeight w:val="213"/>
          <w:jc w:val="center"/>
        </w:trPr>
        <w:tc>
          <w:tcPr>
            <w:tcW w:w="907" w:type="dxa"/>
            <w:tcBorders>
              <w:top w:val="nil"/>
              <w:left w:val="nil"/>
              <w:bottom w:val="nil"/>
              <w:right w:val="nil"/>
            </w:tcBorders>
            <w:shd w:val="clear" w:color="auto" w:fill="auto"/>
            <w:noWrap/>
            <w:textDirection w:val="btLr"/>
            <w:vAlign w:val="bottom"/>
            <w:hideMark/>
          </w:tcPr>
          <w:p w14:paraId="6E2C419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32DE486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242" w:type="dxa"/>
            <w:tcBorders>
              <w:top w:val="nil"/>
              <w:left w:val="nil"/>
              <w:bottom w:val="nil"/>
              <w:right w:val="nil"/>
            </w:tcBorders>
            <w:shd w:val="clear" w:color="auto" w:fill="auto"/>
            <w:noWrap/>
            <w:vAlign w:val="center"/>
            <w:hideMark/>
          </w:tcPr>
          <w:p w14:paraId="148D6B8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3.63 (2.84;4.41)</w:t>
            </w:r>
          </w:p>
        </w:tc>
        <w:tc>
          <w:tcPr>
            <w:tcW w:w="1059" w:type="dxa"/>
            <w:tcBorders>
              <w:top w:val="nil"/>
              <w:left w:val="nil"/>
              <w:bottom w:val="nil"/>
              <w:right w:val="nil"/>
            </w:tcBorders>
            <w:shd w:val="clear" w:color="auto" w:fill="auto"/>
            <w:noWrap/>
            <w:vAlign w:val="center"/>
          </w:tcPr>
          <w:p w14:paraId="106292B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3.98 (3.39;4.58)</w:t>
            </w:r>
          </w:p>
        </w:tc>
        <w:tc>
          <w:tcPr>
            <w:tcW w:w="1016" w:type="dxa"/>
            <w:tcBorders>
              <w:top w:val="nil"/>
              <w:left w:val="nil"/>
              <w:bottom w:val="nil"/>
              <w:right w:val="nil"/>
            </w:tcBorders>
            <w:shd w:val="clear" w:color="auto" w:fill="auto"/>
            <w:noWrap/>
            <w:vAlign w:val="center"/>
          </w:tcPr>
          <w:p w14:paraId="30A2BE8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5.39* (4.59;6.20)</w:t>
            </w:r>
          </w:p>
        </w:tc>
        <w:tc>
          <w:tcPr>
            <w:tcW w:w="1226" w:type="dxa"/>
            <w:tcBorders>
              <w:top w:val="nil"/>
              <w:left w:val="nil"/>
              <w:bottom w:val="nil"/>
              <w:right w:val="nil"/>
            </w:tcBorders>
            <w:shd w:val="clear" w:color="auto" w:fill="auto"/>
            <w:noWrap/>
            <w:vAlign w:val="center"/>
          </w:tcPr>
          <w:p w14:paraId="6E73672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9.6 </w:t>
            </w:r>
          </w:p>
          <w:p w14:paraId="5C48380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(-23.1;61.3)</w:t>
            </w:r>
          </w:p>
        </w:tc>
        <w:tc>
          <w:tcPr>
            <w:tcW w:w="1137" w:type="dxa"/>
            <w:tcBorders>
              <w:top w:val="nil"/>
              <w:left w:val="nil"/>
              <w:bottom w:val="nil"/>
              <w:right w:val="nil"/>
            </w:tcBorders>
            <w:shd w:val="clear" w:color="auto" w:fill="auto"/>
            <w:noWrap/>
            <w:vAlign w:val="center"/>
          </w:tcPr>
          <w:p w14:paraId="599A32B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35.4* (0.22;82.9)</w:t>
            </w:r>
          </w:p>
        </w:tc>
        <w:tc>
          <w:tcPr>
            <w:tcW w:w="1433" w:type="dxa"/>
            <w:tcBorders>
              <w:top w:val="nil"/>
              <w:left w:val="nil"/>
              <w:bottom w:val="nil"/>
              <w:right w:val="nil"/>
            </w:tcBorders>
          </w:tcPr>
          <w:p w14:paraId="0B979B7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48.48* (4.08;118.31)</w:t>
            </w:r>
          </w:p>
        </w:tc>
      </w:tr>
    </w:tbl>
    <w:p w14:paraId="173223E3" w14:textId="77777777" w:rsidR="00396F50" w:rsidRDefault="00396F50" w:rsidP="00396F50"/>
    <w:p w14:paraId="79976D24" w14:textId="77777777" w:rsidR="00396F50" w:rsidRDefault="00396F50" w:rsidP="00396F50">
      <w:r>
        <w:t>Key: * implies a deviation from the baseline estimated values with 95% Confidence Interval</w:t>
      </w:r>
    </w:p>
    <w:p w14:paraId="4142E854" w14:textId="77777777" w:rsidR="00396F50" w:rsidRDefault="00396F50" w:rsidP="00396F50">
      <w:pPr>
        <w:rPr>
          <w:rFonts w:ascii="Times New Roman" w:hAnsi="Times New Roman" w:cs="Times New Roman"/>
          <w:sz w:val="18"/>
          <w:szCs w:val="18"/>
        </w:rPr>
      </w:pPr>
      <w:r>
        <w:rPr>
          <w:rFonts w:ascii="Times New Roman" w:hAnsi="Times New Roman" w:cs="Times New Roman"/>
          <w:sz w:val="18"/>
          <w:szCs w:val="18"/>
        </w:rPr>
        <w:br w:type="page"/>
      </w:r>
    </w:p>
    <w:p w14:paraId="3ED7A7DF" w14:textId="77777777" w:rsidR="00396F50" w:rsidRDefault="00396F50" w:rsidP="00396F50">
      <w:pPr>
        <w:rPr>
          <w:rFonts w:ascii="Times New Roman" w:eastAsia="Times New Roman" w:hAnsi="Times New Roman" w:cs="Times New Roman"/>
          <w:u w:val="single"/>
        </w:rPr>
      </w:pPr>
      <w:r w:rsidRPr="009E48BA">
        <w:lastRenderedPageBreak/>
        <w:t xml:space="preserve">Table </w:t>
      </w:r>
      <w:proofErr w:type="gramStart"/>
      <w:r>
        <w:t>3</w:t>
      </w:r>
      <w:r w:rsidRPr="009E48BA">
        <w:t xml:space="preserve"> :</w:t>
      </w:r>
      <w:proofErr w:type="gramEnd"/>
      <w:r w:rsidRPr="009E48BA">
        <w:t xml:space="preserve"> </w:t>
      </w:r>
      <w:r w:rsidRPr="004955FF">
        <w:rPr>
          <w:rFonts w:ascii="Times New Roman" w:eastAsia="Times New Roman" w:hAnsi="Times New Roman" w:cs="Times New Roman"/>
          <w:sz w:val="22"/>
          <w:szCs w:val="22"/>
          <w:u w:val="single"/>
        </w:rPr>
        <w:t>Predicted</w:t>
      </w:r>
      <w:r>
        <w:rPr>
          <w:rFonts w:ascii="Times New Roman" w:eastAsia="Times New Roman" w:hAnsi="Times New Roman" w:cs="Times New Roman"/>
          <w:sz w:val="22"/>
          <w:szCs w:val="22"/>
          <w:u w:val="single"/>
        </w:rPr>
        <w:t xml:space="preserve"> </w:t>
      </w:r>
      <w:r w:rsidRPr="004955FF">
        <w:rPr>
          <w:rFonts w:ascii="Times New Roman" w:eastAsia="Times New Roman" w:hAnsi="Times New Roman" w:cs="Times New Roman"/>
          <w:sz w:val="22"/>
          <w:szCs w:val="22"/>
          <w:u w:val="single"/>
        </w:rPr>
        <w:t xml:space="preserve">ADL </w:t>
      </w:r>
      <w:r>
        <w:rPr>
          <w:rFonts w:ascii="Times New Roman" w:eastAsia="Times New Roman" w:hAnsi="Times New Roman" w:cs="Times New Roman"/>
          <w:sz w:val="22"/>
          <w:szCs w:val="22"/>
          <w:u w:val="single"/>
        </w:rPr>
        <w:t xml:space="preserve">and IADL </w:t>
      </w:r>
      <w:r w:rsidRPr="004955FF">
        <w:rPr>
          <w:rFonts w:ascii="Times New Roman" w:eastAsia="Times New Roman" w:hAnsi="Times New Roman" w:cs="Times New Roman"/>
          <w:sz w:val="22"/>
          <w:szCs w:val="22"/>
          <w:u w:val="single"/>
        </w:rPr>
        <w:t xml:space="preserve">prevalence </w:t>
      </w:r>
      <w:r>
        <w:rPr>
          <w:rFonts w:ascii="Times New Roman" w:eastAsia="Times New Roman" w:hAnsi="Times New Roman" w:cs="Times New Roman"/>
          <w:u w:val="single"/>
        </w:rPr>
        <w:t>and Relative Change</w:t>
      </w:r>
      <w:r w:rsidRPr="004955FF">
        <w:rPr>
          <w:rFonts w:ascii="Times New Roman" w:eastAsia="Times New Roman" w:hAnsi="Times New Roman" w:cs="Times New Roman"/>
          <w:sz w:val="22"/>
          <w:szCs w:val="22"/>
          <w:u w:val="single"/>
        </w:rPr>
        <w:t xml:space="preserve"> by sex,</w:t>
      </w:r>
      <w:r>
        <w:rPr>
          <w:rFonts w:ascii="Times New Roman" w:eastAsia="Times New Roman" w:hAnsi="Times New Roman" w:cs="Times New Roman"/>
          <w:u w:val="single"/>
        </w:rPr>
        <w:t xml:space="preserve"> </w:t>
      </w:r>
      <w:r w:rsidRPr="004955FF">
        <w:rPr>
          <w:rFonts w:ascii="Times New Roman" w:eastAsia="Times New Roman" w:hAnsi="Times New Roman" w:cs="Times New Roman"/>
          <w:sz w:val="22"/>
          <w:szCs w:val="22"/>
          <w:u w:val="single"/>
        </w:rPr>
        <w:t>race and ethnicity</w:t>
      </w:r>
      <w:r>
        <w:rPr>
          <w:rFonts w:ascii="Times New Roman" w:eastAsia="Times New Roman" w:hAnsi="Times New Roman" w:cs="Times New Roman"/>
          <w:sz w:val="22"/>
          <w:szCs w:val="22"/>
          <w:u w:val="single"/>
        </w:rPr>
        <w:t xml:space="preserve"> for years</w:t>
      </w:r>
      <w:r w:rsidRPr="004955FF">
        <w:rPr>
          <w:rFonts w:ascii="Times New Roman" w:eastAsia="Times New Roman" w:hAnsi="Times New Roman" w:cs="Times New Roman"/>
          <w:sz w:val="22"/>
          <w:szCs w:val="22"/>
          <w:u w:val="single"/>
        </w:rPr>
        <w:t xml:space="preserve"> 2000</w:t>
      </w:r>
      <w:r>
        <w:rPr>
          <w:rFonts w:ascii="Times New Roman" w:eastAsia="Times New Roman" w:hAnsi="Times New Roman" w:cs="Times New Roman"/>
          <w:sz w:val="22"/>
          <w:szCs w:val="22"/>
          <w:u w:val="single"/>
        </w:rPr>
        <w:t xml:space="preserve">, 2010 and 2018, </w:t>
      </w:r>
      <w:r>
        <w:rPr>
          <w:rFonts w:ascii="Times New Roman" w:eastAsia="Times New Roman" w:hAnsi="Times New Roman" w:cs="Times New Roman"/>
          <w:u w:val="single"/>
        </w:rPr>
        <w:t xml:space="preserve">group aged 65-74 </w:t>
      </w:r>
    </w:p>
    <w:p w14:paraId="724FE92E" w14:textId="77777777" w:rsidR="00396F50" w:rsidRDefault="00396F50" w:rsidP="00396F50">
      <w:pPr>
        <w:rPr>
          <w:rFonts w:ascii="Times New Roman" w:eastAsia="Times New Roman" w:hAnsi="Times New Roman" w:cs="Times New Roman"/>
          <w:u w:val="single"/>
        </w:rPr>
      </w:pPr>
    </w:p>
    <w:tbl>
      <w:tblPr>
        <w:tblW w:w="9332" w:type="dxa"/>
        <w:tblLook w:val="04A0" w:firstRow="1" w:lastRow="0" w:firstColumn="1" w:lastColumn="0" w:noHBand="0" w:noVBand="1"/>
      </w:tblPr>
      <w:tblGrid>
        <w:gridCol w:w="906"/>
        <w:gridCol w:w="926"/>
        <w:gridCol w:w="1106"/>
        <w:gridCol w:w="1106"/>
        <w:gridCol w:w="1106"/>
        <w:gridCol w:w="1371"/>
        <w:gridCol w:w="1417"/>
        <w:gridCol w:w="1394"/>
      </w:tblGrid>
      <w:tr w:rsidR="00396F50" w:rsidRPr="003D35B9" w14:paraId="5F4A82F3" w14:textId="77777777" w:rsidTr="00876112">
        <w:trPr>
          <w:trHeight w:val="1068"/>
        </w:trPr>
        <w:tc>
          <w:tcPr>
            <w:tcW w:w="1832" w:type="dxa"/>
            <w:gridSpan w:val="2"/>
            <w:tcBorders>
              <w:top w:val="nil"/>
              <w:left w:val="nil"/>
              <w:bottom w:val="single" w:sz="8" w:space="0" w:color="000000"/>
              <w:right w:val="single" w:sz="8" w:space="0" w:color="000000"/>
            </w:tcBorders>
            <w:shd w:val="clear" w:color="auto" w:fill="auto"/>
            <w:noWrap/>
            <w:vAlign w:val="center"/>
          </w:tcPr>
          <w:p w14:paraId="7EB17B60" w14:textId="77777777" w:rsidR="00396F50" w:rsidRPr="003D35B9" w:rsidRDefault="00396F50" w:rsidP="00876112">
            <w:pPr>
              <w:spacing w:after="0" w:line="240" w:lineRule="auto"/>
              <w:jc w:val="center"/>
              <w:rPr>
                <w:rFonts w:ascii="Times New Roman" w:eastAsia="Times New Roman" w:hAnsi="Times New Roman" w:cs="Times New Roman"/>
                <w:color w:val="000000"/>
                <w:sz w:val="32"/>
                <w:szCs w:val="32"/>
              </w:rPr>
            </w:pPr>
            <w:r w:rsidRPr="003D35B9">
              <w:rPr>
                <w:rFonts w:ascii="Times New Roman" w:eastAsia="Times New Roman" w:hAnsi="Times New Roman" w:cs="Times New Roman"/>
                <w:color w:val="000000"/>
                <w:sz w:val="32"/>
                <w:szCs w:val="32"/>
              </w:rPr>
              <w:t>ADL</w:t>
            </w:r>
          </w:p>
        </w:tc>
        <w:tc>
          <w:tcPr>
            <w:tcW w:w="1106" w:type="dxa"/>
            <w:tcBorders>
              <w:top w:val="nil"/>
              <w:left w:val="single" w:sz="8" w:space="0" w:color="000000"/>
              <w:bottom w:val="single" w:sz="4" w:space="0" w:color="auto"/>
              <w:right w:val="nil"/>
            </w:tcBorders>
            <w:shd w:val="clear" w:color="auto" w:fill="auto"/>
            <w:noWrap/>
            <w:vAlign w:val="center"/>
          </w:tcPr>
          <w:p w14:paraId="79D700D7"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Prevalence 2000</w:t>
            </w:r>
          </w:p>
        </w:tc>
        <w:tc>
          <w:tcPr>
            <w:tcW w:w="1106" w:type="dxa"/>
            <w:tcBorders>
              <w:top w:val="nil"/>
              <w:left w:val="nil"/>
              <w:bottom w:val="single" w:sz="4" w:space="0" w:color="auto"/>
              <w:right w:val="nil"/>
            </w:tcBorders>
            <w:shd w:val="clear" w:color="auto" w:fill="auto"/>
            <w:vAlign w:val="center"/>
          </w:tcPr>
          <w:p w14:paraId="484838C2" w14:textId="77777777" w:rsidR="00396F50" w:rsidRPr="00FA1426"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Prevalence 20</w:t>
            </w:r>
            <w:r>
              <w:rPr>
                <w:rFonts w:ascii="Times New Roman" w:eastAsia="Times New Roman" w:hAnsi="Times New Roman" w:cs="Times New Roman"/>
                <w:color w:val="000000"/>
                <w:sz w:val="18"/>
                <w:szCs w:val="18"/>
              </w:rPr>
              <w:t>10</w:t>
            </w:r>
          </w:p>
        </w:tc>
        <w:tc>
          <w:tcPr>
            <w:tcW w:w="1106" w:type="dxa"/>
            <w:tcBorders>
              <w:top w:val="nil"/>
              <w:left w:val="nil"/>
              <w:bottom w:val="single" w:sz="4" w:space="0" w:color="auto"/>
              <w:right w:val="nil"/>
            </w:tcBorders>
            <w:shd w:val="clear" w:color="auto" w:fill="auto"/>
            <w:vAlign w:val="center"/>
          </w:tcPr>
          <w:p w14:paraId="15B63FAC" w14:textId="77777777" w:rsidR="00396F50" w:rsidRPr="00FA1426"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Prevalence 20</w:t>
            </w:r>
            <w:r>
              <w:rPr>
                <w:rFonts w:ascii="Times New Roman" w:eastAsia="Times New Roman" w:hAnsi="Times New Roman" w:cs="Times New Roman"/>
                <w:color w:val="000000"/>
                <w:sz w:val="18"/>
                <w:szCs w:val="18"/>
              </w:rPr>
              <w:t>18</w:t>
            </w:r>
          </w:p>
        </w:tc>
        <w:tc>
          <w:tcPr>
            <w:tcW w:w="1371" w:type="dxa"/>
            <w:tcBorders>
              <w:top w:val="nil"/>
              <w:left w:val="nil"/>
              <w:bottom w:val="single" w:sz="4" w:space="0" w:color="auto"/>
              <w:right w:val="nil"/>
            </w:tcBorders>
            <w:shd w:val="clear" w:color="auto" w:fill="auto"/>
            <w:vAlign w:val="center"/>
          </w:tcPr>
          <w:p w14:paraId="0BB5711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2000-20</w:t>
            </w:r>
            <w:r>
              <w:rPr>
                <w:rFonts w:ascii="Times New Roman" w:eastAsia="Times New Roman" w:hAnsi="Times New Roman" w:cs="Times New Roman"/>
                <w:color w:val="000000"/>
                <w:sz w:val="18"/>
                <w:szCs w:val="18"/>
              </w:rPr>
              <w:t>10</w:t>
            </w:r>
          </w:p>
        </w:tc>
        <w:tc>
          <w:tcPr>
            <w:tcW w:w="1417" w:type="dxa"/>
            <w:tcBorders>
              <w:top w:val="nil"/>
              <w:left w:val="nil"/>
              <w:bottom w:val="single" w:sz="4" w:space="0" w:color="auto"/>
              <w:right w:val="nil"/>
            </w:tcBorders>
            <w:shd w:val="clear" w:color="auto" w:fill="auto"/>
            <w:vAlign w:val="center"/>
          </w:tcPr>
          <w:p w14:paraId="4AC15840"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2010-2018</w:t>
            </w:r>
          </w:p>
        </w:tc>
        <w:tc>
          <w:tcPr>
            <w:tcW w:w="1394" w:type="dxa"/>
            <w:tcBorders>
              <w:top w:val="nil"/>
              <w:left w:val="nil"/>
              <w:bottom w:val="single" w:sz="4" w:space="0" w:color="auto"/>
              <w:right w:val="nil"/>
            </w:tcBorders>
            <w:vAlign w:val="center"/>
          </w:tcPr>
          <w:p w14:paraId="76636C9C"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Relative Change 2000.2018</w:t>
            </w:r>
          </w:p>
        </w:tc>
      </w:tr>
      <w:tr w:rsidR="00396F50" w:rsidRPr="003D35B9" w14:paraId="6A72602B" w14:textId="77777777" w:rsidTr="00876112">
        <w:trPr>
          <w:trHeight w:val="288"/>
        </w:trPr>
        <w:tc>
          <w:tcPr>
            <w:tcW w:w="906" w:type="dxa"/>
            <w:tcBorders>
              <w:top w:val="nil"/>
              <w:left w:val="nil"/>
              <w:bottom w:val="nil"/>
              <w:right w:val="nil"/>
            </w:tcBorders>
            <w:shd w:val="clear" w:color="auto" w:fill="auto"/>
            <w:noWrap/>
            <w:vAlign w:val="center"/>
            <w:hideMark/>
          </w:tcPr>
          <w:p w14:paraId="488E7BD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nil"/>
              <w:left w:val="nil"/>
              <w:bottom w:val="nil"/>
              <w:right w:val="single" w:sz="8" w:space="0" w:color="auto"/>
            </w:tcBorders>
            <w:shd w:val="clear" w:color="auto" w:fill="auto"/>
            <w:noWrap/>
            <w:vAlign w:val="center"/>
            <w:hideMark/>
          </w:tcPr>
          <w:p w14:paraId="1D32DA7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06" w:type="dxa"/>
            <w:tcBorders>
              <w:top w:val="single" w:sz="4" w:space="0" w:color="auto"/>
              <w:left w:val="nil"/>
              <w:bottom w:val="nil"/>
              <w:right w:val="nil"/>
            </w:tcBorders>
            <w:shd w:val="clear" w:color="auto" w:fill="auto"/>
            <w:noWrap/>
            <w:vAlign w:val="center"/>
          </w:tcPr>
          <w:p w14:paraId="42F34FB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2.64 (1.87-3.41)</w:t>
            </w:r>
          </w:p>
        </w:tc>
        <w:tc>
          <w:tcPr>
            <w:tcW w:w="1106" w:type="dxa"/>
            <w:tcBorders>
              <w:top w:val="single" w:sz="4" w:space="0" w:color="auto"/>
              <w:left w:val="nil"/>
              <w:bottom w:val="nil"/>
              <w:right w:val="nil"/>
            </w:tcBorders>
            <w:shd w:val="clear" w:color="auto" w:fill="auto"/>
            <w:noWrap/>
            <w:vAlign w:val="center"/>
          </w:tcPr>
          <w:p w14:paraId="0B45BC1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2.55 (1.96;3.14)</w:t>
            </w:r>
          </w:p>
        </w:tc>
        <w:tc>
          <w:tcPr>
            <w:tcW w:w="1106" w:type="dxa"/>
            <w:tcBorders>
              <w:top w:val="single" w:sz="4" w:space="0" w:color="auto"/>
              <w:left w:val="nil"/>
              <w:bottom w:val="nil"/>
              <w:right w:val="nil"/>
            </w:tcBorders>
            <w:shd w:val="clear" w:color="auto" w:fill="auto"/>
            <w:noWrap/>
            <w:vAlign w:val="center"/>
          </w:tcPr>
          <w:p w14:paraId="0D4E1A2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3.08 (2.31;3.86)</w:t>
            </w:r>
          </w:p>
        </w:tc>
        <w:tc>
          <w:tcPr>
            <w:tcW w:w="1371" w:type="dxa"/>
            <w:tcBorders>
              <w:top w:val="single" w:sz="4" w:space="0" w:color="auto"/>
              <w:left w:val="nil"/>
              <w:bottom w:val="nil"/>
              <w:right w:val="nil"/>
            </w:tcBorders>
            <w:shd w:val="clear" w:color="auto" w:fill="auto"/>
            <w:noWrap/>
            <w:vAlign w:val="center"/>
          </w:tcPr>
          <w:p w14:paraId="084CE79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-3.41 </w:t>
            </w:r>
          </w:p>
          <w:p w14:paraId="095D348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(-42.52;67.91)</w:t>
            </w:r>
          </w:p>
        </w:tc>
        <w:tc>
          <w:tcPr>
            <w:tcW w:w="1417" w:type="dxa"/>
            <w:tcBorders>
              <w:top w:val="single" w:sz="4" w:space="0" w:color="auto"/>
              <w:left w:val="nil"/>
              <w:bottom w:val="nil"/>
              <w:right w:val="nil"/>
            </w:tcBorders>
            <w:shd w:val="clear" w:color="auto" w:fill="auto"/>
            <w:noWrap/>
            <w:vAlign w:val="center"/>
          </w:tcPr>
          <w:p w14:paraId="57B5842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20.8 </w:t>
            </w:r>
          </w:p>
          <w:p w14:paraId="699C775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(-26.43;96.94)</w:t>
            </w:r>
          </w:p>
        </w:tc>
        <w:tc>
          <w:tcPr>
            <w:tcW w:w="1394" w:type="dxa"/>
            <w:tcBorders>
              <w:top w:val="single" w:sz="4" w:space="0" w:color="auto"/>
              <w:left w:val="nil"/>
              <w:bottom w:val="nil"/>
              <w:right w:val="nil"/>
            </w:tcBorders>
          </w:tcPr>
          <w:p w14:paraId="329BC31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16.67 </w:t>
            </w:r>
          </w:p>
          <w:p w14:paraId="1C9710F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(-32.26;106.42)</w:t>
            </w:r>
          </w:p>
        </w:tc>
      </w:tr>
      <w:tr w:rsidR="00396F50" w:rsidRPr="003D35B9" w14:paraId="205189D3" w14:textId="77777777" w:rsidTr="00876112">
        <w:trPr>
          <w:trHeight w:val="312"/>
        </w:trPr>
        <w:tc>
          <w:tcPr>
            <w:tcW w:w="906" w:type="dxa"/>
            <w:tcBorders>
              <w:top w:val="nil"/>
              <w:left w:val="nil"/>
              <w:bottom w:val="nil"/>
              <w:right w:val="nil"/>
            </w:tcBorders>
            <w:shd w:val="clear" w:color="auto" w:fill="auto"/>
            <w:noWrap/>
            <w:textDirection w:val="btLr"/>
            <w:vAlign w:val="bottom"/>
            <w:hideMark/>
          </w:tcPr>
          <w:p w14:paraId="40E0314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73D05573"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06" w:type="dxa"/>
            <w:tcBorders>
              <w:top w:val="nil"/>
              <w:left w:val="nil"/>
              <w:bottom w:val="nil"/>
              <w:right w:val="nil"/>
            </w:tcBorders>
            <w:shd w:val="clear" w:color="auto" w:fill="auto"/>
            <w:noWrap/>
            <w:vAlign w:val="center"/>
          </w:tcPr>
          <w:p w14:paraId="1A6B0DF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4.47 (1.83;7.11)</w:t>
            </w:r>
          </w:p>
        </w:tc>
        <w:tc>
          <w:tcPr>
            <w:tcW w:w="1106" w:type="dxa"/>
            <w:tcBorders>
              <w:top w:val="nil"/>
              <w:left w:val="nil"/>
              <w:bottom w:val="nil"/>
              <w:right w:val="nil"/>
            </w:tcBorders>
            <w:shd w:val="clear" w:color="auto" w:fill="auto"/>
            <w:noWrap/>
            <w:vAlign w:val="center"/>
          </w:tcPr>
          <w:p w14:paraId="1804B4C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4.20 (1.77;6.64)</w:t>
            </w:r>
          </w:p>
        </w:tc>
        <w:tc>
          <w:tcPr>
            <w:tcW w:w="1106" w:type="dxa"/>
            <w:tcBorders>
              <w:top w:val="nil"/>
              <w:left w:val="nil"/>
              <w:bottom w:val="nil"/>
              <w:right w:val="nil"/>
            </w:tcBorders>
            <w:shd w:val="clear" w:color="auto" w:fill="auto"/>
            <w:noWrap/>
            <w:vAlign w:val="center"/>
          </w:tcPr>
          <w:p w14:paraId="0798C2B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5.01 (2.22;7.81)</w:t>
            </w:r>
          </w:p>
        </w:tc>
        <w:tc>
          <w:tcPr>
            <w:tcW w:w="1371" w:type="dxa"/>
            <w:tcBorders>
              <w:top w:val="nil"/>
              <w:left w:val="nil"/>
              <w:bottom w:val="nil"/>
              <w:right w:val="nil"/>
            </w:tcBorders>
            <w:shd w:val="clear" w:color="auto" w:fill="auto"/>
            <w:noWrap/>
            <w:vAlign w:val="center"/>
          </w:tcPr>
          <w:p w14:paraId="0A71A5D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-6.04 </w:t>
            </w:r>
          </w:p>
          <w:p w14:paraId="44F4030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(-75.11;262.84)</w:t>
            </w:r>
          </w:p>
        </w:tc>
        <w:tc>
          <w:tcPr>
            <w:tcW w:w="1417" w:type="dxa"/>
            <w:tcBorders>
              <w:top w:val="nil"/>
              <w:left w:val="nil"/>
              <w:bottom w:val="nil"/>
              <w:right w:val="nil"/>
            </w:tcBorders>
            <w:shd w:val="clear" w:color="auto" w:fill="auto"/>
            <w:noWrap/>
            <w:vAlign w:val="center"/>
          </w:tcPr>
          <w:p w14:paraId="6024AF7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19.29 </w:t>
            </w:r>
          </w:p>
          <w:p w14:paraId="7A6BF0C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(-66.57;341.24)</w:t>
            </w:r>
          </w:p>
        </w:tc>
        <w:tc>
          <w:tcPr>
            <w:tcW w:w="1394" w:type="dxa"/>
            <w:tcBorders>
              <w:top w:val="nil"/>
              <w:left w:val="nil"/>
              <w:bottom w:val="nil"/>
              <w:right w:val="nil"/>
            </w:tcBorders>
          </w:tcPr>
          <w:p w14:paraId="1A00AA8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12.08 </w:t>
            </w:r>
          </w:p>
          <w:p w14:paraId="269AEBB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(-68.78;326.78)</w:t>
            </w:r>
          </w:p>
        </w:tc>
      </w:tr>
      <w:tr w:rsidR="00396F50" w:rsidRPr="003D35B9" w14:paraId="00DCC01C" w14:textId="77777777" w:rsidTr="00876112">
        <w:trPr>
          <w:trHeight w:val="312"/>
        </w:trPr>
        <w:tc>
          <w:tcPr>
            <w:tcW w:w="906" w:type="dxa"/>
            <w:tcBorders>
              <w:top w:val="nil"/>
              <w:left w:val="nil"/>
              <w:bottom w:val="nil"/>
              <w:right w:val="nil"/>
            </w:tcBorders>
            <w:shd w:val="clear" w:color="auto" w:fill="auto"/>
            <w:noWrap/>
            <w:textDirection w:val="btLr"/>
            <w:vAlign w:val="bottom"/>
            <w:hideMark/>
          </w:tcPr>
          <w:p w14:paraId="73211BEC"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58391662"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06" w:type="dxa"/>
            <w:tcBorders>
              <w:top w:val="nil"/>
              <w:left w:val="nil"/>
              <w:bottom w:val="nil"/>
              <w:right w:val="nil"/>
            </w:tcBorders>
            <w:shd w:val="clear" w:color="auto" w:fill="auto"/>
            <w:noWrap/>
            <w:vAlign w:val="center"/>
          </w:tcPr>
          <w:p w14:paraId="211C8BF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3.04 (0.50;6.02)</w:t>
            </w:r>
          </w:p>
        </w:tc>
        <w:tc>
          <w:tcPr>
            <w:tcW w:w="1106" w:type="dxa"/>
            <w:tcBorders>
              <w:top w:val="nil"/>
              <w:left w:val="nil"/>
              <w:bottom w:val="nil"/>
              <w:right w:val="nil"/>
            </w:tcBorders>
            <w:shd w:val="clear" w:color="auto" w:fill="auto"/>
            <w:noWrap/>
            <w:vAlign w:val="center"/>
          </w:tcPr>
          <w:p w14:paraId="5F3143F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3.06 (0.85;5.28)</w:t>
            </w:r>
          </w:p>
        </w:tc>
        <w:tc>
          <w:tcPr>
            <w:tcW w:w="1106" w:type="dxa"/>
            <w:tcBorders>
              <w:top w:val="nil"/>
              <w:left w:val="nil"/>
              <w:bottom w:val="nil"/>
              <w:right w:val="nil"/>
            </w:tcBorders>
            <w:shd w:val="clear" w:color="auto" w:fill="auto"/>
            <w:noWrap/>
            <w:vAlign w:val="center"/>
          </w:tcPr>
          <w:p w14:paraId="0009230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4.52 (2.09;6.95)</w:t>
            </w:r>
          </w:p>
        </w:tc>
        <w:tc>
          <w:tcPr>
            <w:tcW w:w="1371" w:type="dxa"/>
            <w:tcBorders>
              <w:top w:val="nil"/>
              <w:left w:val="nil"/>
              <w:bottom w:val="nil"/>
              <w:right w:val="nil"/>
            </w:tcBorders>
            <w:shd w:val="clear" w:color="auto" w:fill="auto"/>
            <w:noWrap/>
            <w:vAlign w:val="center"/>
          </w:tcPr>
          <w:p w14:paraId="7991F4F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0.66 </w:t>
            </w:r>
          </w:p>
          <w:p w14:paraId="6F6FD31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(-86.29;956.00)</w:t>
            </w:r>
          </w:p>
        </w:tc>
        <w:tc>
          <w:tcPr>
            <w:tcW w:w="1417" w:type="dxa"/>
            <w:tcBorders>
              <w:top w:val="nil"/>
              <w:left w:val="nil"/>
              <w:bottom w:val="nil"/>
              <w:right w:val="nil"/>
            </w:tcBorders>
            <w:shd w:val="clear" w:color="auto" w:fill="auto"/>
            <w:noWrap/>
            <w:vAlign w:val="center"/>
          </w:tcPr>
          <w:p w14:paraId="300210B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47.71 </w:t>
            </w:r>
          </w:p>
          <w:p w14:paraId="5A4823F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(-60.42;717.65)</w:t>
            </w:r>
          </w:p>
        </w:tc>
        <w:tc>
          <w:tcPr>
            <w:tcW w:w="1394" w:type="dxa"/>
            <w:tcBorders>
              <w:top w:val="nil"/>
              <w:left w:val="nil"/>
              <w:bottom w:val="nil"/>
              <w:right w:val="nil"/>
            </w:tcBorders>
          </w:tcPr>
          <w:p w14:paraId="1C9841E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48.68</w:t>
            </w:r>
          </w:p>
          <w:p w14:paraId="1825E55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(-66.29;1290.0)</w:t>
            </w:r>
          </w:p>
        </w:tc>
      </w:tr>
      <w:tr w:rsidR="00396F50" w:rsidRPr="003D35B9" w14:paraId="3AE0B65B" w14:textId="77777777" w:rsidTr="00876112">
        <w:trPr>
          <w:trHeight w:val="288"/>
        </w:trPr>
        <w:tc>
          <w:tcPr>
            <w:tcW w:w="906" w:type="dxa"/>
            <w:tcBorders>
              <w:top w:val="nil"/>
              <w:left w:val="nil"/>
              <w:bottom w:val="nil"/>
              <w:right w:val="nil"/>
            </w:tcBorders>
            <w:shd w:val="clear" w:color="auto" w:fill="auto"/>
            <w:noWrap/>
            <w:vAlign w:val="center"/>
            <w:hideMark/>
          </w:tcPr>
          <w:p w14:paraId="2FC2A2C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58EC67E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06" w:type="dxa"/>
            <w:tcBorders>
              <w:top w:val="nil"/>
              <w:left w:val="nil"/>
              <w:bottom w:val="nil"/>
              <w:right w:val="nil"/>
            </w:tcBorders>
            <w:shd w:val="clear" w:color="auto" w:fill="auto"/>
            <w:noWrap/>
            <w:vAlign w:val="center"/>
          </w:tcPr>
          <w:p w14:paraId="005A7DD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2.31 (1.99;2.62)</w:t>
            </w:r>
          </w:p>
        </w:tc>
        <w:tc>
          <w:tcPr>
            <w:tcW w:w="1106" w:type="dxa"/>
            <w:tcBorders>
              <w:top w:val="nil"/>
              <w:left w:val="nil"/>
              <w:bottom w:val="nil"/>
              <w:right w:val="nil"/>
            </w:tcBorders>
            <w:shd w:val="clear" w:color="auto" w:fill="auto"/>
            <w:noWrap/>
            <w:vAlign w:val="center"/>
          </w:tcPr>
          <w:p w14:paraId="2A9B7C5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3.18* (2.86;3.51)</w:t>
            </w:r>
          </w:p>
        </w:tc>
        <w:tc>
          <w:tcPr>
            <w:tcW w:w="1106" w:type="dxa"/>
            <w:tcBorders>
              <w:top w:val="nil"/>
              <w:left w:val="nil"/>
              <w:bottom w:val="nil"/>
              <w:right w:val="nil"/>
            </w:tcBorders>
            <w:shd w:val="clear" w:color="auto" w:fill="auto"/>
            <w:noWrap/>
            <w:vAlign w:val="center"/>
          </w:tcPr>
          <w:p w14:paraId="29FD4B5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2.90 (2.55;3.25)</w:t>
            </w:r>
          </w:p>
        </w:tc>
        <w:tc>
          <w:tcPr>
            <w:tcW w:w="1371" w:type="dxa"/>
            <w:tcBorders>
              <w:top w:val="nil"/>
              <w:left w:val="nil"/>
              <w:bottom w:val="nil"/>
              <w:right w:val="nil"/>
            </w:tcBorders>
            <w:shd w:val="clear" w:color="auto" w:fill="auto"/>
            <w:noWrap/>
            <w:vAlign w:val="center"/>
          </w:tcPr>
          <w:p w14:paraId="7540A3B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37.66* (9.16;76.38)</w:t>
            </w:r>
          </w:p>
        </w:tc>
        <w:tc>
          <w:tcPr>
            <w:tcW w:w="1417" w:type="dxa"/>
            <w:tcBorders>
              <w:top w:val="nil"/>
              <w:left w:val="nil"/>
              <w:bottom w:val="nil"/>
              <w:right w:val="nil"/>
            </w:tcBorders>
            <w:shd w:val="clear" w:color="auto" w:fill="auto"/>
            <w:noWrap/>
            <w:vAlign w:val="center"/>
          </w:tcPr>
          <w:p w14:paraId="4BD4C20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-8.81 </w:t>
            </w:r>
          </w:p>
          <w:p w14:paraId="3C2347D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(-27.35;13.64)</w:t>
            </w:r>
          </w:p>
        </w:tc>
        <w:tc>
          <w:tcPr>
            <w:tcW w:w="1394" w:type="dxa"/>
            <w:tcBorders>
              <w:top w:val="nil"/>
              <w:left w:val="nil"/>
              <w:bottom w:val="nil"/>
              <w:right w:val="nil"/>
            </w:tcBorders>
          </w:tcPr>
          <w:p w14:paraId="3088457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25.54 </w:t>
            </w:r>
          </w:p>
          <w:p w14:paraId="76DDED2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(-2.67;63.32)</w:t>
            </w:r>
          </w:p>
        </w:tc>
      </w:tr>
      <w:tr w:rsidR="00396F50" w:rsidRPr="003D35B9" w14:paraId="026C7A63" w14:textId="77777777" w:rsidTr="00876112">
        <w:trPr>
          <w:trHeight w:val="288"/>
        </w:trPr>
        <w:tc>
          <w:tcPr>
            <w:tcW w:w="906" w:type="dxa"/>
            <w:tcBorders>
              <w:top w:val="nil"/>
              <w:left w:val="nil"/>
              <w:bottom w:val="nil"/>
              <w:right w:val="nil"/>
            </w:tcBorders>
            <w:shd w:val="clear" w:color="auto" w:fill="auto"/>
            <w:noWrap/>
            <w:textDirection w:val="btLr"/>
            <w:vAlign w:val="bottom"/>
            <w:hideMark/>
          </w:tcPr>
          <w:p w14:paraId="59C0A72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4EDAA60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06" w:type="dxa"/>
            <w:tcBorders>
              <w:top w:val="nil"/>
              <w:left w:val="nil"/>
              <w:bottom w:val="nil"/>
              <w:right w:val="nil"/>
            </w:tcBorders>
            <w:shd w:val="clear" w:color="auto" w:fill="auto"/>
            <w:noWrap/>
            <w:vAlign w:val="center"/>
          </w:tcPr>
          <w:p w14:paraId="351FCF8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4.80 (3.60;6.01)</w:t>
            </w:r>
          </w:p>
        </w:tc>
        <w:tc>
          <w:tcPr>
            <w:tcW w:w="1106" w:type="dxa"/>
            <w:tcBorders>
              <w:top w:val="nil"/>
              <w:left w:val="nil"/>
              <w:bottom w:val="nil"/>
              <w:right w:val="nil"/>
            </w:tcBorders>
            <w:shd w:val="clear" w:color="auto" w:fill="auto"/>
            <w:noWrap/>
            <w:vAlign w:val="center"/>
          </w:tcPr>
          <w:p w14:paraId="2069535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5.66 (4.61;6.72)</w:t>
            </w:r>
          </w:p>
        </w:tc>
        <w:tc>
          <w:tcPr>
            <w:tcW w:w="1106" w:type="dxa"/>
            <w:tcBorders>
              <w:top w:val="nil"/>
              <w:left w:val="nil"/>
              <w:bottom w:val="nil"/>
              <w:right w:val="nil"/>
            </w:tcBorders>
            <w:shd w:val="clear" w:color="auto" w:fill="auto"/>
            <w:noWrap/>
            <w:vAlign w:val="center"/>
          </w:tcPr>
          <w:p w14:paraId="03AF46F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7.62 (6.17;9.06)</w:t>
            </w:r>
          </w:p>
        </w:tc>
        <w:tc>
          <w:tcPr>
            <w:tcW w:w="1371" w:type="dxa"/>
            <w:tcBorders>
              <w:top w:val="nil"/>
              <w:left w:val="nil"/>
              <w:bottom w:val="nil"/>
              <w:right w:val="nil"/>
            </w:tcBorders>
            <w:shd w:val="clear" w:color="auto" w:fill="auto"/>
            <w:noWrap/>
            <w:vAlign w:val="center"/>
          </w:tcPr>
          <w:p w14:paraId="7643209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17.92 </w:t>
            </w:r>
          </w:p>
          <w:p w14:paraId="0846220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(-23.29;86.67)</w:t>
            </w:r>
          </w:p>
        </w:tc>
        <w:tc>
          <w:tcPr>
            <w:tcW w:w="1417" w:type="dxa"/>
            <w:tcBorders>
              <w:top w:val="nil"/>
              <w:left w:val="nil"/>
              <w:bottom w:val="nil"/>
              <w:right w:val="nil"/>
            </w:tcBorders>
            <w:shd w:val="clear" w:color="auto" w:fill="auto"/>
            <w:noWrap/>
            <w:vAlign w:val="center"/>
          </w:tcPr>
          <w:p w14:paraId="0594A3B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34.63 </w:t>
            </w:r>
          </w:p>
          <w:p w14:paraId="325A55C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(-8.18;96.53)</w:t>
            </w:r>
          </w:p>
        </w:tc>
        <w:tc>
          <w:tcPr>
            <w:tcW w:w="1394" w:type="dxa"/>
            <w:tcBorders>
              <w:top w:val="nil"/>
              <w:left w:val="nil"/>
              <w:bottom w:val="nil"/>
              <w:right w:val="nil"/>
            </w:tcBorders>
          </w:tcPr>
          <w:p w14:paraId="4E99EED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58.75* (2.66;151.67)</w:t>
            </w:r>
          </w:p>
        </w:tc>
      </w:tr>
      <w:tr w:rsidR="00396F50" w:rsidRPr="003D35B9" w14:paraId="1CC1A5C8" w14:textId="77777777" w:rsidTr="00876112">
        <w:trPr>
          <w:trHeight w:val="288"/>
        </w:trPr>
        <w:tc>
          <w:tcPr>
            <w:tcW w:w="906" w:type="dxa"/>
            <w:tcBorders>
              <w:top w:val="nil"/>
              <w:left w:val="nil"/>
              <w:bottom w:val="nil"/>
              <w:right w:val="nil"/>
            </w:tcBorders>
            <w:shd w:val="clear" w:color="auto" w:fill="auto"/>
            <w:noWrap/>
            <w:textDirection w:val="btLr"/>
            <w:vAlign w:val="bottom"/>
            <w:hideMark/>
          </w:tcPr>
          <w:p w14:paraId="169FD7F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0D2E15A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06" w:type="dxa"/>
            <w:tcBorders>
              <w:top w:val="nil"/>
              <w:left w:val="nil"/>
              <w:bottom w:val="nil"/>
              <w:right w:val="nil"/>
            </w:tcBorders>
            <w:shd w:val="clear" w:color="auto" w:fill="auto"/>
            <w:noWrap/>
            <w:vAlign w:val="center"/>
          </w:tcPr>
          <w:p w14:paraId="3C0255A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3.47 (2.35;4.58)</w:t>
            </w:r>
          </w:p>
        </w:tc>
        <w:tc>
          <w:tcPr>
            <w:tcW w:w="1106" w:type="dxa"/>
            <w:tcBorders>
              <w:top w:val="nil"/>
              <w:left w:val="nil"/>
              <w:bottom w:val="nil"/>
              <w:right w:val="nil"/>
            </w:tcBorders>
            <w:shd w:val="clear" w:color="auto" w:fill="auto"/>
            <w:noWrap/>
            <w:vAlign w:val="center"/>
          </w:tcPr>
          <w:p w14:paraId="409BDBC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3.93 (3.01;4.85)</w:t>
            </w:r>
          </w:p>
        </w:tc>
        <w:tc>
          <w:tcPr>
            <w:tcW w:w="1106" w:type="dxa"/>
            <w:tcBorders>
              <w:top w:val="nil"/>
              <w:left w:val="nil"/>
              <w:bottom w:val="nil"/>
              <w:right w:val="nil"/>
            </w:tcBorders>
            <w:shd w:val="clear" w:color="auto" w:fill="auto"/>
            <w:noWrap/>
            <w:vAlign w:val="center"/>
          </w:tcPr>
          <w:p w14:paraId="364B366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5.20 (3.99;6.41)</w:t>
            </w:r>
          </w:p>
        </w:tc>
        <w:tc>
          <w:tcPr>
            <w:tcW w:w="1371" w:type="dxa"/>
            <w:tcBorders>
              <w:top w:val="nil"/>
              <w:left w:val="nil"/>
              <w:bottom w:val="nil"/>
              <w:right w:val="nil"/>
            </w:tcBorders>
            <w:shd w:val="clear" w:color="auto" w:fill="auto"/>
            <w:noWrap/>
            <w:vAlign w:val="center"/>
          </w:tcPr>
          <w:p w14:paraId="7E73412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13.26 </w:t>
            </w:r>
          </w:p>
          <w:p w14:paraId="2698057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(-34.28;106.38)</w:t>
            </w:r>
          </w:p>
        </w:tc>
        <w:tc>
          <w:tcPr>
            <w:tcW w:w="1417" w:type="dxa"/>
            <w:tcBorders>
              <w:top w:val="nil"/>
              <w:left w:val="nil"/>
              <w:bottom w:val="nil"/>
              <w:right w:val="nil"/>
            </w:tcBorders>
            <w:shd w:val="clear" w:color="auto" w:fill="auto"/>
            <w:noWrap/>
            <w:vAlign w:val="center"/>
          </w:tcPr>
          <w:p w14:paraId="311636A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32.3 </w:t>
            </w:r>
          </w:p>
          <w:p w14:paraId="3C3B02F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(-17.73;112.96)</w:t>
            </w:r>
          </w:p>
        </w:tc>
        <w:tc>
          <w:tcPr>
            <w:tcW w:w="1394" w:type="dxa"/>
            <w:tcBorders>
              <w:top w:val="nil"/>
              <w:left w:val="nil"/>
              <w:bottom w:val="nil"/>
              <w:right w:val="nil"/>
            </w:tcBorders>
          </w:tcPr>
          <w:p w14:paraId="3EED082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49.86 </w:t>
            </w:r>
          </w:p>
          <w:p w14:paraId="265EC53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(-12.88;172.77)</w:t>
            </w:r>
          </w:p>
        </w:tc>
      </w:tr>
      <w:tr w:rsidR="00396F50" w:rsidRPr="003D35B9" w14:paraId="79BE95F6" w14:textId="77777777" w:rsidTr="00876112">
        <w:trPr>
          <w:trHeight w:val="300"/>
        </w:trPr>
        <w:tc>
          <w:tcPr>
            <w:tcW w:w="1832" w:type="dxa"/>
            <w:gridSpan w:val="2"/>
            <w:vMerge w:val="restart"/>
            <w:tcBorders>
              <w:top w:val="nil"/>
              <w:left w:val="nil"/>
              <w:bottom w:val="single" w:sz="8" w:space="0" w:color="000000"/>
              <w:right w:val="single" w:sz="8" w:space="0" w:color="000000"/>
            </w:tcBorders>
            <w:shd w:val="clear" w:color="auto" w:fill="auto"/>
            <w:noWrap/>
            <w:vAlign w:val="center"/>
            <w:hideMark/>
          </w:tcPr>
          <w:p w14:paraId="4C019D5B" w14:textId="77777777" w:rsidR="00396F50" w:rsidRPr="003D35B9" w:rsidRDefault="00396F50" w:rsidP="00876112">
            <w:pPr>
              <w:spacing w:after="0" w:line="240" w:lineRule="auto"/>
              <w:jc w:val="center"/>
              <w:rPr>
                <w:rFonts w:ascii="Times New Roman" w:eastAsia="Times New Roman" w:hAnsi="Times New Roman" w:cs="Times New Roman"/>
                <w:color w:val="000000"/>
                <w:sz w:val="32"/>
                <w:szCs w:val="32"/>
              </w:rPr>
            </w:pPr>
            <w:r w:rsidRPr="003D35B9">
              <w:rPr>
                <w:rFonts w:ascii="Times New Roman" w:eastAsia="Times New Roman" w:hAnsi="Times New Roman" w:cs="Times New Roman"/>
                <w:color w:val="000000"/>
                <w:sz w:val="32"/>
                <w:szCs w:val="32"/>
              </w:rPr>
              <w:t>IADL</w:t>
            </w:r>
          </w:p>
        </w:tc>
        <w:tc>
          <w:tcPr>
            <w:tcW w:w="1106" w:type="dxa"/>
            <w:vMerge w:val="restart"/>
            <w:tcBorders>
              <w:top w:val="nil"/>
              <w:left w:val="single" w:sz="8" w:space="0" w:color="000000"/>
              <w:bottom w:val="single" w:sz="8" w:space="0" w:color="000000"/>
              <w:right w:val="nil"/>
            </w:tcBorders>
            <w:shd w:val="clear" w:color="auto" w:fill="auto"/>
            <w:noWrap/>
            <w:vAlign w:val="center"/>
          </w:tcPr>
          <w:p w14:paraId="74FE92A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106" w:type="dxa"/>
            <w:tcBorders>
              <w:top w:val="nil"/>
              <w:left w:val="nil"/>
              <w:bottom w:val="nil"/>
              <w:right w:val="nil"/>
            </w:tcBorders>
            <w:shd w:val="clear" w:color="auto" w:fill="auto"/>
            <w:vAlign w:val="center"/>
          </w:tcPr>
          <w:p w14:paraId="654C443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106" w:type="dxa"/>
            <w:tcBorders>
              <w:top w:val="nil"/>
              <w:left w:val="nil"/>
              <w:bottom w:val="nil"/>
              <w:right w:val="nil"/>
            </w:tcBorders>
            <w:shd w:val="clear" w:color="auto" w:fill="auto"/>
            <w:vAlign w:val="center"/>
          </w:tcPr>
          <w:p w14:paraId="39E2CDE0" w14:textId="77777777" w:rsidR="00396F50" w:rsidRPr="004D1D4E" w:rsidRDefault="00396F50" w:rsidP="00876112">
            <w:pPr>
              <w:spacing w:after="0" w:line="240" w:lineRule="auto"/>
              <w:jc w:val="center"/>
              <w:rPr>
                <w:rFonts w:ascii="Times New Roman" w:eastAsia="Times New Roman" w:hAnsi="Times New Roman" w:cs="Times New Roman"/>
                <w:sz w:val="16"/>
                <w:szCs w:val="16"/>
              </w:rPr>
            </w:pPr>
          </w:p>
        </w:tc>
        <w:tc>
          <w:tcPr>
            <w:tcW w:w="1371" w:type="dxa"/>
            <w:tcBorders>
              <w:top w:val="nil"/>
              <w:left w:val="nil"/>
              <w:bottom w:val="nil"/>
              <w:right w:val="nil"/>
            </w:tcBorders>
            <w:shd w:val="clear" w:color="auto" w:fill="auto"/>
            <w:vAlign w:val="center"/>
          </w:tcPr>
          <w:p w14:paraId="4D00CB90" w14:textId="77777777" w:rsidR="00396F50" w:rsidRPr="004D1D4E" w:rsidRDefault="00396F50" w:rsidP="00876112">
            <w:pPr>
              <w:spacing w:after="0" w:line="240" w:lineRule="auto"/>
              <w:jc w:val="center"/>
              <w:rPr>
                <w:rFonts w:ascii="Times New Roman" w:eastAsia="Times New Roman" w:hAnsi="Times New Roman" w:cs="Times New Roman"/>
                <w:sz w:val="16"/>
                <w:szCs w:val="16"/>
              </w:rPr>
            </w:pPr>
          </w:p>
        </w:tc>
        <w:tc>
          <w:tcPr>
            <w:tcW w:w="1417" w:type="dxa"/>
            <w:tcBorders>
              <w:top w:val="nil"/>
              <w:left w:val="nil"/>
              <w:bottom w:val="nil"/>
              <w:right w:val="nil"/>
            </w:tcBorders>
            <w:shd w:val="clear" w:color="auto" w:fill="auto"/>
            <w:vAlign w:val="center"/>
          </w:tcPr>
          <w:p w14:paraId="328E2E34" w14:textId="77777777" w:rsidR="00396F50" w:rsidRPr="004D1D4E" w:rsidRDefault="00396F50" w:rsidP="00876112">
            <w:pPr>
              <w:spacing w:after="0" w:line="240" w:lineRule="auto"/>
              <w:jc w:val="center"/>
              <w:rPr>
                <w:rFonts w:ascii="Times New Roman" w:eastAsia="Times New Roman" w:hAnsi="Times New Roman" w:cs="Times New Roman"/>
                <w:sz w:val="16"/>
                <w:szCs w:val="16"/>
              </w:rPr>
            </w:pPr>
          </w:p>
        </w:tc>
        <w:tc>
          <w:tcPr>
            <w:tcW w:w="1394" w:type="dxa"/>
            <w:tcBorders>
              <w:top w:val="nil"/>
              <w:left w:val="nil"/>
              <w:bottom w:val="nil"/>
              <w:right w:val="nil"/>
            </w:tcBorders>
          </w:tcPr>
          <w:p w14:paraId="138F4108" w14:textId="77777777" w:rsidR="00396F50" w:rsidRPr="004D1D4E" w:rsidRDefault="00396F50" w:rsidP="00876112">
            <w:pPr>
              <w:spacing w:after="0" w:line="240" w:lineRule="auto"/>
              <w:jc w:val="center"/>
              <w:rPr>
                <w:rFonts w:ascii="Times New Roman" w:eastAsia="Times New Roman" w:hAnsi="Times New Roman" w:cs="Times New Roman"/>
                <w:sz w:val="16"/>
                <w:szCs w:val="16"/>
              </w:rPr>
            </w:pPr>
          </w:p>
        </w:tc>
      </w:tr>
      <w:tr w:rsidR="00396F50" w:rsidRPr="003D35B9" w14:paraId="58F03360" w14:textId="77777777" w:rsidTr="00876112">
        <w:trPr>
          <w:trHeight w:val="300"/>
        </w:trPr>
        <w:tc>
          <w:tcPr>
            <w:tcW w:w="1832" w:type="dxa"/>
            <w:gridSpan w:val="2"/>
            <w:vMerge/>
            <w:tcBorders>
              <w:top w:val="nil"/>
              <w:left w:val="nil"/>
              <w:bottom w:val="single" w:sz="8" w:space="0" w:color="000000"/>
              <w:right w:val="single" w:sz="8" w:space="0" w:color="000000"/>
            </w:tcBorders>
            <w:vAlign w:val="center"/>
            <w:hideMark/>
          </w:tcPr>
          <w:p w14:paraId="1F8BF834" w14:textId="77777777" w:rsidR="00396F50" w:rsidRPr="003D35B9" w:rsidRDefault="00396F50" w:rsidP="00876112">
            <w:pPr>
              <w:spacing w:after="0" w:line="240" w:lineRule="auto"/>
              <w:rPr>
                <w:rFonts w:ascii="Times New Roman" w:eastAsia="Times New Roman" w:hAnsi="Times New Roman" w:cs="Times New Roman"/>
                <w:color w:val="000000"/>
                <w:sz w:val="32"/>
                <w:szCs w:val="32"/>
              </w:rPr>
            </w:pPr>
          </w:p>
        </w:tc>
        <w:tc>
          <w:tcPr>
            <w:tcW w:w="1106" w:type="dxa"/>
            <w:vMerge/>
            <w:tcBorders>
              <w:top w:val="nil"/>
              <w:left w:val="single" w:sz="8" w:space="0" w:color="000000"/>
              <w:bottom w:val="single" w:sz="8" w:space="0" w:color="000000"/>
              <w:right w:val="nil"/>
            </w:tcBorders>
            <w:vAlign w:val="center"/>
          </w:tcPr>
          <w:p w14:paraId="57BDA3D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106" w:type="dxa"/>
            <w:tcBorders>
              <w:top w:val="nil"/>
              <w:left w:val="nil"/>
              <w:bottom w:val="single" w:sz="8" w:space="0" w:color="auto"/>
              <w:right w:val="nil"/>
            </w:tcBorders>
            <w:shd w:val="clear" w:color="auto" w:fill="auto"/>
            <w:vAlign w:val="center"/>
          </w:tcPr>
          <w:p w14:paraId="2143CE8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106" w:type="dxa"/>
            <w:tcBorders>
              <w:top w:val="nil"/>
              <w:left w:val="nil"/>
              <w:bottom w:val="single" w:sz="8" w:space="0" w:color="auto"/>
              <w:right w:val="nil"/>
            </w:tcBorders>
            <w:shd w:val="clear" w:color="auto" w:fill="auto"/>
            <w:vAlign w:val="center"/>
          </w:tcPr>
          <w:p w14:paraId="4157770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371" w:type="dxa"/>
            <w:tcBorders>
              <w:top w:val="nil"/>
              <w:left w:val="nil"/>
              <w:bottom w:val="single" w:sz="8" w:space="0" w:color="auto"/>
              <w:right w:val="nil"/>
            </w:tcBorders>
            <w:shd w:val="clear" w:color="auto" w:fill="auto"/>
            <w:vAlign w:val="center"/>
          </w:tcPr>
          <w:p w14:paraId="537CFFE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417" w:type="dxa"/>
            <w:tcBorders>
              <w:top w:val="nil"/>
              <w:left w:val="nil"/>
              <w:bottom w:val="single" w:sz="8" w:space="0" w:color="auto"/>
              <w:right w:val="nil"/>
            </w:tcBorders>
            <w:shd w:val="clear" w:color="auto" w:fill="auto"/>
            <w:vAlign w:val="center"/>
          </w:tcPr>
          <w:p w14:paraId="7D7351D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c>
          <w:tcPr>
            <w:tcW w:w="1394" w:type="dxa"/>
            <w:tcBorders>
              <w:top w:val="nil"/>
              <w:left w:val="nil"/>
              <w:bottom w:val="single" w:sz="8" w:space="0" w:color="auto"/>
              <w:right w:val="nil"/>
            </w:tcBorders>
          </w:tcPr>
          <w:p w14:paraId="4C183D3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p>
        </w:tc>
      </w:tr>
      <w:tr w:rsidR="00396F50" w:rsidRPr="003D35B9" w14:paraId="08874FC4" w14:textId="77777777" w:rsidTr="00876112">
        <w:trPr>
          <w:cantSplit/>
          <w:trHeight w:val="288"/>
        </w:trPr>
        <w:tc>
          <w:tcPr>
            <w:tcW w:w="906" w:type="dxa"/>
            <w:tcBorders>
              <w:top w:val="nil"/>
              <w:left w:val="nil"/>
              <w:bottom w:val="nil"/>
              <w:right w:val="nil"/>
            </w:tcBorders>
            <w:shd w:val="clear" w:color="auto" w:fill="auto"/>
            <w:noWrap/>
            <w:vAlign w:val="center"/>
            <w:hideMark/>
          </w:tcPr>
          <w:p w14:paraId="11EFDB0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nil"/>
              <w:left w:val="nil"/>
              <w:bottom w:val="nil"/>
              <w:right w:val="single" w:sz="8" w:space="0" w:color="auto"/>
            </w:tcBorders>
            <w:shd w:val="clear" w:color="auto" w:fill="auto"/>
            <w:noWrap/>
            <w:vAlign w:val="center"/>
            <w:hideMark/>
          </w:tcPr>
          <w:p w14:paraId="39B20CE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06" w:type="dxa"/>
            <w:tcBorders>
              <w:top w:val="nil"/>
              <w:left w:val="nil"/>
              <w:bottom w:val="nil"/>
              <w:right w:val="nil"/>
            </w:tcBorders>
            <w:shd w:val="clear" w:color="auto" w:fill="auto"/>
            <w:noWrap/>
            <w:vAlign w:val="center"/>
          </w:tcPr>
          <w:p w14:paraId="7EA6F68D"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4.34 (3.84;4.85)</w:t>
            </w:r>
          </w:p>
        </w:tc>
        <w:tc>
          <w:tcPr>
            <w:tcW w:w="1106" w:type="dxa"/>
            <w:tcBorders>
              <w:top w:val="nil"/>
              <w:left w:val="nil"/>
              <w:bottom w:val="nil"/>
              <w:right w:val="nil"/>
            </w:tcBorders>
            <w:shd w:val="clear" w:color="auto" w:fill="auto"/>
            <w:noWrap/>
            <w:vAlign w:val="center"/>
          </w:tcPr>
          <w:p w14:paraId="664D753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3.93 (3.55;4.31)</w:t>
            </w:r>
          </w:p>
        </w:tc>
        <w:tc>
          <w:tcPr>
            <w:tcW w:w="1106" w:type="dxa"/>
            <w:tcBorders>
              <w:top w:val="nil"/>
              <w:left w:val="nil"/>
              <w:bottom w:val="nil"/>
              <w:right w:val="nil"/>
            </w:tcBorders>
            <w:shd w:val="clear" w:color="auto" w:fill="auto"/>
            <w:noWrap/>
            <w:vAlign w:val="center"/>
          </w:tcPr>
          <w:p w14:paraId="44975BE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4.67 (4.17;5.16)</w:t>
            </w:r>
          </w:p>
        </w:tc>
        <w:tc>
          <w:tcPr>
            <w:tcW w:w="1371" w:type="dxa"/>
            <w:tcBorders>
              <w:top w:val="nil"/>
              <w:left w:val="nil"/>
              <w:bottom w:val="nil"/>
              <w:right w:val="nil"/>
            </w:tcBorders>
            <w:shd w:val="clear" w:color="auto" w:fill="auto"/>
            <w:noWrap/>
            <w:vAlign w:val="center"/>
          </w:tcPr>
          <w:p w14:paraId="7DAEB13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-9.45 </w:t>
            </w:r>
          </w:p>
          <w:p w14:paraId="31D0AF0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(-26.8;12.2)</w:t>
            </w:r>
          </w:p>
        </w:tc>
        <w:tc>
          <w:tcPr>
            <w:tcW w:w="1417" w:type="dxa"/>
            <w:tcBorders>
              <w:top w:val="nil"/>
              <w:left w:val="nil"/>
              <w:bottom w:val="nil"/>
              <w:right w:val="nil"/>
            </w:tcBorders>
            <w:shd w:val="clear" w:color="auto" w:fill="auto"/>
            <w:noWrap/>
            <w:vAlign w:val="center"/>
          </w:tcPr>
          <w:p w14:paraId="2DD817C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18.8 </w:t>
            </w:r>
          </w:p>
          <w:p w14:paraId="561524E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(-3.25;45.3)</w:t>
            </w:r>
          </w:p>
        </w:tc>
        <w:tc>
          <w:tcPr>
            <w:tcW w:w="1394" w:type="dxa"/>
            <w:tcBorders>
              <w:top w:val="nil"/>
              <w:left w:val="nil"/>
              <w:bottom w:val="nil"/>
              <w:right w:val="nil"/>
            </w:tcBorders>
          </w:tcPr>
          <w:p w14:paraId="0434A1A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7.60 </w:t>
            </w:r>
          </w:p>
          <w:p w14:paraId="722B772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(-14.02;34.38)</w:t>
            </w:r>
          </w:p>
        </w:tc>
      </w:tr>
      <w:tr w:rsidR="00396F50" w:rsidRPr="003D35B9" w14:paraId="1F2C1AE4" w14:textId="77777777" w:rsidTr="00876112">
        <w:trPr>
          <w:cantSplit/>
          <w:trHeight w:val="288"/>
        </w:trPr>
        <w:tc>
          <w:tcPr>
            <w:tcW w:w="906" w:type="dxa"/>
            <w:tcBorders>
              <w:top w:val="nil"/>
              <w:left w:val="nil"/>
              <w:bottom w:val="nil"/>
              <w:right w:val="nil"/>
            </w:tcBorders>
            <w:shd w:val="clear" w:color="auto" w:fill="auto"/>
            <w:noWrap/>
            <w:textDirection w:val="btLr"/>
            <w:vAlign w:val="bottom"/>
            <w:hideMark/>
          </w:tcPr>
          <w:p w14:paraId="4A0BCD0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41C5293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06" w:type="dxa"/>
            <w:tcBorders>
              <w:top w:val="nil"/>
              <w:left w:val="nil"/>
              <w:bottom w:val="nil"/>
              <w:right w:val="nil"/>
            </w:tcBorders>
            <w:shd w:val="clear" w:color="auto" w:fill="auto"/>
            <w:noWrap/>
            <w:vAlign w:val="center"/>
          </w:tcPr>
          <w:p w14:paraId="43CAC1C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5.75 (4.16;7.35)</w:t>
            </w:r>
          </w:p>
        </w:tc>
        <w:tc>
          <w:tcPr>
            <w:tcW w:w="1106" w:type="dxa"/>
            <w:tcBorders>
              <w:top w:val="nil"/>
              <w:left w:val="nil"/>
              <w:bottom w:val="nil"/>
              <w:right w:val="nil"/>
            </w:tcBorders>
            <w:shd w:val="clear" w:color="auto" w:fill="auto"/>
            <w:noWrap/>
            <w:vAlign w:val="center"/>
          </w:tcPr>
          <w:p w14:paraId="5478BBD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6.77 (5.38;8.15)</w:t>
            </w:r>
          </w:p>
        </w:tc>
        <w:tc>
          <w:tcPr>
            <w:tcW w:w="1106" w:type="dxa"/>
            <w:tcBorders>
              <w:top w:val="nil"/>
              <w:left w:val="nil"/>
              <w:bottom w:val="nil"/>
              <w:right w:val="nil"/>
            </w:tcBorders>
            <w:shd w:val="clear" w:color="auto" w:fill="auto"/>
            <w:noWrap/>
            <w:vAlign w:val="center"/>
          </w:tcPr>
          <w:p w14:paraId="36CC25E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7.51 (5.87;9.15)</w:t>
            </w:r>
          </w:p>
        </w:tc>
        <w:tc>
          <w:tcPr>
            <w:tcW w:w="1371" w:type="dxa"/>
            <w:tcBorders>
              <w:top w:val="nil"/>
              <w:left w:val="nil"/>
              <w:bottom w:val="nil"/>
              <w:right w:val="nil"/>
            </w:tcBorders>
            <w:shd w:val="clear" w:color="auto" w:fill="auto"/>
            <w:noWrap/>
            <w:vAlign w:val="center"/>
          </w:tcPr>
          <w:p w14:paraId="50D75BE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17.74 </w:t>
            </w:r>
          </w:p>
          <w:p w14:paraId="70EE455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(-26.80;95.91)</w:t>
            </w:r>
          </w:p>
        </w:tc>
        <w:tc>
          <w:tcPr>
            <w:tcW w:w="1417" w:type="dxa"/>
            <w:tcBorders>
              <w:top w:val="nil"/>
              <w:left w:val="nil"/>
              <w:bottom w:val="nil"/>
              <w:right w:val="nil"/>
            </w:tcBorders>
            <w:shd w:val="clear" w:color="auto" w:fill="auto"/>
            <w:noWrap/>
            <w:vAlign w:val="center"/>
          </w:tcPr>
          <w:p w14:paraId="7FE84924"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10.93</w:t>
            </w:r>
          </w:p>
          <w:p w14:paraId="0D4ADF3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(-27.98;70.07)</w:t>
            </w:r>
          </w:p>
        </w:tc>
        <w:tc>
          <w:tcPr>
            <w:tcW w:w="1394" w:type="dxa"/>
            <w:tcBorders>
              <w:top w:val="nil"/>
              <w:left w:val="nil"/>
              <w:bottom w:val="nil"/>
              <w:right w:val="nil"/>
            </w:tcBorders>
          </w:tcPr>
          <w:p w14:paraId="0C61310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30.61 </w:t>
            </w:r>
          </w:p>
          <w:p w14:paraId="07A34F7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(-20.14;119.95)</w:t>
            </w:r>
          </w:p>
        </w:tc>
      </w:tr>
      <w:tr w:rsidR="00396F50" w:rsidRPr="003D35B9" w14:paraId="08F1FA3B" w14:textId="77777777" w:rsidTr="00876112">
        <w:trPr>
          <w:cantSplit/>
          <w:trHeight w:val="288"/>
        </w:trPr>
        <w:tc>
          <w:tcPr>
            <w:tcW w:w="906" w:type="dxa"/>
            <w:tcBorders>
              <w:top w:val="nil"/>
              <w:left w:val="nil"/>
              <w:bottom w:val="nil"/>
              <w:right w:val="nil"/>
            </w:tcBorders>
            <w:shd w:val="clear" w:color="auto" w:fill="auto"/>
            <w:noWrap/>
            <w:textDirection w:val="btLr"/>
            <w:vAlign w:val="bottom"/>
            <w:hideMark/>
          </w:tcPr>
          <w:p w14:paraId="7A105911"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6035E2E0"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06" w:type="dxa"/>
            <w:tcBorders>
              <w:top w:val="nil"/>
              <w:left w:val="nil"/>
              <w:bottom w:val="nil"/>
              <w:right w:val="nil"/>
            </w:tcBorders>
            <w:shd w:val="clear" w:color="auto" w:fill="auto"/>
            <w:noWrap/>
            <w:vAlign w:val="center"/>
          </w:tcPr>
          <w:p w14:paraId="0E4D956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4.20 (2.76;5.65)</w:t>
            </w:r>
          </w:p>
        </w:tc>
        <w:tc>
          <w:tcPr>
            <w:tcW w:w="1106" w:type="dxa"/>
            <w:tcBorders>
              <w:top w:val="nil"/>
              <w:left w:val="nil"/>
              <w:bottom w:val="nil"/>
              <w:right w:val="nil"/>
            </w:tcBorders>
            <w:shd w:val="clear" w:color="auto" w:fill="auto"/>
            <w:noWrap/>
            <w:vAlign w:val="center"/>
          </w:tcPr>
          <w:p w14:paraId="516944B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5.03 (3.81;6.26)</w:t>
            </w:r>
          </w:p>
        </w:tc>
        <w:tc>
          <w:tcPr>
            <w:tcW w:w="1106" w:type="dxa"/>
            <w:tcBorders>
              <w:top w:val="nil"/>
              <w:left w:val="nil"/>
              <w:bottom w:val="nil"/>
              <w:right w:val="nil"/>
            </w:tcBorders>
            <w:shd w:val="clear" w:color="auto" w:fill="auto"/>
            <w:noWrap/>
            <w:vAlign w:val="center"/>
          </w:tcPr>
          <w:p w14:paraId="4E7E187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6.08 (4.60;7.56)</w:t>
            </w:r>
          </w:p>
        </w:tc>
        <w:tc>
          <w:tcPr>
            <w:tcW w:w="1371" w:type="dxa"/>
            <w:tcBorders>
              <w:top w:val="nil"/>
              <w:left w:val="nil"/>
              <w:bottom w:val="nil"/>
              <w:right w:val="nil"/>
            </w:tcBorders>
            <w:shd w:val="clear" w:color="auto" w:fill="auto"/>
            <w:noWrap/>
            <w:vAlign w:val="center"/>
          </w:tcPr>
          <w:p w14:paraId="567C7979"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19.76 </w:t>
            </w:r>
          </w:p>
          <w:p w14:paraId="004CE94F"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(-32.57;126.81)</w:t>
            </w:r>
          </w:p>
        </w:tc>
        <w:tc>
          <w:tcPr>
            <w:tcW w:w="1417" w:type="dxa"/>
            <w:tcBorders>
              <w:top w:val="nil"/>
              <w:left w:val="nil"/>
              <w:bottom w:val="nil"/>
              <w:right w:val="nil"/>
            </w:tcBorders>
            <w:shd w:val="clear" w:color="auto" w:fill="auto"/>
            <w:noWrap/>
            <w:vAlign w:val="center"/>
          </w:tcPr>
          <w:p w14:paraId="219F20B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20.87 </w:t>
            </w:r>
          </w:p>
          <w:p w14:paraId="70B6DBF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(-26.52;98.43)</w:t>
            </w:r>
          </w:p>
        </w:tc>
        <w:tc>
          <w:tcPr>
            <w:tcW w:w="1394" w:type="dxa"/>
            <w:tcBorders>
              <w:top w:val="nil"/>
              <w:left w:val="nil"/>
              <w:bottom w:val="nil"/>
              <w:right w:val="nil"/>
            </w:tcBorders>
          </w:tcPr>
          <w:p w14:paraId="322209B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44.76 </w:t>
            </w:r>
          </w:p>
          <w:p w14:paraId="5EDABF8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(-18.58;173.91)</w:t>
            </w:r>
          </w:p>
        </w:tc>
      </w:tr>
      <w:tr w:rsidR="00396F50" w:rsidRPr="003D35B9" w14:paraId="03231296" w14:textId="77777777" w:rsidTr="00876112">
        <w:trPr>
          <w:cantSplit/>
          <w:trHeight w:val="288"/>
        </w:trPr>
        <w:tc>
          <w:tcPr>
            <w:tcW w:w="906" w:type="dxa"/>
            <w:tcBorders>
              <w:top w:val="nil"/>
              <w:left w:val="nil"/>
              <w:bottom w:val="nil"/>
              <w:right w:val="nil"/>
            </w:tcBorders>
            <w:shd w:val="clear" w:color="auto" w:fill="auto"/>
            <w:noWrap/>
            <w:vAlign w:val="center"/>
            <w:hideMark/>
          </w:tcPr>
          <w:p w14:paraId="461963A7"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5710DCA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06" w:type="dxa"/>
            <w:tcBorders>
              <w:top w:val="nil"/>
              <w:left w:val="nil"/>
              <w:bottom w:val="nil"/>
              <w:right w:val="nil"/>
            </w:tcBorders>
            <w:shd w:val="clear" w:color="auto" w:fill="auto"/>
            <w:noWrap/>
            <w:vAlign w:val="center"/>
          </w:tcPr>
          <w:p w14:paraId="3CEEBEF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5.90 (5.39;6.41)</w:t>
            </w:r>
          </w:p>
        </w:tc>
        <w:tc>
          <w:tcPr>
            <w:tcW w:w="1106" w:type="dxa"/>
            <w:tcBorders>
              <w:top w:val="nil"/>
              <w:left w:val="nil"/>
              <w:bottom w:val="nil"/>
              <w:right w:val="nil"/>
            </w:tcBorders>
            <w:shd w:val="clear" w:color="auto" w:fill="auto"/>
            <w:noWrap/>
            <w:vAlign w:val="center"/>
          </w:tcPr>
          <w:p w14:paraId="2E21466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6.66 (6.20;7.12)</w:t>
            </w:r>
          </w:p>
        </w:tc>
        <w:tc>
          <w:tcPr>
            <w:tcW w:w="1106" w:type="dxa"/>
            <w:tcBorders>
              <w:top w:val="nil"/>
              <w:left w:val="nil"/>
              <w:bottom w:val="nil"/>
              <w:right w:val="nil"/>
            </w:tcBorders>
            <w:shd w:val="clear" w:color="auto" w:fill="auto"/>
            <w:noWrap/>
            <w:vAlign w:val="center"/>
          </w:tcPr>
          <w:p w14:paraId="4D969F2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6.15 (5.65;6.65)</w:t>
            </w:r>
          </w:p>
        </w:tc>
        <w:tc>
          <w:tcPr>
            <w:tcW w:w="1371" w:type="dxa"/>
            <w:tcBorders>
              <w:top w:val="nil"/>
              <w:left w:val="nil"/>
              <w:bottom w:val="nil"/>
              <w:right w:val="nil"/>
            </w:tcBorders>
            <w:shd w:val="clear" w:color="auto" w:fill="auto"/>
            <w:noWrap/>
            <w:vAlign w:val="center"/>
          </w:tcPr>
          <w:p w14:paraId="26639A4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12.88 </w:t>
            </w:r>
          </w:p>
          <w:p w14:paraId="5622F8E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(-3.20;32.10)</w:t>
            </w:r>
          </w:p>
        </w:tc>
        <w:tc>
          <w:tcPr>
            <w:tcW w:w="1417" w:type="dxa"/>
            <w:tcBorders>
              <w:top w:val="nil"/>
              <w:left w:val="nil"/>
              <w:bottom w:val="nil"/>
              <w:right w:val="nil"/>
            </w:tcBorders>
            <w:shd w:val="clear" w:color="auto" w:fill="auto"/>
            <w:noWrap/>
            <w:vAlign w:val="center"/>
          </w:tcPr>
          <w:p w14:paraId="16B37E9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-7.66 </w:t>
            </w:r>
          </w:p>
          <w:p w14:paraId="7F0C94C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(-20.65;7.26)</w:t>
            </w:r>
          </w:p>
        </w:tc>
        <w:tc>
          <w:tcPr>
            <w:tcW w:w="1394" w:type="dxa"/>
            <w:tcBorders>
              <w:top w:val="nil"/>
              <w:left w:val="nil"/>
              <w:bottom w:val="nil"/>
              <w:right w:val="nil"/>
            </w:tcBorders>
          </w:tcPr>
          <w:p w14:paraId="20B3ED3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4.24 </w:t>
            </w:r>
          </w:p>
          <w:p w14:paraId="31A0DBF5"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(-11.86;23.38)</w:t>
            </w:r>
          </w:p>
        </w:tc>
      </w:tr>
      <w:tr w:rsidR="00396F50" w:rsidRPr="003D35B9" w14:paraId="2C3990E8" w14:textId="77777777" w:rsidTr="00876112">
        <w:trPr>
          <w:cantSplit/>
          <w:trHeight w:val="288"/>
        </w:trPr>
        <w:tc>
          <w:tcPr>
            <w:tcW w:w="906" w:type="dxa"/>
            <w:tcBorders>
              <w:top w:val="nil"/>
              <w:left w:val="nil"/>
              <w:bottom w:val="nil"/>
              <w:right w:val="nil"/>
            </w:tcBorders>
            <w:shd w:val="clear" w:color="auto" w:fill="auto"/>
            <w:noWrap/>
            <w:textDirection w:val="btLr"/>
            <w:vAlign w:val="bottom"/>
            <w:hideMark/>
          </w:tcPr>
          <w:p w14:paraId="738CAA07"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7663CED2"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06" w:type="dxa"/>
            <w:tcBorders>
              <w:top w:val="nil"/>
              <w:left w:val="nil"/>
              <w:bottom w:val="nil"/>
              <w:right w:val="nil"/>
            </w:tcBorders>
            <w:shd w:val="clear" w:color="auto" w:fill="auto"/>
            <w:noWrap/>
            <w:vAlign w:val="center"/>
          </w:tcPr>
          <w:p w14:paraId="6E023E0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10.33 (8.53;12.12)</w:t>
            </w:r>
          </w:p>
        </w:tc>
        <w:tc>
          <w:tcPr>
            <w:tcW w:w="1106" w:type="dxa"/>
            <w:tcBorders>
              <w:top w:val="nil"/>
              <w:left w:val="nil"/>
              <w:bottom w:val="nil"/>
              <w:right w:val="nil"/>
            </w:tcBorders>
            <w:shd w:val="clear" w:color="auto" w:fill="auto"/>
            <w:noWrap/>
            <w:vAlign w:val="center"/>
          </w:tcPr>
          <w:p w14:paraId="6711A5F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10.69 (9.24;12.14)</w:t>
            </w:r>
          </w:p>
        </w:tc>
        <w:tc>
          <w:tcPr>
            <w:tcW w:w="1106" w:type="dxa"/>
            <w:tcBorders>
              <w:top w:val="nil"/>
              <w:left w:val="nil"/>
              <w:bottom w:val="nil"/>
              <w:right w:val="nil"/>
            </w:tcBorders>
            <w:shd w:val="clear" w:color="auto" w:fill="auto"/>
            <w:noWrap/>
            <w:vAlign w:val="center"/>
          </w:tcPr>
          <w:p w14:paraId="2B1913CE"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11.17 (9.49;12.86)</w:t>
            </w:r>
          </w:p>
        </w:tc>
        <w:tc>
          <w:tcPr>
            <w:tcW w:w="1371" w:type="dxa"/>
            <w:tcBorders>
              <w:top w:val="nil"/>
              <w:left w:val="nil"/>
              <w:bottom w:val="nil"/>
              <w:right w:val="nil"/>
            </w:tcBorders>
            <w:shd w:val="clear" w:color="auto" w:fill="auto"/>
            <w:noWrap/>
            <w:vAlign w:val="center"/>
          </w:tcPr>
          <w:p w14:paraId="7C199136"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3.48 </w:t>
            </w:r>
          </w:p>
          <w:p w14:paraId="7BE4BA7A"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(-23.76;42.32)</w:t>
            </w:r>
          </w:p>
        </w:tc>
        <w:tc>
          <w:tcPr>
            <w:tcW w:w="1417" w:type="dxa"/>
            <w:tcBorders>
              <w:top w:val="nil"/>
              <w:left w:val="nil"/>
              <w:bottom w:val="nil"/>
              <w:right w:val="nil"/>
            </w:tcBorders>
            <w:shd w:val="clear" w:color="auto" w:fill="auto"/>
            <w:noWrap/>
            <w:vAlign w:val="center"/>
          </w:tcPr>
          <w:p w14:paraId="10D2CFE3"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4.49 </w:t>
            </w:r>
          </w:p>
          <w:p w14:paraId="027DEAC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(-21.83;39.18)</w:t>
            </w:r>
          </w:p>
        </w:tc>
        <w:tc>
          <w:tcPr>
            <w:tcW w:w="1394" w:type="dxa"/>
            <w:tcBorders>
              <w:top w:val="nil"/>
              <w:left w:val="nil"/>
              <w:bottom w:val="nil"/>
              <w:right w:val="nil"/>
            </w:tcBorders>
          </w:tcPr>
          <w:p w14:paraId="33A5317B"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8.13 </w:t>
            </w:r>
          </w:p>
          <w:p w14:paraId="63681D5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(-21.70;50.76)</w:t>
            </w:r>
          </w:p>
        </w:tc>
      </w:tr>
      <w:tr w:rsidR="00396F50" w:rsidRPr="003D35B9" w14:paraId="697D1E3A" w14:textId="77777777" w:rsidTr="00876112">
        <w:trPr>
          <w:cantSplit/>
          <w:trHeight w:val="288"/>
        </w:trPr>
        <w:tc>
          <w:tcPr>
            <w:tcW w:w="906" w:type="dxa"/>
            <w:tcBorders>
              <w:top w:val="nil"/>
              <w:left w:val="nil"/>
              <w:bottom w:val="nil"/>
              <w:right w:val="nil"/>
            </w:tcBorders>
            <w:shd w:val="clear" w:color="auto" w:fill="auto"/>
            <w:noWrap/>
            <w:textDirection w:val="btLr"/>
            <w:vAlign w:val="bottom"/>
            <w:hideMark/>
          </w:tcPr>
          <w:p w14:paraId="3778DE03"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32E9E8B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06" w:type="dxa"/>
            <w:tcBorders>
              <w:top w:val="nil"/>
              <w:left w:val="nil"/>
              <w:bottom w:val="nil"/>
              <w:right w:val="nil"/>
            </w:tcBorders>
            <w:shd w:val="clear" w:color="auto" w:fill="auto"/>
            <w:noWrap/>
            <w:vAlign w:val="center"/>
          </w:tcPr>
          <w:p w14:paraId="529277B8"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5.87 (4.43;7.30)</w:t>
            </w:r>
          </w:p>
        </w:tc>
        <w:tc>
          <w:tcPr>
            <w:tcW w:w="1106" w:type="dxa"/>
            <w:tcBorders>
              <w:top w:val="nil"/>
              <w:left w:val="nil"/>
              <w:bottom w:val="nil"/>
              <w:right w:val="nil"/>
            </w:tcBorders>
            <w:shd w:val="clear" w:color="auto" w:fill="auto"/>
            <w:noWrap/>
            <w:vAlign w:val="center"/>
          </w:tcPr>
          <w:p w14:paraId="5807BE9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8.01 (6.67;9.35)</w:t>
            </w:r>
          </w:p>
        </w:tc>
        <w:tc>
          <w:tcPr>
            <w:tcW w:w="1106" w:type="dxa"/>
            <w:tcBorders>
              <w:top w:val="nil"/>
              <w:left w:val="nil"/>
              <w:bottom w:val="nil"/>
              <w:right w:val="nil"/>
            </w:tcBorders>
            <w:shd w:val="clear" w:color="auto" w:fill="auto"/>
            <w:noWrap/>
            <w:vAlign w:val="center"/>
          </w:tcPr>
          <w:p w14:paraId="3C284EAC"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8.44 (6.94;9.95)</w:t>
            </w:r>
          </w:p>
        </w:tc>
        <w:tc>
          <w:tcPr>
            <w:tcW w:w="1371" w:type="dxa"/>
            <w:tcBorders>
              <w:top w:val="nil"/>
              <w:left w:val="nil"/>
              <w:bottom w:val="nil"/>
              <w:right w:val="nil"/>
            </w:tcBorders>
            <w:shd w:val="clear" w:color="auto" w:fill="auto"/>
            <w:noWrap/>
            <w:vAlign w:val="center"/>
          </w:tcPr>
          <w:p w14:paraId="715EFAD1"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36.46 </w:t>
            </w:r>
          </w:p>
          <w:p w14:paraId="63C9181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(-8.63;111.06)</w:t>
            </w:r>
          </w:p>
        </w:tc>
        <w:tc>
          <w:tcPr>
            <w:tcW w:w="1417" w:type="dxa"/>
            <w:tcBorders>
              <w:top w:val="nil"/>
              <w:left w:val="nil"/>
              <w:bottom w:val="nil"/>
              <w:right w:val="nil"/>
            </w:tcBorders>
            <w:shd w:val="clear" w:color="auto" w:fill="auto"/>
            <w:noWrap/>
            <w:vAlign w:val="center"/>
          </w:tcPr>
          <w:p w14:paraId="34AD0CA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5.37 </w:t>
            </w:r>
          </w:p>
          <w:p w14:paraId="6DCA6F20"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(-25.78;49.18)</w:t>
            </w:r>
          </w:p>
        </w:tc>
        <w:tc>
          <w:tcPr>
            <w:tcW w:w="1394" w:type="dxa"/>
            <w:tcBorders>
              <w:top w:val="nil"/>
              <w:left w:val="nil"/>
              <w:bottom w:val="nil"/>
              <w:right w:val="nil"/>
            </w:tcBorders>
          </w:tcPr>
          <w:p w14:paraId="0A161B62"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 xml:space="preserve">43.78 </w:t>
            </w:r>
          </w:p>
          <w:p w14:paraId="0D2542B7" w14:textId="77777777" w:rsidR="00396F50" w:rsidRPr="004D1D4E" w:rsidRDefault="00396F50" w:rsidP="00876112">
            <w:pPr>
              <w:spacing w:after="0" w:line="240" w:lineRule="auto"/>
              <w:jc w:val="center"/>
              <w:rPr>
                <w:rFonts w:ascii="Times New Roman" w:eastAsia="Times New Roman" w:hAnsi="Times New Roman" w:cs="Times New Roman"/>
                <w:color w:val="000000"/>
                <w:sz w:val="16"/>
                <w:szCs w:val="16"/>
              </w:rPr>
            </w:pPr>
            <w:r w:rsidRPr="004D1D4E">
              <w:rPr>
                <w:rFonts w:ascii="Times New Roman" w:eastAsia="Times New Roman" w:hAnsi="Times New Roman" w:cs="Times New Roman"/>
                <w:color w:val="000000"/>
                <w:sz w:val="16"/>
                <w:szCs w:val="16"/>
              </w:rPr>
              <w:t>(-4.93;124.60)</w:t>
            </w:r>
          </w:p>
        </w:tc>
      </w:tr>
    </w:tbl>
    <w:p w14:paraId="7FFD764D" w14:textId="77777777" w:rsidR="00396F50" w:rsidRDefault="00396F50" w:rsidP="00396F50">
      <w:pPr>
        <w:spacing w:line="259" w:lineRule="auto"/>
        <w:rPr>
          <w:rFonts w:ascii="Times New Roman" w:hAnsi="Times New Roman" w:cs="Times New Roman"/>
          <w:sz w:val="18"/>
          <w:szCs w:val="18"/>
        </w:rPr>
      </w:pPr>
    </w:p>
    <w:p w14:paraId="39B06301" w14:textId="77777777" w:rsidR="00396F50" w:rsidRDefault="00396F50" w:rsidP="00396F50">
      <w:r>
        <w:t>Key: * implies a deviation from the baseline estimated values with 95% Confidence Interval</w:t>
      </w:r>
    </w:p>
    <w:p w14:paraId="3ED30118" w14:textId="77777777" w:rsidR="00396F50" w:rsidRDefault="00396F50" w:rsidP="00396F50">
      <w:pPr>
        <w:spacing w:line="259" w:lineRule="auto"/>
        <w:rPr>
          <w:rFonts w:ascii="Times New Roman" w:hAnsi="Times New Roman" w:cs="Times New Roman"/>
          <w:sz w:val="18"/>
          <w:szCs w:val="18"/>
        </w:rPr>
      </w:pPr>
      <w:r>
        <w:rPr>
          <w:rFonts w:ascii="Times New Roman" w:hAnsi="Times New Roman" w:cs="Times New Roman"/>
          <w:sz w:val="18"/>
          <w:szCs w:val="18"/>
        </w:rPr>
        <w:br w:type="page"/>
      </w:r>
      <w:r w:rsidRPr="009E48BA">
        <w:lastRenderedPageBreak/>
        <w:t xml:space="preserve">Table </w:t>
      </w:r>
      <w:proofErr w:type="gramStart"/>
      <w:r>
        <w:t>4</w:t>
      </w:r>
      <w:r w:rsidRPr="009E48BA">
        <w:t xml:space="preserve"> :</w:t>
      </w:r>
      <w:proofErr w:type="gramEnd"/>
      <w:r w:rsidRPr="009E48BA">
        <w:t xml:space="preserve"> </w:t>
      </w:r>
      <w:r w:rsidRPr="004955FF">
        <w:rPr>
          <w:rFonts w:ascii="Times New Roman" w:eastAsia="Times New Roman" w:hAnsi="Times New Roman" w:cs="Times New Roman"/>
          <w:sz w:val="22"/>
          <w:szCs w:val="22"/>
          <w:u w:val="single"/>
        </w:rPr>
        <w:t>Predicted</w:t>
      </w:r>
      <w:r>
        <w:rPr>
          <w:rFonts w:ascii="Times New Roman" w:eastAsia="Times New Roman" w:hAnsi="Times New Roman" w:cs="Times New Roman"/>
          <w:sz w:val="22"/>
          <w:szCs w:val="22"/>
          <w:u w:val="single"/>
        </w:rPr>
        <w:t xml:space="preserve"> </w:t>
      </w:r>
      <w:r w:rsidRPr="004955FF">
        <w:rPr>
          <w:rFonts w:ascii="Times New Roman" w:eastAsia="Times New Roman" w:hAnsi="Times New Roman" w:cs="Times New Roman"/>
          <w:sz w:val="22"/>
          <w:szCs w:val="22"/>
          <w:u w:val="single"/>
        </w:rPr>
        <w:t xml:space="preserve">ADL </w:t>
      </w:r>
      <w:r>
        <w:rPr>
          <w:rFonts w:ascii="Times New Roman" w:eastAsia="Times New Roman" w:hAnsi="Times New Roman" w:cs="Times New Roman"/>
          <w:sz w:val="22"/>
          <w:szCs w:val="22"/>
          <w:u w:val="single"/>
        </w:rPr>
        <w:t xml:space="preserve">and IADL </w:t>
      </w:r>
      <w:r w:rsidRPr="004955FF">
        <w:rPr>
          <w:rFonts w:ascii="Times New Roman" w:eastAsia="Times New Roman" w:hAnsi="Times New Roman" w:cs="Times New Roman"/>
          <w:sz w:val="22"/>
          <w:szCs w:val="22"/>
          <w:u w:val="single"/>
        </w:rPr>
        <w:t xml:space="preserve">prevalence </w:t>
      </w:r>
      <w:r>
        <w:rPr>
          <w:rFonts w:ascii="Times New Roman" w:eastAsia="Times New Roman" w:hAnsi="Times New Roman" w:cs="Times New Roman"/>
          <w:u w:val="single"/>
        </w:rPr>
        <w:t>and Relative Change</w:t>
      </w:r>
      <w:r w:rsidRPr="004955FF">
        <w:rPr>
          <w:rFonts w:ascii="Times New Roman" w:eastAsia="Times New Roman" w:hAnsi="Times New Roman" w:cs="Times New Roman"/>
          <w:sz w:val="22"/>
          <w:szCs w:val="22"/>
          <w:u w:val="single"/>
        </w:rPr>
        <w:t xml:space="preserve"> by sex,</w:t>
      </w:r>
      <w:r>
        <w:rPr>
          <w:rFonts w:ascii="Times New Roman" w:eastAsia="Times New Roman" w:hAnsi="Times New Roman" w:cs="Times New Roman"/>
          <w:u w:val="single"/>
        </w:rPr>
        <w:t xml:space="preserve"> </w:t>
      </w:r>
      <w:r w:rsidRPr="004955FF">
        <w:rPr>
          <w:rFonts w:ascii="Times New Roman" w:eastAsia="Times New Roman" w:hAnsi="Times New Roman" w:cs="Times New Roman"/>
          <w:sz w:val="22"/>
          <w:szCs w:val="22"/>
          <w:u w:val="single"/>
        </w:rPr>
        <w:t>race and ethnicity</w:t>
      </w:r>
      <w:r>
        <w:rPr>
          <w:rFonts w:ascii="Times New Roman" w:eastAsia="Times New Roman" w:hAnsi="Times New Roman" w:cs="Times New Roman"/>
          <w:sz w:val="22"/>
          <w:szCs w:val="22"/>
          <w:u w:val="single"/>
        </w:rPr>
        <w:t xml:space="preserve"> for years</w:t>
      </w:r>
      <w:r w:rsidRPr="004955FF">
        <w:rPr>
          <w:rFonts w:ascii="Times New Roman" w:eastAsia="Times New Roman" w:hAnsi="Times New Roman" w:cs="Times New Roman"/>
          <w:sz w:val="22"/>
          <w:szCs w:val="22"/>
          <w:u w:val="single"/>
        </w:rPr>
        <w:t xml:space="preserve"> 2000</w:t>
      </w:r>
      <w:r>
        <w:rPr>
          <w:rFonts w:ascii="Times New Roman" w:eastAsia="Times New Roman" w:hAnsi="Times New Roman" w:cs="Times New Roman"/>
          <w:sz w:val="22"/>
          <w:szCs w:val="22"/>
          <w:u w:val="single"/>
        </w:rPr>
        <w:t xml:space="preserve">, 2010 and 2018, </w:t>
      </w:r>
      <w:r>
        <w:rPr>
          <w:rFonts w:ascii="Times New Roman" w:eastAsia="Times New Roman" w:hAnsi="Times New Roman" w:cs="Times New Roman"/>
          <w:u w:val="single"/>
        </w:rPr>
        <w:t xml:space="preserve">group aged 75-84 </w:t>
      </w:r>
    </w:p>
    <w:p w14:paraId="3FDDC67E" w14:textId="77777777" w:rsidR="00396F50" w:rsidRDefault="00396F50" w:rsidP="00396F50">
      <w:pPr>
        <w:spacing w:line="259" w:lineRule="auto"/>
        <w:rPr>
          <w:rFonts w:ascii="Times New Roman" w:hAnsi="Times New Roman" w:cs="Times New Roman"/>
          <w:sz w:val="18"/>
          <w:szCs w:val="18"/>
        </w:rPr>
      </w:pPr>
    </w:p>
    <w:tbl>
      <w:tblPr>
        <w:tblW w:w="9360" w:type="dxa"/>
        <w:tblLook w:val="04A0" w:firstRow="1" w:lastRow="0" w:firstColumn="1" w:lastColumn="0" w:noHBand="0" w:noVBand="1"/>
      </w:tblPr>
      <w:tblGrid>
        <w:gridCol w:w="816"/>
        <w:gridCol w:w="926"/>
        <w:gridCol w:w="1189"/>
        <w:gridCol w:w="1189"/>
        <w:gridCol w:w="1189"/>
        <w:gridCol w:w="1415"/>
        <w:gridCol w:w="1284"/>
        <w:gridCol w:w="72"/>
        <w:gridCol w:w="1280"/>
      </w:tblGrid>
      <w:tr w:rsidR="00396F50" w:rsidRPr="003D35B9" w14:paraId="38EB741B" w14:textId="77777777" w:rsidTr="00FB0610">
        <w:trPr>
          <w:trHeight w:val="1068"/>
        </w:trPr>
        <w:tc>
          <w:tcPr>
            <w:tcW w:w="1742" w:type="dxa"/>
            <w:gridSpan w:val="2"/>
            <w:tcBorders>
              <w:top w:val="nil"/>
              <w:left w:val="nil"/>
              <w:bottom w:val="single" w:sz="8" w:space="0" w:color="000000"/>
              <w:right w:val="single" w:sz="8" w:space="0" w:color="000000"/>
            </w:tcBorders>
            <w:shd w:val="clear" w:color="auto" w:fill="auto"/>
            <w:noWrap/>
            <w:vAlign w:val="center"/>
          </w:tcPr>
          <w:p w14:paraId="3A14A245" w14:textId="77777777" w:rsidR="00396F50" w:rsidRPr="003D35B9" w:rsidRDefault="00396F50" w:rsidP="00876112">
            <w:pPr>
              <w:spacing w:after="0" w:line="240" w:lineRule="auto"/>
              <w:jc w:val="center"/>
              <w:rPr>
                <w:rFonts w:ascii="Times New Roman" w:eastAsia="Times New Roman" w:hAnsi="Times New Roman" w:cs="Times New Roman"/>
                <w:color w:val="000000"/>
                <w:sz w:val="32"/>
                <w:szCs w:val="32"/>
              </w:rPr>
            </w:pPr>
            <w:r w:rsidRPr="003D35B9">
              <w:rPr>
                <w:rFonts w:ascii="Times New Roman" w:eastAsia="Times New Roman" w:hAnsi="Times New Roman" w:cs="Times New Roman"/>
                <w:color w:val="000000"/>
                <w:sz w:val="32"/>
                <w:szCs w:val="32"/>
              </w:rPr>
              <w:t>ADL</w:t>
            </w:r>
          </w:p>
        </w:tc>
        <w:tc>
          <w:tcPr>
            <w:tcW w:w="1189" w:type="dxa"/>
            <w:tcBorders>
              <w:top w:val="nil"/>
              <w:left w:val="single" w:sz="8" w:space="0" w:color="000000"/>
              <w:bottom w:val="single" w:sz="4" w:space="0" w:color="auto"/>
              <w:right w:val="nil"/>
            </w:tcBorders>
            <w:shd w:val="clear" w:color="auto" w:fill="auto"/>
            <w:noWrap/>
            <w:vAlign w:val="center"/>
          </w:tcPr>
          <w:p w14:paraId="44A20A62"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 xml:space="preserve">Prevalence </w:t>
            </w:r>
            <w:r>
              <w:rPr>
                <w:rFonts w:ascii="Times New Roman" w:eastAsia="Times New Roman" w:hAnsi="Times New Roman" w:cs="Times New Roman"/>
                <w:color w:val="000000"/>
                <w:sz w:val="18"/>
                <w:szCs w:val="18"/>
              </w:rPr>
              <w:t xml:space="preserve">in </w:t>
            </w:r>
            <w:r w:rsidRPr="00986093">
              <w:rPr>
                <w:rFonts w:ascii="Times New Roman" w:eastAsia="Times New Roman" w:hAnsi="Times New Roman" w:cs="Times New Roman"/>
                <w:color w:val="000000"/>
                <w:sz w:val="18"/>
                <w:szCs w:val="18"/>
              </w:rPr>
              <w:t>2000</w:t>
            </w:r>
          </w:p>
        </w:tc>
        <w:tc>
          <w:tcPr>
            <w:tcW w:w="1189" w:type="dxa"/>
            <w:tcBorders>
              <w:top w:val="nil"/>
              <w:left w:val="nil"/>
              <w:bottom w:val="single" w:sz="4" w:space="0" w:color="auto"/>
              <w:right w:val="nil"/>
            </w:tcBorders>
            <w:shd w:val="clear" w:color="auto" w:fill="auto"/>
            <w:vAlign w:val="center"/>
          </w:tcPr>
          <w:p w14:paraId="177518DC" w14:textId="77777777" w:rsidR="00396F50" w:rsidRPr="00FA1426"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 xml:space="preserve">Prevalence </w:t>
            </w:r>
            <w:r>
              <w:rPr>
                <w:rFonts w:ascii="Times New Roman" w:eastAsia="Times New Roman" w:hAnsi="Times New Roman" w:cs="Times New Roman"/>
                <w:color w:val="000000"/>
                <w:sz w:val="18"/>
                <w:szCs w:val="18"/>
              </w:rPr>
              <w:t xml:space="preserve">in </w:t>
            </w:r>
            <w:r w:rsidRPr="00FA1426">
              <w:rPr>
                <w:rFonts w:ascii="Times New Roman" w:eastAsia="Times New Roman" w:hAnsi="Times New Roman" w:cs="Times New Roman"/>
                <w:color w:val="000000"/>
                <w:sz w:val="18"/>
                <w:szCs w:val="18"/>
              </w:rPr>
              <w:t>20</w:t>
            </w:r>
            <w:r>
              <w:rPr>
                <w:rFonts w:ascii="Times New Roman" w:eastAsia="Times New Roman" w:hAnsi="Times New Roman" w:cs="Times New Roman"/>
                <w:color w:val="000000"/>
                <w:sz w:val="18"/>
                <w:szCs w:val="18"/>
              </w:rPr>
              <w:t>10</w:t>
            </w:r>
          </w:p>
        </w:tc>
        <w:tc>
          <w:tcPr>
            <w:tcW w:w="1189" w:type="dxa"/>
            <w:tcBorders>
              <w:top w:val="nil"/>
              <w:left w:val="nil"/>
              <w:bottom w:val="single" w:sz="4" w:space="0" w:color="auto"/>
              <w:right w:val="nil"/>
            </w:tcBorders>
            <w:shd w:val="clear" w:color="auto" w:fill="auto"/>
            <w:vAlign w:val="center"/>
          </w:tcPr>
          <w:p w14:paraId="02477FCD" w14:textId="77777777" w:rsidR="00396F50" w:rsidRPr="00FA1426" w:rsidRDefault="00396F50" w:rsidP="00876112">
            <w:pPr>
              <w:spacing w:after="0" w:line="240" w:lineRule="auto"/>
              <w:jc w:val="center"/>
              <w:rPr>
                <w:rFonts w:ascii="Times New Roman" w:eastAsia="Times New Roman" w:hAnsi="Times New Roman" w:cs="Times New Roman"/>
                <w:color w:val="000000"/>
                <w:sz w:val="18"/>
                <w:szCs w:val="18"/>
              </w:rPr>
            </w:pPr>
            <w:r w:rsidRPr="00FA1426">
              <w:rPr>
                <w:rFonts w:ascii="Times New Roman" w:eastAsia="Times New Roman" w:hAnsi="Times New Roman" w:cs="Times New Roman"/>
                <w:color w:val="000000"/>
                <w:sz w:val="18"/>
                <w:szCs w:val="18"/>
              </w:rPr>
              <w:t xml:space="preserve">Prevalence </w:t>
            </w:r>
            <w:r>
              <w:rPr>
                <w:rFonts w:ascii="Times New Roman" w:eastAsia="Times New Roman" w:hAnsi="Times New Roman" w:cs="Times New Roman"/>
                <w:color w:val="000000"/>
                <w:sz w:val="18"/>
                <w:szCs w:val="18"/>
              </w:rPr>
              <w:t xml:space="preserve">in </w:t>
            </w:r>
            <w:r w:rsidRPr="00FA1426">
              <w:rPr>
                <w:rFonts w:ascii="Times New Roman" w:eastAsia="Times New Roman" w:hAnsi="Times New Roman" w:cs="Times New Roman"/>
                <w:color w:val="000000"/>
                <w:sz w:val="18"/>
                <w:szCs w:val="18"/>
              </w:rPr>
              <w:t>20</w:t>
            </w:r>
            <w:r>
              <w:rPr>
                <w:rFonts w:ascii="Times New Roman" w:eastAsia="Times New Roman" w:hAnsi="Times New Roman" w:cs="Times New Roman"/>
                <w:color w:val="000000"/>
                <w:sz w:val="18"/>
                <w:szCs w:val="18"/>
              </w:rPr>
              <w:t>18</w:t>
            </w:r>
          </w:p>
        </w:tc>
        <w:tc>
          <w:tcPr>
            <w:tcW w:w="1415" w:type="dxa"/>
            <w:tcBorders>
              <w:top w:val="nil"/>
              <w:left w:val="nil"/>
              <w:bottom w:val="single" w:sz="4" w:space="0" w:color="auto"/>
              <w:right w:val="nil"/>
            </w:tcBorders>
            <w:shd w:val="clear" w:color="auto" w:fill="auto"/>
            <w:vAlign w:val="center"/>
          </w:tcPr>
          <w:p w14:paraId="0BFE80B7"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2000-20</w:t>
            </w:r>
            <w:r>
              <w:rPr>
                <w:rFonts w:ascii="Times New Roman" w:eastAsia="Times New Roman" w:hAnsi="Times New Roman" w:cs="Times New Roman"/>
                <w:color w:val="000000"/>
                <w:sz w:val="18"/>
                <w:szCs w:val="18"/>
              </w:rPr>
              <w:t>10</w:t>
            </w:r>
          </w:p>
        </w:tc>
        <w:tc>
          <w:tcPr>
            <w:tcW w:w="1356" w:type="dxa"/>
            <w:gridSpan w:val="2"/>
            <w:tcBorders>
              <w:top w:val="nil"/>
              <w:left w:val="nil"/>
              <w:bottom w:val="single" w:sz="4" w:space="0" w:color="auto"/>
              <w:right w:val="nil"/>
            </w:tcBorders>
            <w:shd w:val="clear" w:color="auto" w:fill="auto"/>
            <w:vAlign w:val="center"/>
          </w:tcPr>
          <w:p w14:paraId="3D9CAA86"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Relative Change 2010-2018</w:t>
            </w:r>
          </w:p>
        </w:tc>
        <w:tc>
          <w:tcPr>
            <w:tcW w:w="1280" w:type="dxa"/>
            <w:tcBorders>
              <w:top w:val="nil"/>
              <w:left w:val="nil"/>
              <w:bottom w:val="single" w:sz="4" w:space="0" w:color="auto"/>
              <w:right w:val="nil"/>
            </w:tcBorders>
            <w:vAlign w:val="center"/>
          </w:tcPr>
          <w:p w14:paraId="3E46B06F"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Relative Change 2000.2018</w:t>
            </w:r>
          </w:p>
        </w:tc>
      </w:tr>
      <w:tr w:rsidR="00396F50" w:rsidRPr="00FB0610" w14:paraId="128C1602" w14:textId="77777777" w:rsidTr="00FB0610">
        <w:trPr>
          <w:trHeight w:val="288"/>
        </w:trPr>
        <w:tc>
          <w:tcPr>
            <w:tcW w:w="816" w:type="dxa"/>
            <w:tcBorders>
              <w:top w:val="nil"/>
              <w:left w:val="nil"/>
              <w:bottom w:val="nil"/>
              <w:right w:val="nil"/>
            </w:tcBorders>
            <w:shd w:val="clear" w:color="auto" w:fill="auto"/>
            <w:noWrap/>
            <w:vAlign w:val="center"/>
            <w:hideMark/>
          </w:tcPr>
          <w:p w14:paraId="3BD20B39"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nil"/>
              <w:left w:val="nil"/>
              <w:bottom w:val="nil"/>
              <w:right w:val="single" w:sz="8" w:space="0" w:color="auto"/>
            </w:tcBorders>
            <w:shd w:val="clear" w:color="auto" w:fill="auto"/>
            <w:noWrap/>
            <w:vAlign w:val="center"/>
            <w:hideMark/>
          </w:tcPr>
          <w:p w14:paraId="0405544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89" w:type="dxa"/>
            <w:tcBorders>
              <w:top w:val="single" w:sz="4" w:space="0" w:color="auto"/>
              <w:left w:val="nil"/>
              <w:bottom w:val="nil"/>
              <w:right w:val="nil"/>
            </w:tcBorders>
            <w:shd w:val="clear" w:color="auto" w:fill="auto"/>
            <w:noWrap/>
          </w:tcPr>
          <w:p w14:paraId="5B7E5DE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5.81 (5.04;6.58)</w:t>
            </w:r>
          </w:p>
        </w:tc>
        <w:tc>
          <w:tcPr>
            <w:tcW w:w="1189" w:type="dxa"/>
            <w:tcBorders>
              <w:top w:val="single" w:sz="4" w:space="0" w:color="auto"/>
              <w:left w:val="nil"/>
              <w:bottom w:val="nil"/>
              <w:right w:val="nil"/>
            </w:tcBorders>
            <w:shd w:val="clear" w:color="auto" w:fill="auto"/>
            <w:noWrap/>
          </w:tcPr>
          <w:p w14:paraId="19E5B01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5.07 (4.48;5.66)</w:t>
            </w:r>
          </w:p>
        </w:tc>
        <w:tc>
          <w:tcPr>
            <w:tcW w:w="1189" w:type="dxa"/>
            <w:tcBorders>
              <w:top w:val="single" w:sz="4" w:space="0" w:color="auto"/>
              <w:left w:val="nil"/>
              <w:bottom w:val="nil"/>
              <w:right w:val="nil"/>
            </w:tcBorders>
            <w:shd w:val="clear" w:color="auto" w:fill="auto"/>
            <w:noWrap/>
          </w:tcPr>
          <w:p w14:paraId="1BA1A3F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5.83 (5.06;6.61)</w:t>
            </w:r>
          </w:p>
        </w:tc>
        <w:tc>
          <w:tcPr>
            <w:tcW w:w="1415" w:type="dxa"/>
            <w:tcBorders>
              <w:top w:val="single" w:sz="4" w:space="0" w:color="auto"/>
              <w:left w:val="nil"/>
              <w:bottom w:val="nil"/>
              <w:right w:val="nil"/>
            </w:tcBorders>
            <w:shd w:val="clear" w:color="auto" w:fill="auto"/>
            <w:noWrap/>
          </w:tcPr>
          <w:p w14:paraId="231C48B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-12.74 </w:t>
            </w:r>
          </w:p>
          <w:p w14:paraId="0F1E9CB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(-31.91;12.30)</w:t>
            </w:r>
          </w:p>
        </w:tc>
        <w:tc>
          <w:tcPr>
            <w:tcW w:w="1356" w:type="dxa"/>
            <w:gridSpan w:val="2"/>
            <w:tcBorders>
              <w:top w:val="single" w:sz="4" w:space="0" w:color="auto"/>
              <w:left w:val="nil"/>
              <w:bottom w:val="nil"/>
              <w:right w:val="nil"/>
            </w:tcBorders>
            <w:shd w:val="clear" w:color="auto" w:fill="auto"/>
            <w:noWrap/>
          </w:tcPr>
          <w:p w14:paraId="246E616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14.99 </w:t>
            </w:r>
          </w:p>
          <w:p w14:paraId="399BBF9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(-10.60;47.54)</w:t>
            </w:r>
          </w:p>
        </w:tc>
        <w:tc>
          <w:tcPr>
            <w:tcW w:w="1280" w:type="dxa"/>
            <w:tcBorders>
              <w:top w:val="single" w:sz="4" w:space="0" w:color="auto"/>
              <w:left w:val="nil"/>
              <w:bottom w:val="nil"/>
              <w:right w:val="nil"/>
            </w:tcBorders>
          </w:tcPr>
          <w:p w14:paraId="271160B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0.34 </w:t>
            </w:r>
          </w:p>
          <w:p w14:paraId="60B81F0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(-23.10;31.15)</w:t>
            </w:r>
          </w:p>
        </w:tc>
      </w:tr>
      <w:tr w:rsidR="00396F50" w:rsidRPr="00FB0610" w14:paraId="0B6B7EEB" w14:textId="77777777" w:rsidTr="00FB0610">
        <w:trPr>
          <w:trHeight w:val="312"/>
        </w:trPr>
        <w:tc>
          <w:tcPr>
            <w:tcW w:w="816" w:type="dxa"/>
            <w:tcBorders>
              <w:top w:val="nil"/>
              <w:left w:val="nil"/>
              <w:bottom w:val="nil"/>
              <w:right w:val="nil"/>
            </w:tcBorders>
            <w:shd w:val="clear" w:color="auto" w:fill="auto"/>
            <w:noWrap/>
            <w:textDirection w:val="btLr"/>
            <w:vAlign w:val="bottom"/>
            <w:hideMark/>
          </w:tcPr>
          <w:p w14:paraId="23350DD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4561A789"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89" w:type="dxa"/>
            <w:tcBorders>
              <w:top w:val="nil"/>
              <w:left w:val="nil"/>
              <w:bottom w:val="nil"/>
              <w:right w:val="nil"/>
            </w:tcBorders>
            <w:shd w:val="clear" w:color="auto" w:fill="auto"/>
            <w:noWrap/>
          </w:tcPr>
          <w:p w14:paraId="4E64FAD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6.84 (4.20;9.48)</w:t>
            </w:r>
          </w:p>
        </w:tc>
        <w:tc>
          <w:tcPr>
            <w:tcW w:w="1189" w:type="dxa"/>
            <w:tcBorders>
              <w:top w:val="nil"/>
              <w:left w:val="nil"/>
              <w:bottom w:val="nil"/>
              <w:right w:val="nil"/>
            </w:tcBorders>
            <w:shd w:val="clear" w:color="auto" w:fill="auto"/>
            <w:noWrap/>
          </w:tcPr>
          <w:p w14:paraId="12F84CFF"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8.38 (5.95;10.81)</w:t>
            </w:r>
          </w:p>
        </w:tc>
        <w:tc>
          <w:tcPr>
            <w:tcW w:w="1189" w:type="dxa"/>
            <w:tcBorders>
              <w:top w:val="nil"/>
              <w:left w:val="nil"/>
              <w:bottom w:val="nil"/>
              <w:right w:val="nil"/>
            </w:tcBorders>
            <w:shd w:val="clear" w:color="auto" w:fill="auto"/>
            <w:noWrap/>
          </w:tcPr>
          <w:p w14:paraId="5AAE974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8.34 (5.54;11.13)</w:t>
            </w:r>
          </w:p>
        </w:tc>
        <w:tc>
          <w:tcPr>
            <w:tcW w:w="1415" w:type="dxa"/>
            <w:tcBorders>
              <w:top w:val="nil"/>
              <w:left w:val="nil"/>
              <w:bottom w:val="nil"/>
              <w:right w:val="nil"/>
            </w:tcBorders>
            <w:shd w:val="clear" w:color="auto" w:fill="auto"/>
            <w:noWrap/>
          </w:tcPr>
          <w:p w14:paraId="76EE1A9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22.51 </w:t>
            </w:r>
          </w:p>
          <w:p w14:paraId="277EFB9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(-37.24;157.38)</w:t>
            </w:r>
          </w:p>
        </w:tc>
        <w:tc>
          <w:tcPr>
            <w:tcW w:w="1356" w:type="dxa"/>
            <w:gridSpan w:val="2"/>
            <w:tcBorders>
              <w:top w:val="nil"/>
              <w:left w:val="nil"/>
              <w:bottom w:val="nil"/>
              <w:right w:val="nil"/>
            </w:tcBorders>
            <w:shd w:val="clear" w:color="auto" w:fill="auto"/>
            <w:noWrap/>
          </w:tcPr>
          <w:p w14:paraId="4D8740C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-0.48 </w:t>
            </w:r>
          </w:p>
          <w:p w14:paraId="58CBDE9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(-48.75;87.06)</w:t>
            </w:r>
          </w:p>
        </w:tc>
        <w:tc>
          <w:tcPr>
            <w:tcW w:w="1280" w:type="dxa"/>
            <w:tcBorders>
              <w:top w:val="nil"/>
              <w:left w:val="nil"/>
              <w:bottom w:val="nil"/>
              <w:right w:val="nil"/>
            </w:tcBorders>
          </w:tcPr>
          <w:p w14:paraId="5C6A3178" w14:textId="77777777" w:rsid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21.93</w:t>
            </w:r>
          </w:p>
          <w:p w14:paraId="3D0F34D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(-41.56;165.00)</w:t>
            </w:r>
          </w:p>
        </w:tc>
      </w:tr>
      <w:tr w:rsidR="00396F50" w:rsidRPr="00FB0610" w14:paraId="7FA264E9" w14:textId="77777777" w:rsidTr="00FB0610">
        <w:trPr>
          <w:trHeight w:val="312"/>
        </w:trPr>
        <w:tc>
          <w:tcPr>
            <w:tcW w:w="816" w:type="dxa"/>
            <w:tcBorders>
              <w:top w:val="nil"/>
              <w:left w:val="nil"/>
              <w:bottom w:val="nil"/>
              <w:right w:val="nil"/>
            </w:tcBorders>
            <w:shd w:val="clear" w:color="auto" w:fill="auto"/>
            <w:noWrap/>
            <w:textDirection w:val="btLr"/>
            <w:vAlign w:val="bottom"/>
            <w:hideMark/>
          </w:tcPr>
          <w:p w14:paraId="35F0AA2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6CBD7203"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89" w:type="dxa"/>
            <w:tcBorders>
              <w:top w:val="nil"/>
              <w:left w:val="nil"/>
              <w:bottom w:val="nil"/>
              <w:right w:val="nil"/>
            </w:tcBorders>
            <w:shd w:val="clear" w:color="auto" w:fill="auto"/>
            <w:noWrap/>
          </w:tcPr>
          <w:p w14:paraId="3ACBCBFC"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7.60 (4.45;10.76)</w:t>
            </w:r>
          </w:p>
        </w:tc>
        <w:tc>
          <w:tcPr>
            <w:tcW w:w="1189" w:type="dxa"/>
            <w:tcBorders>
              <w:top w:val="nil"/>
              <w:left w:val="nil"/>
              <w:bottom w:val="nil"/>
              <w:right w:val="nil"/>
            </w:tcBorders>
            <w:shd w:val="clear" w:color="auto" w:fill="auto"/>
            <w:noWrap/>
          </w:tcPr>
          <w:p w14:paraId="375D55C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7.51 (5.29;9.73)</w:t>
            </w:r>
          </w:p>
        </w:tc>
        <w:tc>
          <w:tcPr>
            <w:tcW w:w="1189" w:type="dxa"/>
            <w:tcBorders>
              <w:top w:val="nil"/>
              <w:left w:val="nil"/>
              <w:bottom w:val="nil"/>
              <w:right w:val="nil"/>
            </w:tcBorders>
            <w:shd w:val="clear" w:color="auto" w:fill="auto"/>
            <w:noWrap/>
          </w:tcPr>
          <w:p w14:paraId="12B11F0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6.81 (4.38;9.24)</w:t>
            </w:r>
          </w:p>
        </w:tc>
        <w:tc>
          <w:tcPr>
            <w:tcW w:w="1415" w:type="dxa"/>
            <w:tcBorders>
              <w:top w:val="nil"/>
              <w:left w:val="nil"/>
              <w:bottom w:val="nil"/>
              <w:right w:val="nil"/>
            </w:tcBorders>
            <w:shd w:val="clear" w:color="auto" w:fill="auto"/>
            <w:noWrap/>
          </w:tcPr>
          <w:p w14:paraId="2FFFC73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-1.18 </w:t>
            </w:r>
          </w:p>
          <w:p w14:paraId="028ACFB2"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(-50.84;118.65)</w:t>
            </w:r>
          </w:p>
        </w:tc>
        <w:tc>
          <w:tcPr>
            <w:tcW w:w="1284" w:type="dxa"/>
            <w:tcBorders>
              <w:top w:val="nil"/>
              <w:left w:val="nil"/>
              <w:bottom w:val="nil"/>
              <w:right w:val="nil"/>
            </w:tcBorders>
            <w:shd w:val="clear" w:color="auto" w:fill="auto"/>
            <w:noWrap/>
          </w:tcPr>
          <w:p w14:paraId="224E880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-9.32 </w:t>
            </w:r>
          </w:p>
          <w:p w14:paraId="39C630E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(-54.98;74.67)</w:t>
            </w:r>
          </w:p>
        </w:tc>
        <w:tc>
          <w:tcPr>
            <w:tcW w:w="1352" w:type="dxa"/>
            <w:gridSpan w:val="2"/>
            <w:tcBorders>
              <w:top w:val="nil"/>
              <w:left w:val="nil"/>
              <w:bottom w:val="nil"/>
              <w:right w:val="nil"/>
            </w:tcBorders>
          </w:tcPr>
          <w:p w14:paraId="034E875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-10.39</w:t>
            </w:r>
          </w:p>
          <w:p w14:paraId="76AA559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(-59.29;107.64)</w:t>
            </w:r>
          </w:p>
        </w:tc>
      </w:tr>
      <w:tr w:rsidR="00396F50" w:rsidRPr="00FB0610" w14:paraId="37C376F0" w14:textId="77777777" w:rsidTr="00FB0610">
        <w:trPr>
          <w:trHeight w:val="288"/>
        </w:trPr>
        <w:tc>
          <w:tcPr>
            <w:tcW w:w="816" w:type="dxa"/>
            <w:tcBorders>
              <w:top w:val="nil"/>
              <w:left w:val="nil"/>
              <w:bottom w:val="nil"/>
              <w:right w:val="nil"/>
            </w:tcBorders>
            <w:shd w:val="clear" w:color="auto" w:fill="auto"/>
            <w:noWrap/>
            <w:vAlign w:val="center"/>
            <w:hideMark/>
          </w:tcPr>
          <w:p w14:paraId="14063482"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4D192E6D"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89" w:type="dxa"/>
            <w:tcBorders>
              <w:top w:val="nil"/>
              <w:left w:val="nil"/>
              <w:bottom w:val="nil"/>
              <w:right w:val="nil"/>
            </w:tcBorders>
            <w:shd w:val="clear" w:color="auto" w:fill="auto"/>
            <w:noWrap/>
          </w:tcPr>
          <w:p w14:paraId="5A16E53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5.78 (5.20;6.37)</w:t>
            </w:r>
          </w:p>
        </w:tc>
        <w:tc>
          <w:tcPr>
            <w:tcW w:w="1189" w:type="dxa"/>
            <w:tcBorders>
              <w:top w:val="nil"/>
              <w:left w:val="nil"/>
              <w:bottom w:val="nil"/>
              <w:right w:val="nil"/>
            </w:tcBorders>
            <w:shd w:val="clear" w:color="auto" w:fill="auto"/>
            <w:noWrap/>
          </w:tcPr>
          <w:p w14:paraId="3B642BBF"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6.17 (5.65;6.69)</w:t>
            </w:r>
          </w:p>
        </w:tc>
        <w:tc>
          <w:tcPr>
            <w:tcW w:w="1189" w:type="dxa"/>
            <w:tcBorders>
              <w:top w:val="nil"/>
              <w:left w:val="nil"/>
              <w:bottom w:val="nil"/>
              <w:right w:val="nil"/>
            </w:tcBorders>
            <w:shd w:val="clear" w:color="auto" w:fill="auto"/>
            <w:noWrap/>
          </w:tcPr>
          <w:p w14:paraId="0CEF242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6.53 (5.86;7.20)</w:t>
            </w:r>
          </w:p>
        </w:tc>
        <w:tc>
          <w:tcPr>
            <w:tcW w:w="1415" w:type="dxa"/>
            <w:tcBorders>
              <w:top w:val="nil"/>
              <w:left w:val="nil"/>
              <w:bottom w:val="nil"/>
              <w:right w:val="nil"/>
            </w:tcBorders>
            <w:shd w:val="clear" w:color="auto" w:fill="auto"/>
            <w:noWrap/>
          </w:tcPr>
          <w:p w14:paraId="4D4A462E"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6.75 </w:t>
            </w:r>
          </w:p>
          <w:p w14:paraId="35732908"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(-11.30;28.65)</w:t>
            </w:r>
          </w:p>
        </w:tc>
        <w:tc>
          <w:tcPr>
            <w:tcW w:w="1356" w:type="dxa"/>
            <w:gridSpan w:val="2"/>
            <w:tcBorders>
              <w:top w:val="nil"/>
              <w:left w:val="nil"/>
              <w:bottom w:val="nil"/>
              <w:right w:val="nil"/>
            </w:tcBorders>
            <w:shd w:val="clear" w:color="auto" w:fill="auto"/>
            <w:noWrap/>
          </w:tcPr>
          <w:p w14:paraId="1DF9D4F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5.83 </w:t>
            </w:r>
          </w:p>
          <w:p w14:paraId="146C2FB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(-12.41;27.43)</w:t>
            </w:r>
          </w:p>
        </w:tc>
        <w:tc>
          <w:tcPr>
            <w:tcW w:w="1280" w:type="dxa"/>
            <w:tcBorders>
              <w:top w:val="nil"/>
              <w:left w:val="nil"/>
              <w:bottom w:val="nil"/>
              <w:right w:val="nil"/>
            </w:tcBorders>
          </w:tcPr>
          <w:p w14:paraId="156F88D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12.98 </w:t>
            </w:r>
          </w:p>
          <w:p w14:paraId="72E0DE7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(-8.01;38.46)</w:t>
            </w:r>
          </w:p>
        </w:tc>
      </w:tr>
      <w:tr w:rsidR="00396F50" w:rsidRPr="00FB0610" w14:paraId="50F641F7" w14:textId="77777777" w:rsidTr="00FB0610">
        <w:trPr>
          <w:trHeight w:val="288"/>
        </w:trPr>
        <w:tc>
          <w:tcPr>
            <w:tcW w:w="816" w:type="dxa"/>
            <w:tcBorders>
              <w:top w:val="nil"/>
              <w:left w:val="nil"/>
              <w:bottom w:val="nil"/>
              <w:right w:val="nil"/>
            </w:tcBorders>
            <w:shd w:val="clear" w:color="auto" w:fill="auto"/>
            <w:noWrap/>
            <w:textDirection w:val="btLr"/>
            <w:vAlign w:val="bottom"/>
            <w:hideMark/>
          </w:tcPr>
          <w:p w14:paraId="60B6AAD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5AC4787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89" w:type="dxa"/>
            <w:tcBorders>
              <w:top w:val="nil"/>
              <w:left w:val="nil"/>
              <w:bottom w:val="nil"/>
              <w:right w:val="nil"/>
            </w:tcBorders>
            <w:shd w:val="clear" w:color="auto" w:fill="auto"/>
            <w:noWrap/>
          </w:tcPr>
          <w:p w14:paraId="3E4DFA7E"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11.64 (9.12;14.15)</w:t>
            </w:r>
          </w:p>
        </w:tc>
        <w:tc>
          <w:tcPr>
            <w:tcW w:w="1189" w:type="dxa"/>
            <w:tcBorders>
              <w:top w:val="nil"/>
              <w:left w:val="nil"/>
              <w:bottom w:val="nil"/>
              <w:right w:val="nil"/>
            </w:tcBorders>
            <w:shd w:val="clear" w:color="auto" w:fill="auto"/>
            <w:noWrap/>
          </w:tcPr>
          <w:p w14:paraId="508F9362"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12.64 (10.56;14.71)</w:t>
            </w:r>
          </w:p>
        </w:tc>
        <w:tc>
          <w:tcPr>
            <w:tcW w:w="1189" w:type="dxa"/>
            <w:tcBorders>
              <w:top w:val="nil"/>
              <w:left w:val="nil"/>
              <w:bottom w:val="nil"/>
              <w:right w:val="nil"/>
            </w:tcBorders>
            <w:shd w:val="clear" w:color="auto" w:fill="auto"/>
            <w:noWrap/>
          </w:tcPr>
          <w:p w14:paraId="2F15E7C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13.14 (10.61;15.68)</w:t>
            </w:r>
          </w:p>
        </w:tc>
        <w:tc>
          <w:tcPr>
            <w:tcW w:w="1415" w:type="dxa"/>
            <w:tcBorders>
              <w:top w:val="nil"/>
              <w:left w:val="nil"/>
              <w:bottom w:val="nil"/>
              <w:right w:val="nil"/>
            </w:tcBorders>
            <w:shd w:val="clear" w:color="auto" w:fill="auto"/>
            <w:noWrap/>
          </w:tcPr>
          <w:p w14:paraId="76687FB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8.59 </w:t>
            </w:r>
          </w:p>
          <w:p w14:paraId="21F8C748"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(-25.37;61.29)</w:t>
            </w:r>
          </w:p>
        </w:tc>
        <w:tc>
          <w:tcPr>
            <w:tcW w:w="1356" w:type="dxa"/>
            <w:gridSpan w:val="2"/>
            <w:tcBorders>
              <w:top w:val="nil"/>
              <w:left w:val="nil"/>
              <w:bottom w:val="nil"/>
              <w:right w:val="nil"/>
            </w:tcBorders>
            <w:shd w:val="clear" w:color="auto" w:fill="auto"/>
            <w:noWrap/>
          </w:tcPr>
          <w:p w14:paraId="6001DE5C"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3.96 </w:t>
            </w:r>
          </w:p>
          <w:p w14:paraId="42BC5B0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(-27.87;48.48)</w:t>
            </w:r>
          </w:p>
        </w:tc>
        <w:tc>
          <w:tcPr>
            <w:tcW w:w="1280" w:type="dxa"/>
            <w:tcBorders>
              <w:top w:val="nil"/>
              <w:left w:val="nil"/>
              <w:bottom w:val="nil"/>
              <w:right w:val="nil"/>
            </w:tcBorders>
          </w:tcPr>
          <w:p w14:paraId="4EFCA25C"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12.89 </w:t>
            </w:r>
          </w:p>
          <w:p w14:paraId="4CED919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(-25.02;71.93)</w:t>
            </w:r>
          </w:p>
        </w:tc>
      </w:tr>
      <w:tr w:rsidR="00396F50" w:rsidRPr="00FB0610" w14:paraId="68D03F55" w14:textId="77777777" w:rsidTr="00FB0610">
        <w:trPr>
          <w:trHeight w:val="288"/>
        </w:trPr>
        <w:tc>
          <w:tcPr>
            <w:tcW w:w="816" w:type="dxa"/>
            <w:tcBorders>
              <w:top w:val="nil"/>
              <w:left w:val="nil"/>
              <w:bottom w:val="nil"/>
              <w:right w:val="nil"/>
            </w:tcBorders>
            <w:shd w:val="clear" w:color="auto" w:fill="auto"/>
            <w:noWrap/>
            <w:textDirection w:val="btLr"/>
            <w:vAlign w:val="bottom"/>
            <w:hideMark/>
          </w:tcPr>
          <w:p w14:paraId="124D75DA"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40AEECDC"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89" w:type="dxa"/>
            <w:tcBorders>
              <w:top w:val="nil"/>
              <w:left w:val="nil"/>
              <w:bottom w:val="nil"/>
              <w:right w:val="nil"/>
            </w:tcBorders>
            <w:shd w:val="clear" w:color="auto" w:fill="auto"/>
            <w:noWrap/>
          </w:tcPr>
          <w:p w14:paraId="11C1846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8.42 (5.91;10.92)</w:t>
            </w:r>
          </w:p>
        </w:tc>
        <w:tc>
          <w:tcPr>
            <w:tcW w:w="1189" w:type="dxa"/>
            <w:tcBorders>
              <w:top w:val="nil"/>
              <w:left w:val="nil"/>
              <w:bottom w:val="nil"/>
              <w:right w:val="nil"/>
            </w:tcBorders>
            <w:shd w:val="clear" w:color="auto" w:fill="auto"/>
            <w:noWrap/>
          </w:tcPr>
          <w:p w14:paraId="4800F3A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11.65 (9.39;13.91)</w:t>
            </w:r>
          </w:p>
        </w:tc>
        <w:tc>
          <w:tcPr>
            <w:tcW w:w="1189" w:type="dxa"/>
            <w:tcBorders>
              <w:top w:val="nil"/>
              <w:left w:val="nil"/>
              <w:bottom w:val="nil"/>
              <w:right w:val="nil"/>
            </w:tcBorders>
            <w:shd w:val="clear" w:color="auto" w:fill="auto"/>
            <w:noWrap/>
          </w:tcPr>
          <w:p w14:paraId="67911DA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13.66 (10.97;16.36)</w:t>
            </w:r>
          </w:p>
        </w:tc>
        <w:tc>
          <w:tcPr>
            <w:tcW w:w="1415" w:type="dxa"/>
            <w:tcBorders>
              <w:top w:val="nil"/>
              <w:left w:val="nil"/>
              <w:bottom w:val="nil"/>
              <w:right w:val="nil"/>
            </w:tcBorders>
            <w:shd w:val="clear" w:color="auto" w:fill="auto"/>
            <w:noWrap/>
          </w:tcPr>
          <w:p w14:paraId="452B2F1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38.36 </w:t>
            </w:r>
          </w:p>
          <w:p w14:paraId="24B956C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(-14.01;135.36)</w:t>
            </w:r>
          </w:p>
        </w:tc>
        <w:tc>
          <w:tcPr>
            <w:tcW w:w="1356" w:type="dxa"/>
            <w:gridSpan w:val="2"/>
            <w:tcBorders>
              <w:top w:val="nil"/>
              <w:left w:val="nil"/>
              <w:bottom w:val="nil"/>
              <w:right w:val="nil"/>
            </w:tcBorders>
            <w:shd w:val="clear" w:color="auto" w:fill="auto"/>
            <w:noWrap/>
          </w:tcPr>
          <w:p w14:paraId="7542BB3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17.25 </w:t>
            </w:r>
          </w:p>
          <w:p w14:paraId="1C157CFC"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(-21.14;74.23)</w:t>
            </w:r>
          </w:p>
        </w:tc>
        <w:tc>
          <w:tcPr>
            <w:tcW w:w="1280" w:type="dxa"/>
            <w:tcBorders>
              <w:top w:val="nil"/>
              <w:left w:val="nil"/>
              <w:bottom w:val="nil"/>
              <w:right w:val="nil"/>
            </w:tcBorders>
          </w:tcPr>
          <w:p w14:paraId="7F688C0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62.23* (0.46;176.82)</w:t>
            </w:r>
          </w:p>
        </w:tc>
      </w:tr>
      <w:tr w:rsidR="00396F50" w:rsidRPr="00FB0610" w14:paraId="12DB1181" w14:textId="77777777" w:rsidTr="00FB0610">
        <w:trPr>
          <w:trHeight w:val="300"/>
        </w:trPr>
        <w:tc>
          <w:tcPr>
            <w:tcW w:w="1742" w:type="dxa"/>
            <w:gridSpan w:val="2"/>
            <w:vMerge w:val="restart"/>
            <w:tcBorders>
              <w:top w:val="nil"/>
              <w:left w:val="nil"/>
              <w:bottom w:val="single" w:sz="8" w:space="0" w:color="000000"/>
              <w:right w:val="single" w:sz="8" w:space="0" w:color="000000"/>
            </w:tcBorders>
            <w:shd w:val="clear" w:color="auto" w:fill="auto"/>
            <w:noWrap/>
            <w:vAlign w:val="center"/>
            <w:hideMark/>
          </w:tcPr>
          <w:p w14:paraId="181A7D9E" w14:textId="77777777" w:rsidR="00396F50" w:rsidRPr="008D0C36" w:rsidRDefault="00396F50" w:rsidP="00876112">
            <w:pPr>
              <w:spacing w:after="0" w:line="240" w:lineRule="auto"/>
              <w:jc w:val="center"/>
              <w:rPr>
                <w:rFonts w:ascii="Times New Roman" w:eastAsia="Times New Roman" w:hAnsi="Times New Roman" w:cs="Times New Roman"/>
                <w:color w:val="000000"/>
                <w:sz w:val="32"/>
                <w:szCs w:val="32"/>
              </w:rPr>
            </w:pPr>
            <w:r w:rsidRPr="008D0C36">
              <w:rPr>
                <w:rFonts w:ascii="Times New Roman" w:eastAsia="Times New Roman" w:hAnsi="Times New Roman" w:cs="Times New Roman"/>
                <w:color w:val="000000"/>
                <w:sz w:val="32"/>
                <w:szCs w:val="32"/>
              </w:rPr>
              <w:t>IADL</w:t>
            </w:r>
          </w:p>
        </w:tc>
        <w:tc>
          <w:tcPr>
            <w:tcW w:w="1189" w:type="dxa"/>
            <w:vMerge w:val="restart"/>
            <w:tcBorders>
              <w:top w:val="nil"/>
              <w:left w:val="single" w:sz="8" w:space="0" w:color="000000"/>
              <w:bottom w:val="single" w:sz="8" w:space="0" w:color="000000"/>
              <w:right w:val="nil"/>
            </w:tcBorders>
            <w:shd w:val="clear" w:color="auto" w:fill="auto"/>
            <w:noWrap/>
          </w:tcPr>
          <w:p w14:paraId="4B51D2C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p>
        </w:tc>
        <w:tc>
          <w:tcPr>
            <w:tcW w:w="1189" w:type="dxa"/>
            <w:tcBorders>
              <w:top w:val="nil"/>
              <w:left w:val="nil"/>
              <w:bottom w:val="nil"/>
              <w:right w:val="nil"/>
            </w:tcBorders>
            <w:shd w:val="clear" w:color="auto" w:fill="auto"/>
          </w:tcPr>
          <w:p w14:paraId="1D1078A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w:t>
            </w:r>
          </w:p>
        </w:tc>
        <w:tc>
          <w:tcPr>
            <w:tcW w:w="1189" w:type="dxa"/>
            <w:tcBorders>
              <w:top w:val="nil"/>
              <w:left w:val="nil"/>
              <w:bottom w:val="nil"/>
              <w:right w:val="nil"/>
            </w:tcBorders>
            <w:shd w:val="clear" w:color="auto" w:fill="auto"/>
          </w:tcPr>
          <w:p w14:paraId="1BF1A6BE" w14:textId="77777777" w:rsidR="00396F50" w:rsidRPr="00FB0610" w:rsidRDefault="00396F50" w:rsidP="00876112">
            <w:pPr>
              <w:spacing w:after="0" w:line="240" w:lineRule="auto"/>
              <w:rPr>
                <w:rFonts w:ascii="Times New Roman" w:eastAsia="Times New Roman" w:hAnsi="Times New Roman" w:cs="Times New Roman"/>
                <w:sz w:val="16"/>
                <w:szCs w:val="16"/>
              </w:rPr>
            </w:pPr>
          </w:p>
        </w:tc>
        <w:tc>
          <w:tcPr>
            <w:tcW w:w="1415" w:type="dxa"/>
            <w:tcBorders>
              <w:top w:val="nil"/>
              <w:left w:val="nil"/>
              <w:bottom w:val="nil"/>
              <w:right w:val="nil"/>
            </w:tcBorders>
            <w:shd w:val="clear" w:color="auto" w:fill="auto"/>
          </w:tcPr>
          <w:p w14:paraId="2096751B" w14:textId="77777777" w:rsidR="00396F50" w:rsidRPr="00FB0610" w:rsidRDefault="00396F50" w:rsidP="00876112">
            <w:pPr>
              <w:spacing w:after="0" w:line="240" w:lineRule="auto"/>
              <w:rPr>
                <w:rFonts w:ascii="Times New Roman" w:eastAsia="Times New Roman" w:hAnsi="Times New Roman" w:cs="Times New Roman"/>
                <w:sz w:val="16"/>
                <w:szCs w:val="16"/>
              </w:rPr>
            </w:pPr>
          </w:p>
        </w:tc>
        <w:tc>
          <w:tcPr>
            <w:tcW w:w="1356" w:type="dxa"/>
            <w:gridSpan w:val="2"/>
            <w:tcBorders>
              <w:top w:val="nil"/>
              <w:left w:val="nil"/>
              <w:bottom w:val="nil"/>
              <w:right w:val="nil"/>
            </w:tcBorders>
            <w:shd w:val="clear" w:color="auto" w:fill="auto"/>
          </w:tcPr>
          <w:p w14:paraId="47175B7C" w14:textId="77777777" w:rsidR="00396F50" w:rsidRPr="00FB0610" w:rsidRDefault="00396F50" w:rsidP="00876112">
            <w:pPr>
              <w:spacing w:after="0" w:line="240" w:lineRule="auto"/>
              <w:rPr>
                <w:rFonts w:ascii="Times New Roman" w:eastAsia="Times New Roman" w:hAnsi="Times New Roman" w:cs="Times New Roman"/>
                <w:sz w:val="16"/>
                <w:szCs w:val="16"/>
              </w:rPr>
            </w:pPr>
          </w:p>
        </w:tc>
        <w:tc>
          <w:tcPr>
            <w:tcW w:w="1280" w:type="dxa"/>
            <w:tcBorders>
              <w:top w:val="nil"/>
              <w:left w:val="nil"/>
              <w:bottom w:val="nil"/>
              <w:right w:val="nil"/>
            </w:tcBorders>
          </w:tcPr>
          <w:p w14:paraId="661D733E" w14:textId="77777777" w:rsidR="00396F50" w:rsidRPr="00FB0610" w:rsidRDefault="00396F50" w:rsidP="00876112">
            <w:pPr>
              <w:spacing w:after="0" w:line="240" w:lineRule="auto"/>
              <w:rPr>
                <w:rFonts w:ascii="Times New Roman" w:eastAsia="Times New Roman" w:hAnsi="Times New Roman" w:cs="Times New Roman"/>
                <w:sz w:val="16"/>
                <w:szCs w:val="16"/>
              </w:rPr>
            </w:pPr>
          </w:p>
        </w:tc>
      </w:tr>
      <w:tr w:rsidR="00396F50" w:rsidRPr="00FB0610" w14:paraId="1EC96623" w14:textId="77777777" w:rsidTr="00FB0610">
        <w:trPr>
          <w:trHeight w:val="300"/>
        </w:trPr>
        <w:tc>
          <w:tcPr>
            <w:tcW w:w="1742" w:type="dxa"/>
            <w:gridSpan w:val="2"/>
            <w:vMerge/>
            <w:tcBorders>
              <w:top w:val="nil"/>
              <w:left w:val="nil"/>
              <w:bottom w:val="single" w:sz="8" w:space="0" w:color="000000"/>
              <w:right w:val="single" w:sz="8" w:space="0" w:color="000000"/>
            </w:tcBorders>
            <w:vAlign w:val="center"/>
            <w:hideMark/>
          </w:tcPr>
          <w:p w14:paraId="793B3EA1" w14:textId="77777777" w:rsidR="00396F50" w:rsidRPr="00986093" w:rsidRDefault="00396F50" w:rsidP="00876112">
            <w:pPr>
              <w:spacing w:after="0" w:line="240" w:lineRule="auto"/>
              <w:rPr>
                <w:rFonts w:ascii="Times New Roman" w:eastAsia="Times New Roman" w:hAnsi="Times New Roman" w:cs="Times New Roman"/>
                <w:color w:val="000000"/>
                <w:sz w:val="18"/>
                <w:szCs w:val="18"/>
              </w:rPr>
            </w:pPr>
          </w:p>
        </w:tc>
        <w:tc>
          <w:tcPr>
            <w:tcW w:w="1189" w:type="dxa"/>
            <w:vMerge/>
            <w:tcBorders>
              <w:top w:val="nil"/>
              <w:left w:val="single" w:sz="8" w:space="0" w:color="000000"/>
              <w:bottom w:val="single" w:sz="8" w:space="0" w:color="000000"/>
              <w:right w:val="nil"/>
            </w:tcBorders>
          </w:tcPr>
          <w:p w14:paraId="70DE8C3D" w14:textId="77777777" w:rsidR="00396F50" w:rsidRPr="00FB0610" w:rsidRDefault="00396F50" w:rsidP="00876112">
            <w:pPr>
              <w:spacing w:after="0" w:line="240" w:lineRule="auto"/>
              <w:rPr>
                <w:rFonts w:ascii="Times New Roman" w:eastAsia="Times New Roman" w:hAnsi="Times New Roman" w:cs="Times New Roman"/>
                <w:color w:val="000000"/>
                <w:sz w:val="16"/>
                <w:szCs w:val="16"/>
              </w:rPr>
            </w:pPr>
          </w:p>
        </w:tc>
        <w:tc>
          <w:tcPr>
            <w:tcW w:w="1189" w:type="dxa"/>
            <w:tcBorders>
              <w:top w:val="nil"/>
              <w:left w:val="nil"/>
              <w:bottom w:val="single" w:sz="8" w:space="0" w:color="auto"/>
              <w:right w:val="nil"/>
            </w:tcBorders>
            <w:shd w:val="clear" w:color="auto" w:fill="auto"/>
          </w:tcPr>
          <w:p w14:paraId="24B6F3C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p>
        </w:tc>
        <w:tc>
          <w:tcPr>
            <w:tcW w:w="1189" w:type="dxa"/>
            <w:tcBorders>
              <w:top w:val="nil"/>
              <w:left w:val="nil"/>
              <w:bottom w:val="single" w:sz="8" w:space="0" w:color="auto"/>
              <w:right w:val="nil"/>
            </w:tcBorders>
            <w:shd w:val="clear" w:color="auto" w:fill="auto"/>
          </w:tcPr>
          <w:p w14:paraId="19B2D74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w:t>
            </w:r>
          </w:p>
        </w:tc>
        <w:tc>
          <w:tcPr>
            <w:tcW w:w="1415" w:type="dxa"/>
            <w:tcBorders>
              <w:top w:val="nil"/>
              <w:left w:val="nil"/>
              <w:bottom w:val="single" w:sz="8" w:space="0" w:color="auto"/>
              <w:right w:val="nil"/>
            </w:tcBorders>
            <w:shd w:val="clear" w:color="auto" w:fill="auto"/>
          </w:tcPr>
          <w:p w14:paraId="7CF8E12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p>
        </w:tc>
        <w:tc>
          <w:tcPr>
            <w:tcW w:w="1356" w:type="dxa"/>
            <w:gridSpan w:val="2"/>
            <w:tcBorders>
              <w:top w:val="nil"/>
              <w:left w:val="nil"/>
              <w:bottom w:val="single" w:sz="8" w:space="0" w:color="auto"/>
              <w:right w:val="nil"/>
            </w:tcBorders>
            <w:shd w:val="clear" w:color="auto" w:fill="auto"/>
          </w:tcPr>
          <w:p w14:paraId="72E1AD3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p>
        </w:tc>
        <w:tc>
          <w:tcPr>
            <w:tcW w:w="1280" w:type="dxa"/>
            <w:tcBorders>
              <w:top w:val="nil"/>
              <w:left w:val="nil"/>
              <w:bottom w:val="single" w:sz="8" w:space="0" w:color="auto"/>
              <w:right w:val="nil"/>
            </w:tcBorders>
          </w:tcPr>
          <w:p w14:paraId="56BFFFE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p>
        </w:tc>
      </w:tr>
      <w:tr w:rsidR="00396F50" w:rsidRPr="00FB0610" w14:paraId="39A43E0D" w14:textId="77777777" w:rsidTr="00FB0610">
        <w:trPr>
          <w:cantSplit/>
          <w:trHeight w:val="288"/>
        </w:trPr>
        <w:tc>
          <w:tcPr>
            <w:tcW w:w="816" w:type="dxa"/>
            <w:tcBorders>
              <w:top w:val="nil"/>
              <w:left w:val="nil"/>
              <w:bottom w:val="nil"/>
              <w:right w:val="nil"/>
            </w:tcBorders>
            <w:shd w:val="clear" w:color="auto" w:fill="auto"/>
            <w:noWrap/>
            <w:vAlign w:val="center"/>
            <w:hideMark/>
          </w:tcPr>
          <w:p w14:paraId="2F60140C"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Males</w:t>
            </w:r>
          </w:p>
        </w:tc>
        <w:tc>
          <w:tcPr>
            <w:tcW w:w="926" w:type="dxa"/>
            <w:tcBorders>
              <w:top w:val="nil"/>
              <w:left w:val="nil"/>
              <w:bottom w:val="nil"/>
              <w:right w:val="single" w:sz="8" w:space="0" w:color="auto"/>
            </w:tcBorders>
            <w:shd w:val="clear" w:color="auto" w:fill="auto"/>
            <w:noWrap/>
            <w:vAlign w:val="center"/>
            <w:hideMark/>
          </w:tcPr>
          <w:p w14:paraId="13EDE734"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89" w:type="dxa"/>
            <w:tcBorders>
              <w:top w:val="nil"/>
              <w:left w:val="nil"/>
              <w:bottom w:val="nil"/>
              <w:right w:val="nil"/>
            </w:tcBorders>
            <w:shd w:val="clear" w:color="auto" w:fill="auto"/>
            <w:noWrap/>
          </w:tcPr>
          <w:p w14:paraId="28CB7D6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9.28 (8.34;10.23)</w:t>
            </w:r>
          </w:p>
        </w:tc>
        <w:tc>
          <w:tcPr>
            <w:tcW w:w="1189" w:type="dxa"/>
            <w:tcBorders>
              <w:top w:val="nil"/>
              <w:left w:val="nil"/>
              <w:bottom w:val="nil"/>
              <w:right w:val="nil"/>
            </w:tcBorders>
            <w:shd w:val="clear" w:color="auto" w:fill="auto"/>
            <w:noWrap/>
          </w:tcPr>
          <w:p w14:paraId="21958A4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7.86 (7.15;8.57)</w:t>
            </w:r>
          </w:p>
        </w:tc>
        <w:tc>
          <w:tcPr>
            <w:tcW w:w="1189" w:type="dxa"/>
            <w:tcBorders>
              <w:top w:val="nil"/>
              <w:left w:val="nil"/>
              <w:bottom w:val="nil"/>
              <w:right w:val="nil"/>
            </w:tcBorders>
            <w:shd w:val="clear" w:color="auto" w:fill="auto"/>
            <w:noWrap/>
          </w:tcPr>
          <w:p w14:paraId="00E71E7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9.08 (8.14;10.02)</w:t>
            </w:r>
          </w:p>
        </w:tc>
        <w:tc>
          <w:tcPr>
            <w:tcW w:w="1415" w:type="dxa"/>
            <w:tcBorders>
              <w:top w:val="nil"/>
              <w:left w:val="nil"/>
              <w:bottom w:val="nil"/>
              <w:right w:val="nil"/>
            </w:tcBorders>
            <w:shd w:val="clear" w:color="auto" w:fill="auto"/>
            <w:noWrap/>
          </w:tcPr>
          <w:p w14:paraId="3D89609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-15.30 </w:t>
            </w:r>
          </w:p>
          <w:p w14:paraId="5A4AC5F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(-30.11;2.76)</w:t>
            </w:r>
          </w:p>
        </w:tc>
        <w:tc>
          <w:tcPr>
            <w:tcW w:w="1356" w:type="dxa"/>
            <w:gridSpan w:val="2"/>
            <w:tcBorders>
              <w:top w:val="nil"/>
              <w:left w:val="nil"/>
              <w:bottom w:val="nil"/>
              <w:right w:val="nil"/>
            </w:tcBorders>
            <w:shd w:val="clear" w:color="auto" w:fill="auto"/>
            <w:noWrap/>
          </w:tcPr>
          <w:p w14:paraId="01995C8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15.52 </w:t>
            </w:r>
          </w:p>
          <w:p w14:paraId="737EE7E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(-5.02;40.14)</w:t>
            </w:r>
          </w:p>
        </w:tc>
        <w:tc>
          <w:tcPr>
            <w:tcW w:w="1280" w:type="dxa"/>
            <w:tcBorders>
              <w:top w:val="nil"/>
              <w:left w:val="nil"/>
              <w:bottom w:val="nil"/>
              <w:right w:val="nil"/>
            </w:tcBorders>
          </w:tcPr>
          <w:p w14:paraId="669277D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-2.16 </w:t>
            </w:r>
          </w:p>
          <w:p w14:paraId="1C0CFF2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(-20.43;20.14)</w:t>
            </w:r>
          </w:p>
        </w:tc>
      </w:tr>
      <w:tr w:rsidR="00396F50" w:rsidRPr="00FB0610" w14:paraId="5588E63F" w14:textId="77777777" w:rsidTr="00FB0610">
        <w:trPr>
          <w:cantSplit/>
          <w:trHeight w:val="288"/>
        </w:trPr>
        <w:tc>
          <w:tcPr>
            <w:tcW w:w="816" w:type="dxa"/>
            <w:tcBorders>
              <w:top w:val="nil"/>
              <w:left w:val="nil"/>
              <w:bottom w:val="nil"/>
              <w:right w:val="nil"/>
            </w:tcBorders>
            <w:shd w:val="clear" w:color="auto" w:fill="auto"/>
            <w:noWrap/>
            <w:textDirection w:val="btLr"/>
            <w:vAlign w:val="bottom"/>
            <w:hideMark/>
          </w:tcPr>
          <w:p w14:paraId="6CED40E0"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64DECE81"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89" w:type="dxa"/>
            <w:tcBorders>
              <w:top w:val="nil"/>
              <w:left w:val="nil"/>
              <w:bottom w:val="nil"/>
              <w:right w:val="nil"/>
            </w:tcBorders>
            <w:shd w:val="clear" w:color="auto" w:fill="auto"/>
            <w:noWrap/>
          </w:tcPr>
          <w:p w14:paraId="52A511E4"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13.82 (10.19;17.45)</w:t>
            </w:r>
          </w:p>
        </w:tc>
        <w:tc>
          <w:tcPr>
            <w:tcW w:w="1189" w:type="dxa"/>
            <w:tcBorders>
              <w:top w:val="nil"/>
              <w:left w:val="nil"/>
              <w:bottom w:val="nil"/>
              <w:right w:val="nil"/>
            </w:tcBorders>
            <w:shd w:val="clear" w:color="auto" w:fill="auto"/>
            <w:noWrap/>
          </w:tcPr>
          <w:p w14:paraId="21AC284E"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13.07 (10.21;15.93)</w:t>
            </w:r>
          </w:p>
        </w:tc>
        <w:tc>
          <w:tcPr>
            <w:tcW w:w="1189" w:type="dxa"/>
            <w:tcBorders>
              <w:top w:val="nil"/>
              <w:left w:val="nil"/>
              <w:bottom w:val="nil"/>
              <w:right w:val="nil"/>
            </w:tcBorders>
            <w:shd w:val="clear" w:color="auto" w:fill="auto"/>
            <w:noWrap/>
          </w:tcPr>
          <w:p w14:paraId="6492EEF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12.08 (8.88;15.27)</w:t>
            </w:r>
          </w:p>
        </w:tc>
        <w:tc>
          <w:tcPr>
            <w:tcW w:w="1415" w:type="dxa"/>
            <w:tcBorders>
              <w:top w:val="nil"/>
              <w:left w:val="nil"/>
              <w:bottom w:val="nil"/>
              <w:right w:val="nil"/>
            </w:tcBorders>
            <w:shd w:val="clear" w:color="auto" w:fill="auto"/>
            <w:noWrap/>
          </w:tcPr>
          <w:p w14:paraId="73E616C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-5.43 </w:t>
            </w:r>
          </w:p>
          <w:p w14:paraId="5D05A298"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(-41.49;56.33)</w:t>
            </w:r>
          </w:p>
        </w:tc>
        <w:tc>
          <w:tcPr>
            <w:tcW w:w="1356" w:type="dxa"/>
            <w:gridSpan w:val="2"/>
            <w:tcBorders>
              <w:top w:val="nil"/>
              <w:left w:val="nil"/>
              <w:bottom w:val="nil"/>
              <w:right w:val="nil"/>
            </w:tcBorders>
            <w:shd w:val="clear" w:color="auto" w:fill="auto"/>
            <w:noWrap/>
          </w:tcPr>
          <w:p w14:paraId="3C3B7F4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-7.57 (44.26;49.56)</w:t>
            </w:r>
          </w:p>
        </w:tc>
        <w:tc>
          <w:tcPr>
            <w:tcW w:w="1280" w:type="dxa"/>
            <w:tcBorders>
              <w:top w:val="nil"/>
              <w:left w:val="nil"/>
              <w:bottom w:val="nil"/>
              <w:right w:val="nil"/>
            </w:tcBorders>
          </w:tcPr>
          <w:p w14:paraId="518DB8E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-12.59 </w:t>
            </w:r>
          </w:p>
          <w:p w14:paraId="44FA688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(-49.11;49.85)</w:t>
            </w:r>
          </w:p>
        </w:tc>
      </w:tr>
      <w:tr w:rsidR="00396F50" w:rsidRPr="00FB0610" w14:paraId="5D15097E" w14:textId="77777777" w:rsidTr="00FB0610">
        <w:trPr>
          <w:cantSplit/>
          <w:trHeight w:val="288"/>
        </w:trPr>
        <w:tc>
          <w:tcPr>
            <w:tcW w:w="816" w:type="dxa"/>
            <w:tcBorders>
              <w:top w:val="nil"/>
              <w:left w:val="nil"/>
              <w:bottom w:val="nil"/>
              <w:right w:val="nil"/>
            </w:tcBorders>
            <w:shd w:val="clear" w:color="auto" w:fill="auto"/>
            <w:noWrap/>
            <w:textDirection w:val="btLr"/>
            <w:vAlign w:val="bottom"/>
            <w:hideMark/>
          </w:tcPr>
          <w:p w14:paraId="7FF5EB9B"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185C88A8"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89" w:type="dxa"/>
            <w:tcBorders>
              <w:top w:val="nil"/>
              <w:left w:val="nil"/>
              <w:bottom w:val="nil"/>
              <w:right w:val="nil"/>
            </w:tcBorders>
            <w:shd w:val="clear" w:color="auto" w:fill="auto"/>
            <w:noWrap/>
          </w:tcPr>
          <w:p w14:paraId="30F3458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10.51 (6.95;14.07)</w:t>
            </w:r>
          </w:p>
        </w:tc>
        <w:tc>
          <w:tcPr>
            <w:tcW w:w="1189" w:type="dxa"/>
            <w:tcBorders>
              <w:top w:val="nil"/>
              <w:left w:val="nil"/>
              <w:bottom w:val="nil"/>
              <w:right w:val="nil"/>
            </w:tcBorders>
            <w:shd w:val="clear" w:color="auto" w:fill="auto"/>
            <w:noWrap/>
          </w:tcPr>
          <w:p w14:paraId="7FBE7A1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9.68 (7.29;12.07)</w:t>
            </w:r>
          </w:p>
        </w:tc>
        <w:tc>
          <w:tcPr>
            <w:tcW w:w="1189" w:type="dxa"/>
            <w:tcBorders>
              <w:top w:val="nil"/>
              <w:left w:val="nil"/>
              <w:bottom w:val="nil"/>
              <w:right w:val="nil"/>
            </w:tcBorders>
            <w:shd w:val="clear" w:color="auto" w:fill="auto"/>
            <w:noWrap/>
          </w:tcPr>
          <w:p w14:paraId="495DE95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8.81 (6.16;11.45)</w:t>
            </w:r>
          </w:p>
        </w:tc>
        <w:tc>
          <w:tcPr>
            <w:tcW w:w="1415" w:type="dxa"/>
            <w:tcBorders>
              <w:top w:val="nil"/>
              <w:left w:val="nil"/>
              <w:bottom w:val="nil"/>
              <w:right w:val="nil"/>
            </w:tcBorders>
            <w:shd w:val="clear" w:color="auto" w:fill="auto"/>
            <w:noWrap/>
          </w:tcPr>
          <w:p w14:paraId="32CCAE1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-7.90 </w:t>
            </w:r>
          </w:p>
          <w:p w14:paraId="714007F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(-48.19;73.67)</w:t>
            </w:r>
          </w:p>
        </w:tc>
        <w:tc>
          <w:tcPr>
            <w:tcW w:w="1356" w:type="dxa"/>
            <w:gridSpan w:val="2"/>
            <w:tcBorders>
              <w:top w:val="nil"/>
              <w:left w:val="nil"/>
              <w:bottom w:val="nil"/>
              <w:right w:val="nil"/>
            </w:tcBorders>
            <w:shd w:val="clear" w:color="auto" w:fill="auto"/>
            <w:noWrap/>
          </w:tcPr>
          <w:p w14:paraId="407D82F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-8.99 </w:t>
            </w:r>
          </w:p>
          <w:p w14:paraId="2A17070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(-48.96;57.06)</w:t>
            </w:r>
          </w:p>
        </w:tc>
        <w:tc>
          <w:tcPr>
            <w:tcW w:w="1280" w:type="dxa"/>
            <w:tcBorders>
              <w:top w:val="nil"/>
              <w:left w:val="nil"/>
              <w:bottom w:val="nil"/>
              <w:right w:val="nil"/>
            </w:tcBorders>
          </w:tcPr>
          <w:p w14:paraId="5075F062"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-16.18 </w:t>
            </w:r>
          </w:p>
          <w:p w14:paraId="5793D311"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(-56.22;64.75)</w:t>
            </w:r>
          </w:p>
        </w:tc>
      </w:tr>
      <w:tr w:rsidR="00396F50" w:rsidRPr="00FB0610" w14:paraId="2E8FC2E3" w14:textId="77777777" w:rsidTr="00FB0610">
        <w:trPr>
          <w:cantSplit/>
          <w:trHeight w:val="288"/>
        </w:trPr>
        <w:tc>
          <w:tcPr>
            <w:tcW w:w="816" w:type="dxa"/>
            <w:tcBorders>
              <w:top w:val="nil"/>
              <w:left w:val="nil"/>
              <w:bottom w:val="nil"/>
              <w:right w:val="nil"/>
            </w:tcBorders>
            <w:shd w:val="clear" w:color="auto" w:fill="auto"/>
            <w:noWrap/>
            <w:vAlign w:val="center"/>
            <w:hideMark/>
          </w:tcPr>
          <w:p w14:paraId="0B1A0A3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Females</w:t>
            </w:r>
          </w:p>
        </w:tc>
        <w:tc>
          <w:tcPr>
            <w:tcW w:w="926" w:type="dxa"/>
            <w:tcBorders>
              <w:top w:val="nil"/>
              <w:left w:val="nil"/>
              <w:bottom w:val="nil"/>
              <w:right w:val="single" w:sz="8" w:space="0" w:color="auto"/>
            </w:tcBorders>
            <w:shd w:val="clear" w:color="auto" w:fill="auto"/>
            <w:noWrap/>
            <w:vAlign w:val="center"/>
            <w:hideMark/>
          </w:tcPr>
          <w:p w14:paraId="01064828"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Whites</w:t>
            </w:r>
          </w:p>
        </w:tc>
        <w:tc>
          <w:tcPr>
            <w:tcW w:w="1189" w:type="dxa"/>
            <w:tcBorders>
              <w:top w:val="nil"/>
              <w:left w:val="nil"/>
              <w:bottom w:val="nil"/>
              <w:right w:val="nil"/>
            </w:tcBorders>
            <w:shd w:val="clear" w:color="auto" w:fill="auto"/>
            <w:noWrap/>
          </w:tcPr>
          <w:p w14:paraId="690AE32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14.65 (13.72;15.58)</w:t>
            </w:r>
          </w:p>
        </w:tc>
        <w:tc>
          <w:tcPr>
            <w:tcW w:w="1189" w:type="dxa"/>
            <w:tcBorders>
              <w:top w:val="nil"/>
              <w:left w:val="nil"/>
              <w:bottom w:val="nil"/>
              <w:right w:val="nil"/>
            </w:tcBorders>
            <w:shd w:val="clear" w:color="auto" w:fill="auto"/>
            <w:noWrap/>
          </w:tcPr>
          <w:p w14:paraId="61B9009F"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13.40 (12.65;14.14)</w:t>
            </w:r>
          </w:p>
        </w:tc>
        <w:tc>
          <w:tcPr>
            <w:tcW w:w="1189" w:type="dxa"/>
            <w:tcBorders>
              <w:top w:val="nil"/>
              <w:left w:val="nil"/>
              <w:bottom w:val="nil"/>
              <w:right w:val="nil"/>
            </w:tcBorders>
            <w:shd w:val="clear" w:color="auto" w:fill="auto"/>
            <w:noWrap/>
          </w:tcPr>
          <w:p w14:paraId="1159B492"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13.01 (12.09;13.93)</w:t>
            </w:r>
          </w:p>
        </w:tc>
        <w:tc>
          <w:tcPr>
            <w:tcW w:w="1415" w:type="dxa"/>
            <w:tcBorders>
              <w:top w:val="nil"/>
              <w:left w:val="nil"/>
              <w:bottom w:val="nil"/>
              <w:right w:val="nil"/>
            </w:tcBorders>
            <w:shd w:val="clear" w:color="auto" w:fill="auto"/>
            <w:noWrap/>
          </w:tcPr>
          <w:p w14:paraId="3971129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-8.53 </w:t>
            </w:r>
          </w:p>
          <w:p w14:paraId="41E3049F"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(-18.81;3.06)</w:t>
            </w:r>
          </w:p>
        </w:tc>
        <w:tc>
          <w:tcPr>
            <w:tcW w:w="1356" w:type="dxa"/>
            <w:gridSpan w:val="2"/>
            <w:tcBorders>
              <w:top w:val="nil"/>
              <w:left w:val="nil"/>
              <w:bottom w:val="nil"/>
              <w:right w:val="nil"/>
            </w:tcBorders>
            <w:shd w:val="clear" w:color="auto" w:fill="auto"/>
            <w:noWrap/>
          </w:tcPr>
          <w:p w14:paraId="3D35127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-2.91 </w:t>
            </w:r>
          </w:p>
          <w:p w14:paraId="38123CBE"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(-14.50;10.12)</w:t>
            </w:r>
          </w:p>
        </w:tc>
        <w:tc>
          <w:tcPr>
            <w:tcW w:w="1280" w:type="dxa"/>
            <w:tcBorders>
              <w:top w:val="nil"/>
              <w:left w:val="nil"/>
              <w:bottom w:val="nil"/>
              <w:right w:val="nil"/>
            </w:tcBorders>
          </w:tcPr>
          <w:p w14:paraId="2EB112E0"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-11.19 </w:t>
            </w:r>
          </w:p>
          <w:p w14:paraId="5A2DEAA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(-22.40;1.53)</w:t>
            </w:r>
          </w:p>
        </w:tc>
      </w:tr>
      <w:tr w:rsidR="00396F50" w:rsidRPr="00FB0610" w14:paraId="7D57C25F" w14:textId="77777777" w:rsidTr="00FB0610">
        <w:trPr>
          <w:cantSplit/>
          <w:trHeight w:val="288"/>
        </w:trPr>
        <w:tc>
          <w:tcPr>
            <w:tcW w:w="816" w:type="dxa"/>
            <w:tcBorders>
              <w:top w:val="nil"/>
              <w:left w:val="nil"/>
              <w:bottom w:val="nil"/>
              <w:right w:val="nil"/>
            </w:tcBorders>
            <w:shd w:val="clear" w:color="auto" w:fill="auto"/>
            <w:noWrap/>
            <w:textDirection w:val="btLr"/>
            <w:vAlign w:val="bottom"/>
            <w:hideMark/>
          </w:tcPr>
          <w:p w14:paraId="5C345D79"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5FF2D11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NH Blacks</w:t>
            </w:r>
          </w:p>
        </w:tc>
        <w:tc>
          <w:tcPr>
            <w:tcW w:w="1189" w:type="dxa"/>
            <w:tcBorders>
              <w:top w:val="nil"/>
              <w:left w:val="nil"/>
              <w:bottom w:val="nil"/>
              <w:right w:val="nil"/>
            </w:tcBorders>
            <w:shd w:val="clear" w:color="auto" w:fill="auto"/>
            <w:noWrap/>
          </w:tcPr>
          <w:p w14:paraId="014C029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23.37 (19.90;26.84)</w:t>
            </w:r>
          </w:p>
        </w:tc>
        <w:tc>
          <w:tcPr>
            <w:tcW w:w="1189" w:type="dxa"/>
            <w:tcBorders>
              <w:top w:val="nil"/>
              <w:left w:val="nil"/>
              <w:bottom w:val="nil"/>
              <w:right w:val="nil"/>
            </w:tcBorders>
            <w:shd w:val="clear" w:color="auto" w:fill="auto"/>
            <w:noWrap/>
          </w:tcPr>
          <w:p w14:paraId="5C0B831D"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21.36 (18.77;23.95)</w:t>
            </w:r>
          </w:p>
        </w:tc>
        <w:tc>
          <w:tcPr>
            <w:tcW w:w="1189" w:type="dxa"/>
            <w:tcBorders>
              <w:top w:val="nil"/>
              <w:left w:val="nil"/>
              <w:bottom w:val="nil"/>
              <w:right w:val="nil"/>
            </w:tcBorders>
            <w:shd w:val="clear" w:color="auto" w:fill="auto"/>
            <w:noWrap/>
          </w:tcPr>
          <w:p w14:paraId="40B1D4D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20.01 (16.99;23.02)</w:t>
            </w:r>
          </w:p>
        </w:tc>
        <w:tc>
          <w:tcPr>
            <w:tcW w:w="1415" w:type="dxa"/>
            <w:tcBorders>
              <w:top w:val="nil"/>
              <w:left w:val="nil"/>
              <w:bottom w:val="nil"/>
              <w:right w:val="nil"/>
            </w:tcBorders>
            <w:shd w:val="clear" w:color="auto" w:fill="auto"/>
            <w:noWrap/>
          </w:tcPr>
          <w:p w14:paraId="013F113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-8.60 </w:t>
            </w:r>
          </w:p>
          <w:p w14:paraId="6B849EB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(-30.07;20.35)</w:t>
            </w:r>
          </w:p>
        </w:tc>
        <w:tc>
          <w:tcPr>
            <w:tcW w:w="1356" w:type="dxa"/>
            <w:gridSpan w:val="2"/>
            <w:tcBorders>
              <w:top w:val="nil"/>
              <w:left w:val="nil"/>
              <w:bottom w:val="nil"/>
              <w:right w:val="nil"/>
            </w:tcBorders>
            <w:shd w:val="clear" w:color="auto" w:fill="auto"/>
            <w:noWrap/>
          </w:tcPr>
          <w:p w14:paraId="59CA62C5"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-6.32 </w:t>
            </w:r>
          </w:p>
          <w:p w14:paraId="443C0817"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(-29.06;22.64)</w:t>
            </w:r>
          </w:p>
        </w:tc>
        <w:tc>
          <w:tcPr>
            <w:tcW w:w="1280" w:type="dxa"/>
            <w:tcBorders>
              <w:top w:val="nil"/>
              <w:left w:val="nil"/>
              <w:bottom w:val="nil"/>
              <w:right w:val="nil"/>
            </w:tcBorders>
          </w:tcPr>
          <w:p w14:paraId="4E0F431B"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-14.38 </w:t>
            </w:r>
          </w:p>
          <w:p w14:paraId="3A8E3A1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(-36.70;15.68)</w:t>
            </w:r>
          </w:p>
        </w:tc>
      </w:tr>
      <w:tr w:rsidR="00396F50" w:rsidRPr="00FB0610" w14:paraId="168C1307" w14:textId="77777777" w:rsidTr="00FB0610">
        <w:trPr>
          <w:cantSplit/>
          <w:trHeight w:val="288"/>
        </w:trPr>
        <w:tc>
          <w:tcPr>
            <w:tcW w:w="816" w:type="dxa"/>
            <w:tcBorders>
              <w:top w:val="nil"/>
              <w:left w:val="nil"/>
              <w:bottom w:val="nil"/>
              <w:right w:val="nil"/>
            </w:tcBorders>
            <w:shd w:val="clear" w:color="auto" w:fill="auto"/>
            <w:noWrap/>
            <w:textDirection w:val="btLr"/>
            <w:vAlign w:val="bottom"/>
            <w:hideMark/>
          </w:tcPr>
          <w:p w14:paraId="2AC8A8EE"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p>
        </w:tc>
        <w:tc>
          <w:tcPr>
            <w:tcW w:w="926" w:type="dxa"/>
            <w:tcBorders>
              <w:top w:val="nil"/>
              <w:left w:val="nil"/>
              <w:bottom w:val="nil"/>
              <w:right w:val="single" w:sz="8" w:space="0" w:color="auto"/>
            </w:tcBorders>
            <w:shd w:val="clear" w:color="auto" w:fill="auto"/>
            <w:noWrap/>
            <w:vAlign w:val="center"/>
            <w:hideMark/>
          </w:tcPr>
          <w:p w14:paraId="6F057405" w14:textId="77777777" w:rsidR="00396F50" w:rsidRPr="00986093" w:rsidRDefault="00396F50" w:rsidP="00876112">
            <w:pPr>
              <w:spacing w:after="0" w:line="240" w:lineRule="auto"/>
              <w:jc w:val="center"/>
              <w:rPr>
                <w:rFonts w:ascii="Times New Roman" w:eastAsia="Times New Roman" w:hAnsi="Times New Roman" w:cs="Times New Roman"/>
                <w:color w:val="000000"/>
                <w:sz w:val="18"/>
                <w:szCs w:val="18"/>
              </w:rPr>
            </w:pPr>
            <w:r w:rsidRPr="00986093">
              <w:rPr>
                <w:rFonts w:ascii="Times New Roman" w:eastAsia="Times New Roman" w:hAnsi="Times New Roman" w:cs="Times New Roman"/>
                <w:color w:val="000000"/>
                <w:sz w:val="18"/>
                <w:szCs w:val="18"/>
              </w:rPr>
              <w:t>Hispanics</w:t>
            </w:r>
          </w:p>
        </w:tc>
        <w:tc>
          <w:tcPr>
            <w:tcW w:w="1189" w:type="dxa"/>
            <w:tcBorders>
              <w:top w:val="nil"/>
              <w:left w:val="nil"/>
              <w:bottom w:val="nil"/>
              <w:right w:val="nil"/>
            </w:tcBorders>
            <w:shd w:val="clear" w:color="auto" w:fill="auto"/>
            <w:noWrap/>
          </w:tcPr>
          <w:p w14:paraId="3F40E18C"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14.30 (11.04;17.56)</w:t>
            </w:r>
          </w:p>
        </w:tc>
        <w:tc>
          <w:tcPr>
            <w:tcW w:w="1189" w:type="dxa"/>
            <w:tcBorders>
              <w:top w:val="nil"/>
              <w:left w:val="nil"/>
              <w:bottom w:val="nil"/>
              <w:right w:val="nil"/>
            </w:tcBorders>
            <w:shd w:val="clear" w:color="auto" w:fill="auto"/>
            <w:noWrap/>
          </w:tcPr>
          <w:p w14:paraId="371989E8"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18.22 (15.45;20.98)</w:t>
            </w:r>
          </w:p>
        </w:tc>
        <w:tc>
          <w:tcPr>
            <w:tcW w:w="1189" w:type="dxa"/>
            <w:tcBorders>
              <w:top w:val="nil"/>
              <w:left w:val="nil"/>
              <w:bottom w:val="nil"/>
              <w:right w:val="nil"/>
            </w:tcBorders>
            <w:shd w:val="clear" w:color="auto" w:fill="auto"/>
            <w:noWrap/>
          </w:tcPr>
          <w:p w14:paraId="69CC5F2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19.07 (15.98;22.16)</w:t>
            </w:r>
          </w:p>
        </w:tc>
        <w:tc>
          <w:tcPr>
            <w:tcW w:w="1415" w:type="dxa"/>
            <w:tcBorders>
              <w:top w:val="nil"/>
              <w:left w:val="nil"/>
              <w:bottom w:val="nil"/>
              <w:right w:val="nil"/>
            </w:tcBorders>
            <w:shd w:val="clear" w:color="auto" w:fill="auto"/>
            <w:noWrap/>
          </w:tcPr>
          <w:p w14:paraId="606B14C9"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27.41 </w:t>
            </w:r>
          </w:p>
          <w:p w14:paraId="0709570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(-12.02;90.04)</w:t>
            </w:r>
          </w:p>
        </w:tc>
        <w:tc>
          <w:tcPr>
            <w:tcW w:w="1356" w:type="dxa"/>
            <w:gridSpan w:val="2"/>
            <w:tcBorders>
              <w:top w:val="nil"/>
              <w:left w:val="nil"/>
              <w:bottom w:val="nil"/>
              <w:right w:val="nil"/>
            </w:tcBorders>
            <w:shd w:val="clear" w:color="auto" w:fill="auto"/>
            <w:noWrap/>
          </w:tcPr>
          <w:p w14:paraId="0C5BC87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4.67 </w:t>
            </w:r>
          </w:p>
          <w:p w14:paraId="38261D73"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(-23.83;43.43)</w:t>
            </w:r>
          </w:p>
        </w:tc>
        <w:tc>
          <w:tcPr>
            <w:tcW w:w="1280" w:type="dxa"/>
            <w:tcBorders>
              <w:top w:val="nil"/>
              <w:left w:val="nil"/>
              <w:bottom w:val="nil"/>
              <w:right w:val="nil"/>
            </w:tcBorders>
          </w:tcPr>
          <w:p w14:paraId="2944A2AA"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 xml:space="preserve">33.36 </w:t>
            </w:r>
          </w:p>
          <w:p w14:paraId="49211E16" w14:textId="77777777" w:rsidR="00396F50" w:rsidRPr="00FB0610" w:rsidRDefault="00396F50" w:rsidP="00876112">
            <w:pPr>
              <w:spacing w:after="0" w:line="240" w:lineRule="auto"/>
              <w:jc w:val="center"/>
              <w:rPr>
                <w:rFonts w:ascii="Times New Roman" w:eastAsia="Times New Roman" w:hAnsi="Times New Roman" w:cs="Times New Roman"/>
                <w:color w:val="000000"/>
                <w:sz w:val="16"/>
                <w:szCs w:val="16"/>
              </w:rPr>
            </w:pPr>
            <w:r w:rsidRPr="00FB0610">
              <w:rPr>
                <w:rFonts w:ascii="Times New Roman" w:eastAsia="Times New Roman" w:hAnsi="Times New Roman" w:cs="Times New Roman"/>
                <w:color w:val="000000"/>
                <w:sz w:val="16"/>
                <w:szCs w:val="16"/>
              </w:rPr>
              <w:t>(-9.00;100.72)</w:t>
            </w:r>
          </w:p>
        </w:tc>
      </w:tr>
    </w:tbl>
    <w:p w14:paraId="16C2AFA3" w14:textId="77777777" w:rsidR="00396F50" w:rsidRDefault="00396F50" w:rsidP="00396F50">
      <w:r>
        <w:t>Key: * implies a deviation from the baseline estimated values with 95% Confidence Interval</w:t>
      </w:r>
    </w:p>
    <w:p w14:paraId="54D8AF0B" w14:textId="711D16CF" w:rsidR="001B1476" w:rsidRDefault="001B1476">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14:paraId="6C166230" w14:textId="77777777" w:rsidR="005350B6" w:rsidRDefault="005350B6" w:rsidP="009F6EE5">
      <w:pPr>
        <w:spacing w:line="257" w:lineRule="auto"/>
        <w:rPr>
          <w:rFonts w:ascii="Times New Roman" w:eastAsia="Times New Roman" w:hAnsi="Times New Roman" w:cs="Times New Roman"/>
        </w:rPr>
      </w:pPr>
    </w:p>
    <w:p w14:paraId="2C078E63" w14:textId="65E3B7FD" w:rsidR="00B51A15" w:rsidRDefault="00976805" w:rsidP="009F6EE5">
      <w:pPr>
        <w:spacing w:line="257" w:lineRule="auto"/>
        <w:rPr>
          <w:rFonts w:ascii="Times New Roman" w:eastAsia="Times New Roman" w:hAnsi="Times New Roman" w:cs="Times New Roman"/>
        </w:rPr>
      </w:pPr>
      <w:r>
        <w:rPr>
          <w:rFonts w:ascii="Times New Roman" w:eastAsia="Times New Roman" w:hAnsi="Times New Roman" w:cs="Times New Roman"/>
        </w:rPr>
        <w:t xml:space="preserve">List </w:t>
      </w:r>
      <w:proofErr w:type="gramStart"/>
      <w:r>
        <w:rPr>
          <w:rFonts w:ascii="Times New Roman" w:eastAsia="Times New Roman" w:hAnsi="Times New Roman" w:cs="Times New Roman"/>
        </w:rPr>
        <w:t xml:space="preserve">of </w:t>
      </w:r>
      <w:r w:rsidR="7D4FDF97" w:rsidRPr="67C8E18F">
        <w:rPr>
          <w:rFonts w:ascii="Times New Roman" w:eastAsia="Times New Roman" w:hAnsi="Times New Roman" w:cs="Times New Roman"/>
        </w:rPr>
        <w:t xml:space="preserve"> </w:t>
      </w:r>
      <w:r>
        <w:rPr>
          <w:rFonts w:ascii="Times New Roman" w:eastAsia="Times New Roman" w:hAnsi="Times New Roman" w:cs="Times New Roman"/>
        </w:rPr>
        <w:t>Figures</w:t>
      </w:r>
      <w:proofErr w:type="gramEnd"/>
      <w:r w:rsidR="00E07685">
        <w:rPr>
          <w:rFonts w:ascii="Times New Roman" w:eastAsia="Times New Roman" w:hAnsi="Times New Roman" w:cs="Times New Roman"/>
        </w:rPr>
        <w:t xml:space="preserve"> (Supplementary Material)</w:t>
      </w:r>
      <w:r>
        <w:rPr>
          <w:rFonts w:ascii="Times New Roman" w:eastAsia="Times New Roman" w:hAnsi="Times New Roman" w:cs="Times New Roman"/>
        </w:rPr>
        <w:t xml:space="preserve">: </w:t>
      </w:r>
    </w:p>
    <w:p w14:paraId="5FC7E6B1" w14:textId="77777777" w:rsidR="00953F0C" w:rsidRPr="008B207F" w:rsidRDefault="00953F0C" w:rsidP="00953F0C">
      <w:r w:rsidRPr="008B207F">
        <w:rPr>
          <w:noProof/>
        </w:rPr>
        <w:drawing>
          <wp:inline distT="0" distB="0" distL="0" distR="0" wp14:anchorId="4845F23D" wp14:editId="3E6AF676">
            <wp:extent cx="5943600" cy="7429500"/>
            <wp:effectExtent l="0" t="0" r="0" b="0"/>
            <wp:docPr id="1575513360"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13360" name="Picture 6"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12E9F82F" w14:textId="77777777" w:rsidR="00953F0C" w:rsidRDefault="00953F0C" w:rsidP="00953F0C"/>
    <w:p w14:paraId="34E2DB6C" w14:textId="77777777" w:rsidR="00953F0C" w:rsidRPr="008B207F" w:rsidRDefault="00953F0C" w:rsidP="00953F0C"/>
    <w:p w14:paraId="2868FD7A" w14:textId="188B0283" w:rsidR="00953F0C" w:rsidRDefault="00953F0C" w:rsidP="00953F0C">
      <w:r w:rsidRPr="008B207F">
        <w:rPr>
          <w:noProof/>
        </w:rPr>
        <w:drawing>
          <wp:inline distT="0" distB="0" distL="0" distR="0" wp14:anchorId="287DE0B7" wp14:editId="002289C7">
            <wp:extent cx="5943600" cy="7429500"/>
            <wp:effectExtent l="0" t="0" r="0" b="0"/>
            <wp:docPr id="87416592" name="Picture 8"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6592" name="Picture 8" descr="A diagram of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br w:type="page"/>
      </w:r>
    </w:p>
    <w:p w14:paraId="5ED0F1AF" w14:textId="77777777" w:rsidR="00953F0C" w:rsidRPr="008B207F" w:rsidRDefault="00953F0C" w:rsidP="00953F0C">
      <w:r w:rsidRPr="008B207F">
        <w:rPr>
          <w:noProof/>
        </w:rPr>
        <w:lastRenderedPageBreak/>
        <w:drawing>
          <wp:inline distT="0" distB="0" distL="0" distR="0" wp14:anchorId="480C3ABC" wp14:editId="183614EB">
            <wp:extent cx="5943600" cy="7429500"/>
            <wp:effectExtent l="0" t="0" r="0" b="0"/>
            <wp:docPr id="1869935244" name="Picture 10" descr="A diagram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5244" name="Picture 10" descr="A diagram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10D4A18A" w14:textId="77777777" w:rsidR="00953F0C" w:rsidRDefault="00953F0C" w:rsidP="00953F0C"/>
    <w:p w14:paraId="0175547D" w14:textId="77777777" w:rsidR="009413D0" w:rsidRDefault="009413D0" w:rsidP="005E299C">
      <w:pPr>
        <w:spacing w:line="257" w:lineRule="auto"/>
        <w:jc w:val="both"/>
        <w:rPr>
          <w:rFonts w:ascii="Calibri" w:eastAsia="Calibri" w:hAnsi="Calibri" w:cs="Calibri"/>
          <w:sz w:val="22"/>
          <w:szCs w:val="22"/>
        </w:rPr>
      </w:pPr>
    </w:p>
    <w:sectPr w:rsidR="009413D0" w:rsidSect="00615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7EDDC" w14:textId="77777777" w:rsidR="00A8666E" w:rsidRDefault="00A8666E" w:rsidP="00D45401">
      <w:pPr>
        <w:spacing w:after="0" w:line="240" w:lineRule="auto"/>
      </w:pPr>
      <w:r>
        <w:separator/>
      </w:r>
    </w:p>
  </w:endnote>
  <w:endnote w:type="continuationSeparator" w:id="0">
    <w:p w14:paraId="32455710" w14:textId="77777777" w:rsidR="00A8666E" w:rsidRDefault="00A8666E" w:rsidP="00D4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33F3E" w14:textId="77777777" w:rsidR="00A8666E" w:rsidRDefault="00A8666E" w:rsidP="00D45401">
      <w:pPr>
        <w:spacing w:after="0" w:line="240" w:lineRule="auto"/>
      </w:pPr>
      <w:r>
        <w:separator/>
      </w:r>
    </w:p>
  </w:footnote>
  <w:footnote w:type="continuationSeparator" w:id="0">
    <w:p w14:paraId="6B3B1EE0" w14:textId="77777777" w:rsidR="00A8666E" w:rsidRDefault="00A8666E" w:rsidP="00D4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07F"/>
    <w:multiLevelType w:val="hybridMultilevel"/>
    <w:tmpl w:val="821E1EB8"/>
    <w:lvl w:ilvl="0" w:tplc="EDF8C15A">
      <w:start w:val="1"/>
      <w:numFmt w:val="decimal"/>
      <w:lvlText w:val="%1."/>
      <w:lvlJc w:val="left"/>
      <w:pPr>
        <w:ind w:left="1020" w:hanging="360"/>
      </w:pPr>
    </w:lvl>
    <w:lvl w:ilvl="1" w:tplc="4D422FAE">
      <w:start w:val="1"/>
      <w:numFmt w:val="decimal"/>
      <w:lvlText w:val="%2."/>
      <w:lvlJc w:val="left"/>
      <w:pPr>
        <w:ind w:left="1020" w:hanging="360"/>
      </w:pPr>
    </w:lvl>
    <w:lvl w:ilvl="2" w:tplc="6C78BAD4">
      <w:start w:val="1"/>
      <w:numFmt w:val="decimal"/>
      <w:lvlText w:val="%3."/>
      <w:lvlJc w:val="left"/>
      <w:pPr>
        <w:ind w:left="1020" w:hanging="360"/>
      </w:pPr>
    </w:lvl>
    <w:lvl w:ilvl="3" w:tplc="EE7EDE14">
      <w:start w:val="1"/>
      <w:numFmt w:val="decimal"/>
      <w:lvlText w:val="%4."/>
      <w:lvlJc w:val="left"/>
      <w:pPr>
        <w:ind w:left="1020" w:hanging="360"/>
      </w:pPr>
    </w:lvl>
    <w:lvl w:ilvl="4" w:tplc="4EAA5878">
      <w:start w:val="1"/>
      <w:numFmt w:val="decimal"/>
      <w:lvlText w:val="%5."/>
      <w:lvlJc w:val="left"/>
      <w:pPr>
        <w:ind w:left="1020" w:hanging="360"/>
      </w:pPr>
    </w:lvl>
    <w:lvl w:ilvl="5" w:tplc="51464A92">
      <w:start w:val="1"/>
      <w:numFmt w:val="decimal"/>
      <w:lvlText w:val="%6."/>
      <w:lvlJc w:val="left"/>
      <w:pPr>
        <w:ind w:left="1020" w:hanging="360"/>
      </w:pPr>
    </w:lvl>
    <w:lvl w:ilvl="6" w:tplc="3E2C8C04">
      <w:start w:val="1"/>
      <w:numFmt w:val="decimal"/>
      <w:lvlText w:val="%7."/>
      <w:lvlJc w:val="left"/>
      <w:pPr>
        <w:ind w:left="1020" w:hanging="360"/>
      </w:pPr>
    </w:lvl>
    <w:lvl w:ilvl="7" w:tplc="11F8D2E2">
      <w:start w:val="1"/>
      <w:numFmt w:val="decimal"/>
      <w:lvlText w:val="%8."/>
      <w:lvlJc w:val="left"/>
      <w:pPr>
        <w:ind w:left="1020" w:hanging="360"/>
      </w:pPr>
    </w:lvl>
    <w:lvl w:ilvl="8" w:tplc="D8C0F866">
      <w:start w:val="1"/>
      <w:numFmt w:val="decimal"/>
      <w:lvlText w:val="%9."/>
      <w:lvlJc w:val="left"/>
      <w:pPr>
        <w:ind w:left="1020" w:hanging="360"/>
      </w:pPr>
    </w:lvl>
  </w:abstractNum>
  <w:abstractNum w:abstractNumId="1" w15:restartNumberingAfterBreak="0">
    <w:nsid w:val="395C4D3C"/>
    <w:multiLevelType w:val="hybridMultilevel"/>
    <w:tmpl w:val="86B09F16"/>
    <w:lvl w:ilvl="0" w:tplc="99B647AE">
      <w:start w:val="1"/>
      <w:numFmt w:val="decimal"/>
      <w:lvlText w:val="%1."/>
      <w:lvlJc w:val="left"/>
      <w:pPr>
        <w:ind w:left="1020" w:hanging="360"/>
      </w:pPr>
    </w:lvl>
    <w:lvl w:ilvl="1" w:tplc="3B3E0876">
      <w:start w:val="1"/>
      <w:numFmt w:val="decimal"/>
      <w:lvlText w:val="%2."/>
      <w:lvlJc w:val="left"/>
      <w:pPr>
        <w:ind w:left="1020" w:hanging="360"/>
      </w:pPr>
    </w:lvl>
    <w:lvl w:ilvl="2" w:tplc="F6BC0BE6">
      <w:start w:val="1"/>
      <w:numFmt w:val="decimal"/>
      <w:lvlText w:val="%3."/>
      <w:lvlJc w:val="left"/>
      <w:pPr>
        <w:ind w:left="1020" w:hanging="360"/>
      </w:pPr>
    </w:lvl>
    <w:lvl w:ilvl="3" w:tplc="DC182FFC">
      <w:start w:val="1"/>
      <w:numFmt w:val="decimal"/>
      <w:lvlText w:val="%4."/>
      <w:lvlJc w:val="left"/>
      <w:pPr>
        <w:ind w:left="1020" w:hanging="360"/>
      </w:pPr>
    </w:lvl>
    <w:lvl w:ilvl="4" w:tplc="1E9229E8">
      <w:start w:val="1"/>
      <w:numFmt w:val="decimal"/>
      <w:lvlText w:val="%5."/>
      <w:lvlJc w:val="left"/>
      <w:pPr>
        <w:ind w:left="1020" w:hanging="360"/>
      </w:pPr>
    </w:lvl>
    <w:lvl w:ilvl="5" w:tplc="EC9EEB34">
      <w:start w:val="1"/>
      <w:numFmt w:val="decimal"/>
      <w:lvlText w:val="%6."/>
      <w:lvlJc w:val="left"/>
      <w:pPr>
        <w:ind w:left="1020" w:hanging="360"/>
      </w:pPr>
    </w:lvl>
    <w:lvl w:ilvl="6" w:tplc="EBE6553A">
      <w:start w:val="1"/>
      <w:numFmt w:val="decimal"/>
      <w:lvlText w:val="%7."/>
      <w:lvlJc w:val="left"/>
      <w:pPr>
        <w:ind w:left="1020" w:hanging="360"/>
      </w:pPr>
    </w:lvl>
    <w:lvl w:ilvl="7" w:tplc="E384D338">
      <w:start w:val="1"/>
      <w:numFmt w:val="decimal"/>
      <w:lvlText w:val="%8."/>
      <w:lvlJc w:val="left"/>
      <w:pPr>
        <w:ind w:left="1020" w:hanging="360"/>
      </w:pPr>
    </w:lvl>
    <w:lvl w:ilvl="8" w:tplc="8F005500">
      <w:start w:val="1"/>
      <w:numFmt w:val="decimal"/>
      <w:lvlText w:val="%9."/>
      <w:lvlJc w:val="left"/>
      <w:pPr>
        <w:ind w:left="1020" w:hanging="360"/>
      </w:pPr>
    </w:lvl>
  </w:abstractNum>
  <w:num w:numId="1" w16cid:durableId="1939555742">
    <w:abstractNumId w:val="0"/>
  </w:num>
  <w:num w:numId="2" w16cid:durableId="62484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09C429"/>
    <w:rsid w:val="000049E2"/>
    <w:rsid w:val="000050BA"/>
    <w:rsid w:val="00005539"/>
    <w:rsid w:val="00005FB9"/>
    <w:rsid w:val="00011C73"/>
    <w:rsid w:val="00015EE0"/>
    <w:rsid w:val="00023610"/>
    <w:rsid w:val="00027C03"/>
    <w:rsid w:val="00034466"/>
    <w:rsid w:val="000412B5"/>
    <w:rsid w:val="000427A9"/>
    <w:rsid w:val="000427CC"/>
    <w:rsid w:val="00044548"/>
    <w:rsid w:val="000471A2"/>
    <w:rsid w:val="000472DE"/>
    <w:rsid w:val="0005067F"/>
    <w:rsid w:val="00050709"/>
    <w:rsid w:val="0005542C"/>
    <w:rsid w:val="0005637F"/>
    <w:rsid w:val="00060DEC"/>
    <w:rsid w:val="000646EA"/>
    <w:rsid w:val="00064884"/>
    <w:rsid w:val="00072839"/>
    <w:rsid w:val="00074976"/>
    <w:rsid w:val="0008225A"/>
    <w:rsid w:val="0008263D"/>
    <w:rsid w:val="0008454F"/>
    <w:rsid w:val="00084D98"/>
    <w:rsid w:val="0008510A"/>
    <w:rsid w:val="00085763"/>
    <w:rsid w:val="00092424"/>
    <w:rsid w:val="00094020"/>
    <w:rsid w:val="00094123"/>
    <w:rsid w:val="000B1921"/>
    <w:rsid w:val="000B2FFC"/>
    <w:rsid w:val="000C2655"/>
    <w:rsid w:val="000C731E"/>
    <w:rsid w:val="000D07C2"/>
    <w:rsid w:val="000D23F6"/>
    <w:rsid w:val="000D63E8"/>
    <w:rsid w:val="000D765E"/>
    <w:rsid w:val="000D7915"/>
    <w:rsid w:val="000E08BD"/>
    <w:rsid w:val="000E129B"/>
    <w:rsid w:val="000E2250"/>
    <w:rsid w:val="000F0A8A"/>
    <w:rsid w:val="000F399A"/>
    <w:rsid w:val="000F430C"/>
    <w:rsid w:val="000F5728"/>
    <w:rsid w:val="000F5C50"/>
    <w:rsid w:val="000F705A"/>
    <w:rsid w:val="000F7096"/>
    <w:rsid w:val="00100EC2"/>
    <w:rsid w:val="00104964"/>
    <w:rsid w:val="00110397"/>
    <w:rsid w:val="00111C8D"/>
    <w:rsid w:val="00111E69"/>
    <w:rsid w:val="00112E01"/>
    <w:rsid w:val="00113EF4"/>
    <w:rsid w:val="001156D4"/>
    <w:rsid w:val="00120B0D"/>
    <w:rsid w:val="00123B43"/>
    <w:rsid w:val="00123FE6"/>
    <w:rsid w:val="00127F1C"/>
    <w:rsid w:val="0013236C"/>
    <w:rsid w:val="00134315"/>
    <w:rsid w:val="00134EAE"/>
    <w:rsid w:val="001408AC"/>
    <w:rsid w:val="00140C09"/>
    <w:rsid w:val="0014352C"/>
    <w:rsid w:val="00151B25"/>
    <w:rsid w:val="00151D92"/>
    <w:rsid w:val="00152A07"/>
    <w:rsid w:val="00155180"/>
    <w:rsid w:val="0016427C"/>
    <w:rsid w:val="00165EEC"/>
    <w:rsid w:val="00166C0F"/>
    <w:rsid w:val="001728F9"/>
    <w:rsid w:val="00172CB9"/>
    <w:rsid w:val="001761F2"/>
    <w:rsid w:val="00176CDE"/>
    <w:rsid w:val="00177CD6"/>
    <w:rsid w:val="00180937"/>
    <w:rsid w:val="00181AB1"/>
    <w:rsid w:val="00183067"/>
    <w:rsid w:val="00184ED9"/>
    <w:rsid w:val="001855CD"/>
    <w:rsid w:val="0019074C"/>
    <w:rsid w:val="001959E1"/>
    <w:rsid w:val="001A3BA9"/>
    <w:rsid w:val="001A4AE2"/>
    <w:rsid w:val="001A573A"/>
    <w:rsid w:val="001A63F6"/>
    <w:rsid w:val="001B1476"/>
    <w:rsid w:val="001B691E"/>
    <w:rsid w:val="001B744E"/>
    <w:rsid w:val="001C59A2"/>
    <w:rsid w:val="001C5D92"/>
    <w:rsid w:val="001C75E5"/>
    <w:rsid w:val="001C786A"/>
    <w:rsid w:val="001D22D2"/>
    <w:rsid w:val="001D523E"/>
    <w:rsid w:val="001D592E"/>
    <w:rsid w:val="001D672F"/>
    <w:rsid w:val="001D9D75"/>
    <w:rsid w:val="001E2946"/>
    <w:rsid w:val="001E489B"/>
    <w:rsid w:val="001E7620"/>
    <w:rsid w:val="001F360B"/>
    <w:rsid w:val="001F646C"/>
    <w:rsid w:val="001F794C"/>
    <w:rsid w:val="002003C5"/>
    <w:rsid w:val="002025CE"/>
    <w:rsid w:val="00202973"/>
    <w:rsid w:val="0020715D"/>
    <w:rsid w:val="002108BD"/>
    <w:rsid w:val="00214E4A"/>
    <w:rsid w:val="00215508"/>
    <w:rsid w:val="002307E8"/>
    <w:rsid w:val="00232DC4"/>
    <w:rsid w:val="002346E6"/>
    <w:rsid w:val="00235E92"/>
    <w:rsid w:val="002435C2"/>
    <w:rsid w:val="002507A7"/>
    <w:rsid w:val="00253ABA"/>
    <w:rsid w:val="002632CD"/>
    <w:rsid w:val="00274B15"/>
    <w:rsid w:val="0027772D"/>
    <w:rsid w:val="00281909"/>
    <w:rsid w:val="00284D36"/>
    <w:rsid w:val="0028579E"/>
    <w:rsid w:val="00286377"/>
    <w:rsid w:val="00291748"/>
    <w:rsid w:val="00292558"/>
    <w:rsid w:val="00295840"/>
    <w:rsid w:val="002972B8"/>
    <w:rsid w:val="002A639C"/>
    <w:rsid w:val="002A7A27"/>
    <w:rsid w:val="002A7FDB"/>
    <w:rsid w:val="002B1E7B"/>
    <w:rsid w:val="002B41B6"/>
    <w:rsid w:val="002C0D21"/>
    <w:rsid w:val="002C1800"/>
    <w:rsid w:val="002C2E76"/>
    <w:rsid w:val="002C35C2"/>
    <w:rsid w:val="002C63F8"/>
    <w:rsid w:val="002C6781"/>
    <w:rsid w:val="002D1405"/>
    <w:rsid w:val="002D2833"/>
    <w:rsid w:val="002D4807"/>
    <w:rsid w:val="002D5AEF"/>
    <w:rsid w:val="002D61B5"/>
    <w:rsid w:val="002D6998"/>
    <w:rsid w:val="002E2705"/>
    <w:rsid w:val="002E4D45"/>
    <w:rsid w:val="002E5A10"/>
    <w:rsid w:val="002E611E"/>
    <w:rsid w:val="002F1D49"/>
    <w:rsid w:val="002F4B7A"/>
    <w:rsid w:val="002F5309"/>
    <w:rsid w:val="00303A32"/>
    <w:rsid w:val="00304E0C"/>
    <w:rsid w:val="00305270"/>
    <w:rsid w:val="003135B3"/>
    <w:rsid w:val="00314361"/>
    <w:rsid w:val="003158B3"/>
    <w:rsid w:val="00321272"/>
    <w:rsid w:val="00321CE3"/>
    <w:rsid w:val="00325F7A"/>
    <w:rsid w:val="0033103D"/>
    <w:rsid w:val="00333260"/>
    <w:rsid w:val="003332DE"/>
    <w:rsid w:val="003333D3"/>
    <w:rsid w:val="0033438E"/>
    <w:rsid w:val="003353C4"/>
    <w:rsid w:val="00336C8C"/>
    <w:rsid w:val="0033734A"/>
    <w:rsid w:val="00337A18"/>
    <w:rsid w:val="00340A22"/>
    <w:rsid w:val="0034260F"/>
    <w:rsid w:val="0034362C"/>
    <w:rsid w:val="003449A5"/>
    <w:rsid w:val="0034797B"/>
    <w:rsid w:val="00350C09"/>
    <w:rsid w:val="00352287"/>
    <w:rsid w:val="00354400"/>
    <w:rsid w:val="00355305"/>
    <w:rsid w:val="00356687"/>
    <w:rsid w:val="00356D87"/>
    <w:rsid w:val="00367858"/>
    <w:rsid w:val="00372381"/>
    <w:rsid w:val="0038303C"/>
    <w:rsid w:val="0038619B"/>
    <w:rsid w:val="0038727F"/>
    <w:rsid w:val="003910D8"/>
    <w:rsid w:val="00392514"/>
    <w:rsid w:val="00392F5C"/>
    <w:rsid w:val="00394C50"/>
    <w:rsid w:val="003965BA"/>
    <w:rsid w:val="003968FF"/>
    <w:rsid w:val="00396DAE"/>
    <w:rsid w:val="00396F50"/>
    <w:rsid w:val="00397504"/>
    <w:rsid w:val="003A1D09"/>
    <w:rsid w:val="003A317C"/>
    <w:rsid w:val="003A353A"/>
    <w:rsid w:val="003A393A"/>
    <w:rsid w:val="003A76B0"/>
    <w:rsid w:val="003B06F0"/>
    <w:rsid w:val="003B6962"/>
    <w:rsid w:val="003C6CD2"/>
    <w:rsid w:val="003CDE2B"/>
    <w:rsid w:val="003D6115"/>
    <w:rsid w:val="003D7DE2"/>
    <w:rsid w:val="003E08C1"/>
    <w:rsid w:val="003E383D"/>
    <w:rsid w:val="003E7F90"/>
    <w:rsid w:val="003F1D8C"/>
    <w:rsid w:val="003F2111"/>
    <w:rsid w:val="003F2E63"/>
    <w:rsid w:val="003F308F"/>
    <w:rsid w:val="003F4F8A"/>
    <w:rsid w:val="003F71C4"/>
    <w:rsid w:val="00400CA8"/>
    <w:rsid w:val="00407BCE"/>
    <w:rsid w:val="00407C1C"/>
    <w:rsid w:val="00410237"/>
    <w:rsid w:val="004117EA"/>
    <w:rsid w:val="00415A4E"/>
    <w:rsid w:val="00422974"/>
    <w:rsid w:val="004252DA"/>
    <w:rsid w:val="00433763"/>
    <w:rsid w:val="00433AB1"/>
    <w:rsid w:val="0043509D"/>
    <w:rsid w:val="004429A3"/>
    <w:rsid w:val="00451DFC"/>
    <w:rsid w:val="00452284"/>
    <w:rsid w:val="00455389"/>
    <w:rsid w:val="00457196"/>
    <w:rsid w:val="00461F81"/>
    <w:rsid w:val="00467AF9"/>
    <w:rsid w:val="00472D85"/>
    <w:rsid w:val="00476536"/>
    <w:rsid w:val="004768FB"/>
    <w:rsid w:val="004776C0"/>
    <w:rsid w:val="00481CC7"/>
    <w:rsid w:val="00483240"/>
    <w:rsid w:val="00483845"/>
    <w:rsid w:val="004848D0"/>
    <w:rsid w:val="00490D1A"/>
    <w:rsid w:val="00491C72"/>
    <w:rsid w:val="00494AFC"/>
    <w:rsid w:val="00494EF0"/>
    <w:rsid w:val="004955FF"/>
    <w:rsid w:val="004A1181"/>
    <w:rsid w:val="004A484E"/>
    <w:rsid w:val="004B16AA"/>
    <w:rsid w:val="004B3B8E"/>
    <w:rsid w:val="004B3FD9"/>
    <w:rsid w:val="004B528C"/>
    <w:rsid w:val="004C0706"/>
    <w:rsid w:val="004C140A"/>
    <w:rsid w:val="004C17E1"/>
    <w:rsid w:val="004D0912"/>
    <w:rsid w:val="004D1D4E"/>
    <w:rsid w:val="004D2DD9"/>
    <w:rsid w:val="004D489B"/>
    <w:rsid w:val="004D68F2"/>
    <w:rsid w:val="004D6E4A"/>
    <w:rsid w:val="004E2677"/>
    <w:rsid w:val="004E28F3"/>
    <w:rsid w:val="004E2D7B"/>
    <w:rsid w:val="004E4C83"/>
    <w:rsid w:val="004E5109"/>
    <w:rsid w:val="004E5A6C"/>
    <w:rsid w:val="004F01F7"/>
    <w:rsid w:val="004F277E"/>
    <w:rsid w:val="00502825"/>
    <w:rsid w:val="00503CD3"/>
    <w:rsid w:val="005046BE"/>
    <w:rsid w:val="005073A8"/>
    <w:rsid w:val="005120F8"/>
    <w:rsid w:val="005150BB"/>
    <w:rsid w:val="005163F6"/>
    <w:rsid w:val="005206BF"/>
    <w:rsid w:val="00520B46"/>
    <w:rsid w:val="00522232"/>
    <w:rsid w:val="0053223C"/>
    <w:rsid w:val="0053430C"/>
    <w:rsid w:val="005350B6"/>
    <w:rsid w:val="005359E8"/>
    <w:rsid w:val="00540EE3"/>
    <w:rsid w:val="00551FAC"/>
    <w:rsid w:val="0055582F"/>
    <w:rsid w:val="00555CB1"/>
    <w:rsid w:val="005574EA"/>
    <w:rsid w:val="00563E1E"/>
    <w:rsid w:val="00564423"/>
    <w:rsid w:val="00565C8C"/>
    <w:rsid w:val="005678F5"/>
    <w:rsid w:val="00586BDD"/>
    <w:rsid w:val="00587556"/>
    <w:rsid w:val="005879F7"/>
    <w:rsid w:val="00587CBE"/>
    <w:rsid w:val="00590D27"/>
    <w:rsid w:val="00590D54"/>
    <w:rsid w:val="00591BFA"/>
    <w:rsid w:val="005927DF"/>
    <w:rsid w:val="005937D7"/>
    <w:rsid w:val="00593C4B"/>
    <w:rsid w:val="005A0BE7"/>
    <w:rsid w:val="005B19BD"/>
    <w:rsid w:val="005B2709"/>
    <w:rsid w:val="005B6ACC"/>
    <w:rsid w:val="005C6D23"/>
    <w:rsid w:val="005D026C"/>
    <w:rsid w:val="005D2BB4"/>
    <w:rsid w:val="005D44BE"/>
    <w:rsid w:val="005D715A"/>
    <w:rsid w:val="005E0207"/>
    <w:rsid w:val="005E197A"/>
    <w:rsid w:val="005E1AF9"/>
    <w:rsid w:val="005E25C9"/>
    <w:rsid w:val="005E299C"/>
    <w:rsid w:val="005E2B95"/>
    <w:rsid w:val="005E401F"/>
    <w:rsid w:val="005E58B1"/>
    <w:rsid w:val="005F3913"/>
    <w:rsid w:val="005F54A2"/>
    <w:rsid w:val="005F5A3A"/>
    <w:rsid w:val="005F5F2A"/>
    <w:rsid w:val="00600652"/>
    <w:rsid w:val="00604A22"/>
    <w:rsid w:val="00605184"/>
    <w:rsid w:val="00611262"/>
    <w:rsid w:val="006127E5"/>
    <w:rsid w:val="00614D82"/>
    <w:rsid w:val="00615DBA"/>
    <w:rsid w:val="006160DD"/>
    <w:rsid w:val="00621C14"/>
    <w:rsid w:val="00624E35"/>
    <w:rsid w:val="00627A01"/>
    <w:rsid w:val="006328E7"/>
    <w:rsid w:val="00632941"/>
    <w:rsid w:val="006401E9"/>
    <w:rsid w:val="00642756"/>
    <w:rsid w:val="00642CDA"/>
    <w:rsid w:val="006443F1"/>
    <w:rsid w:val="0064474F"/>
    <w:rsid w:val="00644B1A"/>
    <w:rsid w:val="0065327A"/>
    <w:rsid w:val="00657F31"/>
    <w:rsid w:val="00661276"/>
    <w:rsid w:val="00661C22"/>
    <w:rsid w:val="006620EF"/>
    <w:rsid w:val="00662E0C"/>
    <w:rsid w:val="00663D93"/>
    <w:rsid w:val="00666170"/>
    <w:rsid w:val="00672833"/>
    <w:rsid w:val="00673ED0"/>
    <w:rsid w:val="00674A42"/>
    <w:rsid w:val="006803E5"/>
    <w:rsid w:val="00681E1F"/>
    <w:rsid w:val="00682F61"/>
    <w:rsid w:val="006832C0"/>
    <w:rsid w:val="00683854"/>
    <w:rsid w:val="006850B8"/>
    <w:rsid w:val="0068529C"/>
    <w:rsid w:val="00685A72"/>
    <w:rsid w:val="00690AC7"/>
    <w:rsid w:val="00690EBC"/>
    <w:rsid w:val="00695135"/>
    <w:rsid w:val="00697260"/>
    <w:rsid w:val="006A1B6F"/>
    <w:rsid w:val="006A2514"/>
    <w:rsid w:val="006A45E7"/>
    <w:rsid w:val="006A4E95"/>
    <w:rsid w:val="006A5927"/>
    <w:rsid w:val="006A6E0F"/>
    <w:rsid w:val="006B042C"/>
    <w:rsid w:val="006B4CFD"/>
    <w:rsid w:val="006B5FF5"/>
    <w:rsid w:val="006B7D17"/>
    <w:rsid w:val="006C2D03"/>
    <w:rsid w:val="006C7057"/>
    <w:rsid w:val="006D2C2D"/>
    <w:rsid w:val="006D46EA"/>
    <w:rsid w:val="006D66FC"/>
    <w:rsid w:val="006D7ABA"/>
    <w:rsid w:val="006E4551"/>
    <w:rsid w:val="006F0F27"/>
    <w:rsid w:val="006F36BE"/>
    <w:rsid w:val="006F683A"/>
    <w:rsid w:val="00703222"/>
    <w:rsid w:val="007129EC"/>
    <w:rsid w:val="00713D4F"/>
    <w:rsid w:val="00716A86"/>
    <w:rsid w:val="00716F1A"/>
    <w:rsid w:val="007277B2"/>
    <w:rsid w:val="00732616"/>
    <w:rsid w:val="00732863"/>
    <w:rsid w:val="00734EB9"/>
    <w:rsid w:val="00735A10"/>
    <w:rsid w:val="007360A7"/>
    <w:rsid w:val="007414BB"/>
    <w:rsid w:val="00750BBB"/>
    <w:rsid w:val="00752B7C"/>
    <w:rsid w:val="00754CC1"/>
    <w:rsid w:val="007561C4"/>
    <w:rsid w:val="007561FC"/>
    <w:rsid w:val="0076074B"/>
    <w:rsid w:val="00761A27"/>
    <w:rsid w:val="0076239B"/>
    <w:rsid w:val="0077292A"/>
    <w:rsid w:val="00775F83"/>
    <w:rsid w:val="007804CD"/>
    <w:rsid w:val="00784AF5"/>
    <w:rsid w:val="00792159"/>
    <w:rsid w:val="00794B9A"/>
    <w:rsid w:val="00797D36"/>
    <w:rsid w:val="007A1231"/>
    <w:rsid w:val="007A5D36"/>
    <w:rsid w:val="007B37A3"/>
    <w:rsid w:val="007B5DFC"/>
    <w:rsid w:val="007B6A4E"/>
    <w:rsid w:val="007C2126"/>
    <w:rsid w:val="007C7F83"/>
    <w:rsid w:val="007D1952"/>
    <w:rsid w:val="007D385D"/>
    <w:rsid w:val="007D3D4F"/>
    <w:rsid w:val="007D4445"/>
    <w:rsid w:val="007D76AF"/>
    <w:rsid w:val="007E083C"/>
    <w:rsid w:val="007E25A5"/>
    <w:rsid w:val="007F1581"/>
    <w:rsid w:val="007F3A0E"/>
    <w:rsid w:val="007F4239"/>
    <w:rsid w:val="007F6F2E"/>
    <w:rsid w:val="00800C3A"/>
    <w:rsid w:val="00801A37"/>
    <w:rsid w:val="0080208E"/>
    <w:rsid w:val="0080705E"/>
    <w:rsid w:val="008077E8"/>
    <w:rsid w:val="00815D93"/>
    <w:rsid w:val="00817248"/>
    <w:rsid w:val="00823EE3"/>
    <w:rsid w:val="00825AB0"/>
    <w:rsid w:val="00834626"/>
    <w:rsid w:val="00834F1F"/>
    <w:rsid w:val="0084095D"/>
    <w:rsid w:val="00842C97"/>
    <w:rsid w:val="00843B11"/>
    <w:rsid w:val="00845E7D"/>
    <w:rsid w:val="00846721"/>
    <w:rsid w:val="00846AE3"/>
    <w:rsid w:val="00846DAD"/>
    <w:rsid w:val="00853CB4"/>
    <w:rsid w:val="00860544"/>
    <w:rsid w:val="00860AA4"/>
    <w:rsid w:val="00862011"/>
    <w:rsid w:val="00866348"/>
    <w:rsid w:val="00867D45"/>
    <w:rsid w:val="00872DC6"/>
    <w:rsid w:val="00874986"/>
    <w:rsid w:val="00883C42"/>
    <w:rsid w:val="0089050F"/>
    <w:rsid w:val="00892373"/>
    <w:rsid w:val="008930F5"/>
    <w:rsid w:val="008A4DB0"/>
    <w:rsid w:val="008A52AF"/>
    <w:rsid w:val="008A7AEB"/>
    <w:rsid w:val="008A7BB7"/>
    <w:rsid w:val="008B1D48"/>
    <w:rsid w:val="008B3903"/>
    <w:rsid w:val="008B3931"/>
    <w:rsid w:val="008C157B"/>
    <w:rsid w:val="008C65B9"/>
    <w:rsid w:val="008C7603"/>
    <w:rsid w:val="008D1994"/>
    <w:rsid w:val="008D37C8"/>
    <w:rsid w:val="008D4039"/>
    <w:rsid w:val="008D7AF1"/>
    <w:rsid w:val="008E446C"/>
    <w:rsid w:val="008F3186"/>
    <w:rsid w:val="008F738B"/>
    <w:rsid w:val="008F791B"/>
    <w:rsid w:val="00905C53"/>
    <w:rsid w:val="00906DC4"/>
    <w:rsid w:val="0091186A"/>
    <w:rsid w:val="00912885"/>
    <w:rsid w:val="00915347"/>
    <w:rsid w:val="00916159"/>
    <w:rsid w:val="00922DE5"/>
    <w:rsid w:val="0092362E"/>
    <w:rsid w:val="00925147"/>
    <w:rsid w:val="0092544E"/>
    <w:rsid w:val="00930420"/>
    <w:rsid w:val="0093646F"/>
    <w:rsid w:val="00936D73"/>
    <w:rsid w:val="00940E14"/>
    <w:rsid w:val="009413D0"/>
    <w:rsid w:val="009445BA"/>
    <w:rsid w:val="0094496A"/>
    <w:rsid w:val="009526EB"/>
    <w:rsid w:val="00953F0C"/>
    <w:rsid w:val="009548C4"/>
    <w:rsid w:val="00957667"/>
    <w:rsid w:val="00962985"/>
    <w:rsid w:val="00966B0C"/>
    <w:rsid w:val="0096765B"/>
    <w:rsid w:val="00970859"/>
    <w:rsid w:val="00970F05"/>
    <w:rsid w:val="00972438"/>
    <w:rsid w:val="00976805"/>
    <w:rsid w:val="00977FB0"/>
    <w:rsid w:val="009813A0"/>
    <w:rsid w:val="00982832"/>
    <w:rsid w:val="009840AF"/>
    <w:rsid w:val="00993F1F"/>
    <w:rsid w:val="00996554"/>
    <w:rsid w:val="009A247B"/>
    <w:rsid w:val="009A32BF"/>
    <w:rsid w:val="009A41BE"/>
    <w:rsid w:val="009A6B27"/>
    <w:rsid w:val="009B0904"/>
    <w:rsid w:val="009B0E4E"/>
    <w:rsid w:val="009B444F"/>
    <w:rsid w:val="009B48C8"/>
    <w:rsid w:val="009B6ECE"/>
    <w:rsid w:val="009C2C29"/>
    <w:rsid w:val="009C4A0B"/>
    <w:rsid w:val="009C5424"/>
    <w:rsid w:val="009C68BB"/>
    <w:rsid w:val="009C7038"/>
    <w:rsid w:val="009C7F4E"/>
    <w:rsid w:val="009D4B05"/>
    <w:rsid w:val="009D6B72"/>
    <w:rsid w:val="009F0ED8"/>
    <w:rsid w:val="009F12DC"/>
    <w:rsid w:val="009F6228"/>
    <w:rsid w:val="009F6EE5"/>
    <w:rsid w:val="009F6FB1"/>
    <w:rsid w:val="00A01A11"/>
    <w:rsid w:val="00A024B5"/>
    <w:rsid w:val="00A0426C"/>
    <w:rsid w:val="00A072AC"/>
    <w:rsid w:val="00A075FE"/>
    <w:rsid w:val="00A12CF5"/>
    <w:rsid w:val="00A14382"/>
    <w:rsid w:val="00A15896"/>
    <w:rsid w:val="00A15EBC"/>
    <w:rsid w:val="00A22B98"/>
    <w:rsid w:val="00A23A9A"/>
    <w:rsid w:val="00A24097"/>
    <w:rsid w:val="00A24461"/>
    <w:rsid w:val="00A244F5"/>
    <w:rsid w:val="00A346B7"/>
    <w:rsid w:val="00A44634"/>
    <w:rsid w:val="00A44DEC"/>
    <w:rsid w:val="00A45AD3"/>
    <w:rsid w:val="00A51A51"/>
    <w:rsid w:val="00A5292F"/>
    <w:rsid w:val="00A5329F"/>
    <w:rsid w:val="00A533A7"/>
    <w:rsid w:val="00A60B37"/>
    <w:rsid w:val="00A62C63"/>
    <w:rsid w:val="00A6615B"/>
    <w:rsid w:val="00A66C85"/>
    <w:rsid w:val="00A747F5"/>
    <w:rsid w:val="00A81748"/>
    <w:rsid w:val="00A840FF"/>
    <w:rsid w:val="00A8493B"/>
    <w:rsid w:val="00A84951"/>
    <w:rsid w:val="00A8666E"/>
    <w:rsid w:val="00A86F36"/>
    <w:rsid w:val="00A91DF7"/>
    <w:rsid w:val="00A92FB2"/>
    <w:rsid w:val="00A93C33"/>
    <w:rsid w:val="00A971B0"/>
    <w:rsid w:val="00AA16DF"/>
    <w:rsid w:val="00AA449C"/>
    <w:rsid w:val="00AA61C0"/>
    <w:rsid w:val="00AB471A"/>
    <w:rsid w:val="00AB5B1E"/>
    <w:rsid w:val="00AB65CE"/>
    <w:rsid w:val="00AC0F3E"/>
    <w:rsid w:val="00AD0298"/>
    <w:rsid w:val="00AD1889"/>
    <w:rsid w:val="00AD1D97"/>
    <w:rsid w:val="00AD4578"/>
    <w:rsid w:val="00AD55BA"/>
    <w:rsid w:val="00AE502F"/>
    <w:rsid w:val="00AE5B0F"/>
    <w:rsid w:val="00AE6699"/>
    <w:rsid w:val="00AE6E23"/>
    <w:rsid w:val="00AF0955"/>
    <w:rsid w:val="00AF271B"/>
    <w:rsid w:val="00AF45C2"/>
    <w:rsid w:val="00B006DC"/>
    <w:rsid w:val="00B0349E"/>
    <w:rsid w:val="00B05C90"/>
    <w:rsid w:val="00B11A0C"/>
    <w:rsid w:val="00B144A7"/>
    <w:rsid w:val="00B148DF"/>
    <w:rsid w:val="00B155BD"/>
    <w:rsid w:val="00B16010"/>
    <w:rsid w:val="00B17F3B"/>
    <w:rsid w:val="00B25120"/>
    <w:rsid w:val="00B277CA"/>
    <w:rsid w:val="00B40E7D"/>
    <w:rsid w:val="00B44289"/>
    <w:rsid w:val="00B44D6B"/>
    <w:rsid w:val="00B500D8"/>
    <w:rsid w:val="00B5038A"/>
    <w:rsid w:val="00B50426"/>
    <w:rsid w:val="00B51A15"/>
    <w:rsid w:val="00B52F95"/>
    <w:rsid w:val="00B532DF"/>
    <w:rsid w:val="00B54657"/>
    <w:rsid w:val="00B55A6E"/>
    <w:rsid w:val="00B56DFA"/>
    <w:rsid w:val="00B56FDA"/>
    <w:rsid w:val="00B57F57"/>
    <w:rsid w:val="00B6065C"/>
    <w:rsid w:val="00B60743"/>
    <w:rsid w:val="00B62A34"/>
    <w:rsid w:val="00B671AA"/>
    <w:rsid w:val="00B73653"/>
    <w:rsid w:val="00B778EF"/>
    <w:rsid w:val="00B83E93"/>
    <w:rsid w:val="00B85050"/>
    <w:rsid w:val="00B850B1"/>
    <w:rsid w:val="00B93B3E"/>
    <w:rsid w:val="00B94839"/>
    <w:rsid w:val="00B94C70"/>
    <w:rsid w:val="00B95CC9"/>
    <w:rsid w:val="00B9752F"/>
    <w:rsid w:val="00BA196F"/>
    <w:rsid w:val="00BA5ABF"/>
    <w:rsid w:val="00BB02E9"/>
    <w:rsid w:val="00BB1F78"/>
    <w:rsid w:val="00BB24E1"/>
    <w:rsid w:val="00BB4118"/>
    <w:rsid w:val="00BB5CA8"/>
    <w:rsid w:val="00BB6FFA"/>
    <w:rsid w:val="00BC1055"/>
    <w:rsid w:val="00BC2F06"/>
    <w:rsid w:val="00BC72EE"/>
    <w:rsid w:val="00BC7584"/>
    <w:rsid w:val="00BC7C54"/>
    <w:rsid w:val="00BC7C73"/>
    <w:rsid w:val="00BD078C"/>
    <w:rsid w:val="00BD2115"/>
    <w:rsid w:val="00BD54D6"/>
    <w:rsid w:val="00BE27F2"/>
    <w:rsid w:val="00BE5FAF"/>
    <w:rsid w:val="00BF116F"/>
    <w:rsid w:val="00BF2EE5"/>
    <w:rsid w:val="00BF4687"/>
    <w:rsid w:val="00BF7ECE"/>
    <w:rsid w:val="00C00F68"/>
    <w:rsid w:val="00C0174A"/>
    <w:rsid w:val="00C0240B"/>
    <w:rsid w:val="00C047F8"/>
    <w:rsid w:val="00C061E2"/>
    <w:rsid w:val="00C06B57"/>
    <w:rsid w:val="00C107B8"/>
    <w:rsid w:val="00C1401C"/>
    <w:rsid w:val="00C22920"/>
    <w:rsid w:val="00C240F3"/>
    <w:rsid w:val="00C2581A"/>
    <w:rsid w:val="00C26DAC"/>
    <w:rsid w:val="00C27891"/>
    <w:rsid w:val="00C3167C"/>
    <w:rsid w:val="00C321FA"/>
    <w:rsid w:val="00C340D1"/>
    <w:rsid w:val="00C375CD"/>
    <w:rsid w:val="00C37E9D"/>
    <w:rsid w:val="00C40044"/>
    <w:rsid w:val="00C422A1"/>
    <w:rsid w:val="00C43FE5"/>
    <w:rsid w:val="00C4443A"/>
    <w:rsid w:val="00C4526B"/>
    <w:rsid w:val="00C465F4"/>
    <w:rsid w:val="00C47997"/>
    <w:rsid w:val="00C5076E"/>
    <w:rsid w:val="00C5189E"/>
    <w:rsid w:val="00C543B2"/>
    <w:rsid w:val="00C56B26"/>
    <w:rsid w:val="00C56D9A"/>
    <w:rsid w:val="00C608A5"/>
    <w:rsid w:val="00C61D0F"/>
    <w:rsid w:val="00C63C75"/>
    <w:rsid w:val="00C66D46"/>
    <w:rsid w:val="00C67AFA"/>
    <w:rsid w:val="00C70C73"/>
    <w:rsid w:val="00C7138D"/>
    <w:rsid w:val="00C7224D"/>
    <w:rsid w:val="00C74049"/>
    <w:rsid w:val="00C85660"/>
    <w:rsid w:val="00C85FD4"/>
    <w:rsid w:val="00C904F0"/>
    <w:rsid w:val="00C925B7"/>
    <w:rsid w:val="00C92703"/>
    <w:rsid w:val="00C93D30"/>
    <w:rsid w:val="00C94711"/>
    <w:rsid w:val="00C9531C"/>
    <w:rsid w:val="00CA0434"/>
    <w:rsid w:val="00CA0A61"/>
    <w:rsid w:val="00CA170F"/>
    <w:rsid w:val="00CA2EC4"/>
    <w:rsid w:val="00CA6C0B"/>
    <w:rsid w:val="00CB6768"/>
    <w:rsid w:val="00CC0BA2"/>
    <w:rsid w:val="00CC10E3"/>
    <w:rsid w:val="00CC3D46"/>
    <w:rsid w:val="00CC3E36"/>
    <w:rsid w:val="00CCC8F7"/>
    <w:rsid w:val="00CD0F43"/>
    <w:rsid w:val="00CD1114"/>
    <w:rsid w:val="00CD4A73"/>
    <w:rsid w:val="00CE15F9"/>
    <w:rsid w:val="00CE21FB"/>
    <w:rsid w:val="00CE3FEA"/>
    <w:rsid w:val="00CE45CA"/>
    <w:rsid w:val="00CE4956"/>
    <w:rsid w:val="00CE4AF1"/>
    <w:rsid w:val="00CE53F2"/>
    <w:rsid w:val="00CF218F"/>
    <w:rsid w:val="00CF6A0F"/>
    <w:rsid w:val="00CF6BBD"/>
    <w:rsid w:val="00CF769D"/>
    <w:rsid w:val="00D00D4C"/>
    <w:rsid w:val="00D0118B"/>
    <w:rsid w:val="00D06FD4"/>
    <w:rsid w:val="00D07BEA"/>
    <w:rsid w:val="00D11E37"/>
    <w:rsid w:val="00D1349C"/>
    <w:rsid w:val="00D1609C"/>
    <w:rsid w:val="00D20717"/>
    <w:rsid w:val="00D222AD"/>
    <w:rsid w:val="00D22EC6"/>
    <w:rsid w:val="00D2455D"/>
    <w:rsid w:val="00D341A3"/>
    <w:rsid w:val="00D34DD0"/>
    <w:rsid w:val="00D37FE6"/>
    <w:rsid w:val="00D42393"/>
    <w:rsid w:val="00D45401"/>
    <w:rsid w:val="00D518D4"/>
    <w:rsid w:val="00D53BC4"/>
    <w:rsid w:val="00D56C73"/>
    <w:rsid w:val="00D6005D"/>
    <w:rsid w:val="00D61762"/>
    <w:rsid w:val="00D65203"/>
    <w:rsid w:val="00D6520C"/>
    <w:rsid w:val="00D66C9C"/>
    <w:rsid w:val="00D73911"/>
    <w:rsid w:val="00D747EE"/>
    <w:rsid w:val="00D80B07"/>
    <w:rsid w:val="00D827A7"/>
    <w:rsid w:val="00D83AF4"/>
    <w:rsid w:val="00D866E1"/>
    <w:rsid w:val="00D90D6C"/>
    <w:rsid w:val="00D911A6"/>
    <w:rsid w:val="00D94779"/>
    <w:rsid w:val="00D9513E"/>
    <w:rsid w:val="00D95282"/>
    <w:rsid w:val="00D957DB"/>
    <w:rsid w:val="00D967BD"/>
    <w:rsid w:val="00D97D16"/>
    <w:rsid w:val="00DA3572"/>
    <w:rsid w:val="00DA5D47"/>
    <w:rsid w:val="00DA7E9F"/>
    <w:rsid w:val="00DB032D"/>
    <w:rsid w:val="00DB37F5"/>
    <w:rsid w:val="00DC0419"/>
    <w:rsid w:val="00DC23C7"/>
    <w:rsid w:val="00DC3D8B"/>
    <w:rsid w:val="00DD3876"/>
    <w:rsid w:val="00DD423A"/>
    <w:rsid w:val="00DE356A"/>
    <w:rsid w:val="00DE7910"/>
    <w:rsid w:val="00DF09E6"/>
    <w:rsid w:val="00DF177B"/>
    <w:rsid w:val="00DF4401"/>
    <w:rsid w:val="00DF70A9"/>
    <w:rsid w:val="00E05958"/>
    <w:rsid w:val="00E0631E"/>
    <w:rsid w:val="00E06F34"/>
    <w:rsid w:val="00E07685"/>
    <w:rsid w:val="00E11D82"/>
    <w:rsid w:val="00E14BE1"/>
    <w:rsid w:val="00E1678D"/>
    <w:rsid w:val="00E21B0C"/>
    <w:rsid w:val="00E2262C"/>
    <w:rsid w:val="00E27282"/>
    <w:rsid w:val="00E3136F"/>
    <w:rsid w:val="00E3191D"/>
    <w:rsid w:val="00E336D4"/>
    <w:rsid w:val="00E353AD"/>
    <w:rsid w:val="00E4029C"/>
    <w:rsid w:val="00E40C69"/>
    <w:rsid w:val="00E42D69"/>
    <w:rsid w:val="00E44C54"/>
    <w:rsid w:val="00E46FF0"/>
    <w:rsid w:val="00E5011D"/>
    <w:rsid w:val="00E526B4"/>
    <w:rsid w:val="00E5399C"/>
    <w:rsid w:val="00E63C66"/>
    <w:rsid w:val="00E65823"/>
    <w:rsid w:val="00E66DE0"/>
    <w:rsid w:val="00E73C21"/>
    <w:rsid w:val="00EA2B00"/>
    <w:rsid w:val="00EA2CF4"/>
    <w:rsid w:val="00EB0E46"/>
    <w:rsid w:val="00EB69BB"/>
    <w:rsid w:val="00EC0E24"/>
    <w:rsid w:val="00EC4F30"/>
    <w:rsid w:val="00EC6A8F"/>
    <w:rsid w:val="00ED309D"/>
    <w:rsid w:val="00ED67BD"/>
    <w:rsid w:val="00EE2BB6"/>
    <w:rsid w:val="00EE4920"/>
    <w:rsid w:val="00EF0DEE"/>
    <w:rsid w:val="00EF13C8"/>
    <w:rsid w:val="00EF23B9"/>
    <w:rsid w:val="00EF28A6"/>
    <w:rsid w:val="00EF60F4"/>
    <w:rsid w:val="00F002C8"/>
    <w:rsid w:val="00F02953"/>
    <w:rsid w:val="00F06846"/>
    <w:rsid w:val="00F10FE4"/>
    <w:rsid w:val="00F14B0E"/>
    <w:rsid w:val="00F161EF"/>
    <w:rsid w:val="00F203DB"/>
    <w:rsid w:val="00F2478D"/>
    <w:rsid w:val="00F27F43"/>
    <w:rsid w:val="00F3722D"/>
    <w:rsid w:val="00F40B34"/>
    <w:rsid w:val="00F4151F"/>
    <w:rsid w:val="00F442FB"/>
    <w:rsid w:val="00F46122"/>
    <w:rsid w:val="00F52AD9"/>
    <w:rsid w:val="00F538EB"/>
    <w:rsid w:val="00F54F70"/>
    <w:rsid w:val="00F5674F"/>
    <w:rsid w:val="00F57C49"/>
    <w:rsid w:val="00F60D64"/>
    <w:rsid w:val="00F61C91"/>
    <w:rsid w:val="00F627DC"/>
    <w:rsid w:val="00F6327F"/>
    <w:rsid w:val="00F6720E"/>
    <w:rsid w:val="00F7317E"/>
    <w:rsid w:val="00F75B24"/>
    <w:rsid w:val="00F7619B"/>
    <w:rsid w:val="00F768EA"/>
    <w:rsid w:val="00F85C7F"/>
    <w:rsid w:val="00F97953"/>
    <w:rsid w:val="00FA0FB3"/>
    <w:rsid w:val="00FA3427"/>
    <w:rsid w:val="00FA688A"/>
    <w:rsid w:val="00FB0610"/>
    <w:rsid w:val="00FB0A48"/>
    <w:rsid w:val="00FB2C94"/>
    <w:rsid w:val="00FB2F5E"/>
    <w:rsid w:val="00FB3B19"/>
    <w:rsid w:val="00FB6CDD"/>
    <w:rsid w:val="00FC4A24"/>
    <w:rsid w:val="00FC5319"/>
    <w:rsid w:val="00FC56CE"/>
    <w:rsid w:val="00FD08BF"/>
    <w:rsid w:val="00FD1641"/>
    <w:rsid w:val="00FD177E"/>
    <w:rsid w:val="00FD1C5D"/>
    <w:rsid w:val="00FD37DF"/>
    <w:rsid w:val="00FE1028"/>
    <w:rsid w:val="00FE11A1"/>
    <w:rsid w:val="00FE3434"/>
    <w:rsid w:val="00FE695B"/>
    <w:rsid w:val="00FF2E74"/>
    <w:rsid w:val="00FF519C"/>
    <w:rsid w:val="00FF5298"/>
    <w:rsid w:val="00FF596A"/>
    <w:rsid w:val="00FF6100"/>
    <w:rsid w:val="00FF7897"/>
    <w:rsid w:val="0194C392"/>
    <w:rsid w:val="01B0A82C"/>
    <w:rsid w:val="02887198"/>
    <w:rsid w:val="030647F1"/>
    <w:rsid w:val="0323D02E"/>
    <w:rsid w:val="03ADCB2F"/>
    <w:rsid w:val="040B996F"/>
    <w:rsid w:val="043C3F71"/>
    <w:rsid w:val="047D6503"/>
    <w:rsid w:val="05B66372"/>
    <w:rsid w:val="063588F0"/>
    <w:rsid w:val="06481DEC"/>
    <w:rsid w:val="07B9268D"/>
    <w:rsid w:val="07BD85FE"/>
    <w:rsid w:val="07F9E09B"/>
    <w:rsid w:val="08456A60"/>
    <w:rsid w:val="092004F6"/>
    <w:rsid w:val="0965CDEC"/>
    <w:rsid w:val="0979DE3F"/>
    <w:rsid w:val="09E13AC1"/>
    <w:rsid w:val="0BC283B2"/>
    <w:rsid w:val="0C1C0389"/>
    <w:rsid w:val="0D664BD5"/>
    <w:rsid w:val="0E3F06D0"/>
    <w:rsid w:val="0ED446CB"/>
    <w:rsid w:val="0F893C2F"/>
    <w:rsid w:val="100DA553"/>
    <w:rsid w:val="10881DA2"/>
    <w:rsid w:val="10EF3055"/>
    <w:rsid w:val="11403405"/>
    <w:rsid w:val="128299ED"/>
    <w:rsid w:val="131CDF3C"/>
    <w:rsid w:val="1354E3CD"/>
    <w:rsid w:val="13B932C4"/>
    <w:rsid w:val="13F50E44"/>
    <w:rsid w:val="143D36ED"/>
    <w:rsid w:val="14F21E7C"/>
    <w:rsid w:val="1520653C"/>
    <w:rsid w:val="16DE36C9"/>
    <w:rsid w:val="1822A12B"/>
    <w:rsid w:val="18CA00E5"/>
    <w:rsid w:val="1910A810"/>
    <w:rsid w:val="194F654C"/>
    <w:rsid w:val="1ACCF1C9"/>
    <w:rsid w:val="1BCCD797"/>
    <w:rsid w:val="1D28631A"/>
    <w:rsid w:val="1DA81DD0"/>
    <w:rsid w:val="1DD80989"/>
    <w:rsid w:val="1E87F911"/>
    <w:rsid w:val="1ED4778F"/>
    <w:rsid w:val="1EE44A4B"/>
    <w:rsid w:val="1F390DBA"/>
    <w:rsid w:val="1F396746"/>
    <w:rsid w:val="1FDAD9D1"/>
    <w:rsid w:val="20682BFC"/>
    <w:rsid w:val="20EC4DA1"/>
    <w:rsid w:val="21B9FABD"/>
    <w:rsid w:val="220C1851"/>
    <w:rsid w:val="2229F8DD"/>
    <w:rsid w:val="22656776"/>
    <w:rsid w:val="22BB0B00"/>
    <w:rsid w:val="22C24EDA"/>
    <w:rsid w:val="22D78CDC"/>
    <w:rsid w:val="23190E1A"/>
    <w:rsid w:val="24359FCE"/>
    <w:rsid w:val="24B95543"/>
    <w:rsid w:val="254750DA"/>
    <w:rsid w:val="2589D695"/>
    <w:rsid w:val="258FD21F"/>
    <w:rsid w:val="26657582"/>
    <w:rsid w:val="26767DAD"/>
    <w:rsid w:val="26AC002D"/>
    <w:rsid w:val="271367F8"/>
    <w:rsid w:val="27455B90"/>
    <w:rsid w:val="279C5EFF"/>
    <w:rsid w:val="27C810C9"/>
    <w:rsid w:val="290A48C5"/>
    <w:rsid w:val="295AC515"/>
    <w:rsid w:val="29CD8A37"/>
    <w:rsid w:val="2A135B53"/>
    <w:rsid w:val="2A3AC0ED"/>
    <w:rsid w:val="2A634342"/>
    <w:rsid w:val="2AD2A822"/>
    <w:rsid w:val="2BBD8EDE"/>
    <w:rsid w:val="2BC214F7"/>
    <w:rsid w:val="2BFE684A"/>
    <w:rsid w:val="2C0E48F8"/>
    <w:rsid w:val="2D1B41B1"/>
    <w:rsid w:val="2D336638"/>
    <w:rsid w:val="2D517EC3"/>
    <w:rsid w:val="2DBEAF4C"/>
    <w:rsid w:val="2DFFDB0B"/>
    <w:rsid w:val="2E13D93C"/>
    <w:rsid w:val="2EB71212"/>
    <w:rsid w:val="2EC47E95"/>
    <w:rsid w:val="2F138709"/>
    <w:rsid w:val="2F675C3F"/>
    <w:rsid w:val="2FEE849C"/>
    <w:rsid w:val="30B1C54D"/>
    <w:rsid w:val="320BE47F"/>
    <w:rsid w:val="332AD02D"/>
    <w:rsid w:val="33A5B546"/>
    <w:rsid w:val="34027134"/>
    <w:rsid w:val="349949C2"/>
    <w:rsid w:val="34C6A08E"/>
    <w:rsid w:val="35B3D7E1"/>
    <w:rsid w:val="35D50593"/>
    <w:rsid w:val="35E7398B"/>
    <w:rsid w:val="366A8F13"/>
    <w:rsid w:val="36D1E3EB"/>
    <w:rsid w:val="374FA842"/>
    <w:rsid w:val="37568123"/>
    <w:rsid w:val="376A3BFD"/>
    <w:rsid w:val="376ACB49"/>
    <w:rsid w:val="380C79F1"/>
    <w:rsid w:val="384CC002"/>
    <w:rsid w:val="387ED4C1"/>
    <w:rsid w:val="38EB78A3"/>
    <w:rsid w:val="39128B96"/>
    <w:rsid w:val="396C1835"/>
    <w:rsid w:val="3988849E"/>
    <w:rsid w:val="399A11B1"/>
    <w:rsid w:val="39ABB084"/>
    <w:rsid w:val="3A09465C"/>
    <w:rsid w:val="3A0DB447"/>
    <w:rsid w:val="3A3ADF34"/>
    <w:rsid w:val="3A5A0F33"/>
    <w:rsid w:val="3AE3C4EF"/>
    <w:rsid w:val="3B32ADEA"/>
    <w:rsid w:val="3B35E212"/>
    <w:rsid w:val="3CD99FF9"/>
    <w:rsid w:val="3D4D77B2"/>
    <w:rsid w:val="3E5D69E4"/>
    <w:rsid w:val="3F988DB4"/>
    <w:rsid w:val="3FE6C638"/>
    <w:rsid w:val="40319823"/>
    <w:rsid w:val="41142C3D"/>
    <w:rsid w:val="4115D272"/>
    <w:rsid w:val="4188B877"/>
    <w:rsid w:val="41AD111C"/>
    <w:rsid w:val="41E776D5"/>
    <w:rsid w:val="424FB53A"/>
    <w:rsid w:val="42EE6505"/>
    <w:rsid w:val="4309C429"/>
    <w:rsid w:val="4312F4DD"/>
    <w:rsid w:val="4348E17D"/>
    <w:rsid w:val="439A9A4A"/>
    <w:rsid w:val="43C65A06"/>
    <w:rsid w:val="449B004F"/>
    <w:rsid w:val="44E4B1DE"/>
    <w:rsid w:val="45A49AA2"/>
    <w:rsid w:val="45C92A7A"/>
    <w:rsid w:val="45E51BA5"/>
    <w:rsid w:val="468BDB04"/>
    <w:rsid w:val="469EC5CC"/>
    <w:rsid w:val="46D8E00E"/>
    <w:rsid w:val="46F6907F"/>
    <w:rsid w:val="47B4552A"/>
    <w:rsid w:val="48FA6999"/>
    <w:rsid w:val="4954FB69"/>
    <w:rsid w:val="4AAB59BC"/>
    <w:rsid w:val="4AC052B6"/>
    <w:rsid w:val="4ADE1397"/>
    <w:rsid w:val="4B53F362"/>
    <w:rsid w:val="4B7212F2"/>
    <w:rsid w:val="4C1764BC"/>
    <w:rsid w:val="4C73B75A"/>
    <w:rsid w:val="4CEFC3C3"/>
    <w:rsid w:val="4D0DE353"/>
    <w:rsid w:val="4D5EB409"/>
    <w:rsid w:val="4D6CB839"/>
    <w:rsid w:val="4E496837"/>
    <w:rsid w:val="4EE0644E"/>
    <w:rsid w:val="4F974AEA"/>
    <w:rsid w:val="4FA0CD7D"/>
    <w:rsid w:val="4FBB91CD"/>
    <w:rsid w:val="50458415"/>
    <w:rsid w:val="51C334E6"/>
    <w:rsid w:val="52148BE1"/>
    <w:rsid w:val="52C20C6B"/>
    <w:rsid w:val="535F0547"/>
    <w:rsid w:val="5393E91F"/>
    <w:rsid w:val="54399FDD"/>
    <w:rsid w:val="5443D416"/>
    <w:rsid w:val="545DC615"/>
    <w:rsid w:val="56B4C599"/>
    <w:rsid w:val="5709E360"/>
    <w:rsid w:val="570D7586"/>
    <w:rsid w:val="58040E8A"/>
    <w:rsid w:val="5883B858"/>
    <w:rsid w:val="58CB4FA8"/>
    <w:rsid w:val="590D1100"/>
    <w:rsid w:val="592B19AC"/>
    <w:rsid w:val="5996E1DC"/>
    <w:rsid w:val="59EC665B"/>
    <w:rsid w:val="59F8498A"/>
    <w:rsid w:val="5AA58222"/>
    <w:rsid w:val="5ABA4427"/>
    <w:rsid w:val="5AFA9A2E"/>
    <w:rsid w:val="5B39ABF3"/>
    <w:rsid w:val="5B8836BC"/>
    <w:rsid w:val="5C6F429A"/>
    <w:rsid w:val="5C86A9E0"/>
    <w:rsid w:val="5CEE1BF2"/>
    <w:rsid w:val="5D1882EC"/>
    <w:rsid w:val="5D24071D"/>
    <w:rsid w:val="5E157E61"/>
    <w:rsid w:val="5E4366F1"/>
    <w:rsid w:val="5F940E57"/>
    <w:rsid w:val="606989D7"/>
    <w:rsid w:val="609A45FF"/>
    <w:rsid w:val="61206920"/>
    <w:rsid w:val="614B89F7"/>
    <w:rsid w:val="615EAD90"/>
    <w:rsid w:val="62055A38"/>
    <w:rsid w:val="62A601A4"/>
    <w:rsid w:val="62CD7558"/>
    <w:rsid w:val="6378353D"/>
    <w:rsid w:val="6425A731"/>
    <w:rsid w:val="64964E52"/>
    <w:rsid w:val="651D7BAE"/>
    <w:rsid w:val="6527429A"/>
    <w:rsid w:val="657D7FA9"/>
    <w:rsid w:val="66020AE7"/>
    <w:rsid w:val="67352D33"/>
    <w:rsid w:val="674522D5"/>
    <w:rsid w:val="674C5333"/>
    <w:rsid w:val="67A41DE6"/>
    <w:rsid w:val="67A5AB0C"/>
    <w:rsid w:val="67C4FD4D"/>
    <w:rsid w:val="67C8E18F"/>
    <w:rsid w:val="68210239"/>
    <w:rsid w:val="6830F913"/>
    <w:rsid w:val="687FA721"/>
    <w:rsid w:val="68957B3D"/>
    <w:rsid w:val="68B84084"/>
    <w:rsid w:val="6982F26A"/>
    <w:rsid w:val="698784F6"/>
    <w:rsid w:val="69936741"/>
    <w:rsid w:val="69C15D94"/>
    <w:rsid w:val="69F17C4D"/>
    <w:rsid w:val="6ACE9DCB"/>
    <w:rsid w:val="6AD6F656"/>
    <w:rsid w:val="6B050E08"/>
    <w:rsid w:val="6CDC6D4D"/>
    <w:rsid w:val="6CED934B"/>
    <w:rsid w:val="6E2B89C5"/>
    <w:rsid w:val="6E4C62AC"/>
    <w:rsid w:val="6E56638D"/>
    <w:rsid w:val="6EF084A6"/>
    <w:rsid w:val="6F39DC6E"/>
    <w:rsid w:val="6F739732"/>
    <w:rsid w:val="6F890387"/>
    <w:rsid w:val="6FD45FBA"/>
    <w:rsid w:val="701C472A"/>
    <w:rsid w:val="70AF815E"/>
    <w:rsid w:val="7105502A"/>
    <w:rsid w:val="710F6793"/>
    <w:rsid w:val="72A75665"/>
    <w:rsid w:val="74F1617D"/>
    <w:rsid w:val="7539F667"/>
    <w:rsid w:val="758998F9"/>
    <w:rsid w:val="75E104CE"/>
    <w:rsid w:val="7673AF81"/>
    <w:rsid w:val="767A63A9"/>
    <w:rsid w:val="7686B83F"/>
    <w:rsid w:val="76D5383B"/>
    <w:rsid w:val="7866A49A"/>
    <w:rsid w:val="7997AC1E"/>
    <w:rsid w:val="79B98ECA"/>
    <w:rsid w:val="7A4975CF"/>
    <w:rsid w:val="7A4F7736"/>
    <w:rsid w:val="7B0707D3"/>
    <w:rsid w:val="7B1A42D3"/>
    <w:rsid w:val="7B4720A2"/>
    <w:rsid w:val="7B6D8459"/>
    <w:rsid w:val="7C97066C"/>
    <w:rsid w:val="7D13A77E"/>
    <w:rsid w:val="7D361E8C"/>
    <w:rsid w:val="7D4FDF97"/>
    <w:rsid w:val="7E4B8E7B"/>
    <w:rsid w:val="7E8BAB69"/>
    <w:rsid w:val="7EAF77DF"/>
    <w:rsid w:val="7EC706D0"/>
    <w:rsid w:val="7F17C0EA"/>
    <w:rsid w:val="7F4721ED"/>
    <w:rsid w:val="7F907B82"/>
    <w:rsid w:val="7FD3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09C429"/>
  <w15:chartTrackingRefBased/>
  <w15:docId w15:val="{B072AC23-0791-4242-823D-934A390C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CommentReference">
    <w:name w:val="annotation reference"/>
    <w:basedOn w:val="DefaultParagraphFont"/>
    <w:uiPriority w:val="99"/>
    <w:semiHidden/>
    <w:unhideWhenUsed/>
    <w:rsid w:val="002D1405"/>
    <w:rPr>
      <w:sz w:val="16"/>
      <w:szCs w:val="16"/>
    </w:rPr>
  </w:style>
  <w:style w:type="paragraph" w:styleId="CommentText">
    <w:name w:val="annotation text"/>
    <w:basedOn w:val="Normal"/>
    <w:link w:val="CommentTextChar"/>
    <w:uiPriority w:val="99"/>
    <w:unhideWhenUsed/>
    <w:rsid w:val="002D1405"/>
    <w:pPr>
      <w:spacing w:line="240" w:lineRule="auto"/>
    </w:pPr>
    <w:rPr>
      <w:sz w:val="20"/>
      <w:szCs w:val="20"/>
    </w:rPr>
  </w:style>
  <w:style w:type="character" w:customStyle="1" w:styleId="CommentTextChar">
    <w:name w:val="Comment Text Char"/>
    <w:basedOn w:val="DefaultParagraphFont"/>
    <w:link w:val="CommentText"/>
    <w:uiPriority w:val="99"/>
    <w:rsid w:val="002D1405"/>
    <w:rPr>
      <w:sz w:val="20"/>
      <w:szCs w:val="20"/>
    </w:rPr>
  </w:style>
  <w:style w:type="paragraph" w:styleId="CommentSubject">
    <w:name w:val="annotation subject"/>
    <w:basedOn w:val="CommentText"/>
    <w:next w:val="CommentText"/>
    <w:link w:val="CommentSubjectChar"/>
    <w:uiPriority w:val="99"/>
    <w:semiHidden/>
    <w:unhideWhenUsed/>
    <w:rsid w:val="002D1405"/>
    <w:rPr>
      <w:b/>
      <w:bCs/>
    </w:rPr>
  </w:style>
  <w:style w:type="character" w:customStyle="1" w:styleId="CommentSubjectChar">
    <w:name w:val="Comment Subject Char"/>
    <w:basedOn w:val="CommentTextChar"/>
    <w:link w:val="CommentSubject"/>
    <w:uiPriority w:val="99"/>
    <w:semiHidden/>
    <w:rsid w:val="002D1405"/>
    <w:rPr>
      <w:b/>
      <w:bCs/>
      <w:sz w:val="20"/>
      <w:szCs w:val="20"/>
    </w:rPr>
  </w:style>
  <w:style w:type="paragraph" w:styleId="Bibliography">
    <w:name w:val="Bibliography"/>
    <w:basedOn w:val="Normal"/>
    <w:next w:val="Normal"/>
    <w:uiPriority w:val="37"/>
    <w:unhideWhenUsed/>
    <w:rsid w:val="00E5399C"/>
    <w:pPr>
      <w:spacing w:after="0" w:line="480" w:lineRule="auto"/>
      <w:ind w:left="720" w:hanging="720"/>
    </w:pPr>
  </w:style>
  <w:style w:type="paragraph" w:styleId="Revision">
    <w:name w:val="Revision"/>
    <w:hidden/>
    <w:uiPriority w:val="99"/>
    <w:semiHidden/>
    <w:rsid w:val="005E0207"/>
    <w:pPr>
      <w:spacing w:after="0" w:line="240" w:lineRule="auto"/>
    </w:pPr>
  </w:style>
  <w:style w:type="paragraph" w:styleId="Header">
    <w:name w:val="header"/>
    <w:basedOn w:val="Normal"/>
    <w:link w:val="HeaderChar"/>
    <w:uiPriority w:val="99"/>
    <w:unhideWhenUsed/>
    <w:rsid w:val="00D4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401"/>
  </w:style>
  <w:style w:type="paragraph" w:styleId="Footer">
    <w:name w:val="footer"/>
    <w:basedOn w:val="Normal"/>
    <w:link w:val="FooterChar"/>
    <w:uiPriority w:val="99"/>
    <w:unhideWhenUsed/>
    <w:rsid w:val="00D4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401"/>
  </w:style>
  <w:style w:type="paragraph" w:styleId="HTMLPreformatted">
    <w:name w:val="HTML Preformatted"/>
    <w:basedOn w:val="Normal"/>
    <w:link w:val="HTMLPreformattedChar"/>
    <w:uiPriority w:val="99"/>
    <w:semiHidden/>
    <w:unhideWhenUsed/>
    <w:rsid w:val="00152A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52A07"/>
    <w:rPr>
      <w:rFonts w:ascii="Consolas" w:hAnsi="Consolas"/>
      <w:sz w:val="20"/>
      <w:szCs w:val="20"/>
    </w:rPr>
  </w:style>
  <w:style w:type="paragraph" w:styleId="NormalWeb">
    <w:name w:val="Normal (Web)"/>
    <w:basedOn w:val="Normal"/>
    <w:uiPriority w:val="99"/>
    <w:semiHidden/>
    <w:unhideWhenUsed/>
    <w:rsid w:val="0038303C"/>
    <w:rPr>
      <w:rFonts w:ascii="Times New Roman" w:hAnsi="Times New Roman" w:cs="Times New Roman"/>
    </w:rPr>
  </w:style>
  <w:style w:type="character" w:styleId="UnresolvedMention">
    <w:name w:val="Unresolved Mention"/>
    <w:basedOn w:val="DefaultParagraphFont"/>
    <w:uiPriority w:val="99"/>
    <w:semiHidden/>
    <w:unhideWhenUsed/>
    <w:rsid w:val="00253ABA"/>
    <w:rPr>
      <w:color w:val="605E5C"/>
      <w:shd w:val="clear" w:color="auto" w:fill="E1DFDD"/>
    </w:rPr>
  </w:style>
  <w:style w:type="paragraph" w:styleId="ListParagraph">
    <w:name w:val="List Paragraph"/>
    <w:basedOn w:val="Normal"/>
    <w:uiPriority w:val="34"/>
    <w:qFormat/>
    <w:rsid w:val="00B0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86417">
      <w:bodyDiv w:val="1"/>
      <w:marLeft w:val="0"/>
      <w:marRight w:val="0"/>
      <w:marTop w:val="0"/>
      <w:marBottom w:val="0"/>
      <w:divBdr>
        <w:top w:val="none" w:sz="0" w:space="0" w:color="auto"/>
        <w:left w:val="none" w:sz="0" w:space="0" w:color="auto"/>
        <w:bottom w:val="none" w:sz="0" w:space="0" w:color="auto"/>
        <w:right w:val="none" w:sz="0" w:space="0" w:color="auto"/>
      </w:divBdr>
    </w:div>
    <w:div w:id="467941632">
      <w:bodyDiv w:val="1"/>
      <w:marLeft w:val="0"/>
      <w:marRight w:val="0"/>
      <w:marTop w:val="0"/>
      <w:marBottom w:val="0"/>
      <w:divBdr>
        <w:top w:val="none" w:sz="0" w:space="0" w:color="auto"/>
        <w:left w:val="none" w:sz="0" w:space="0" w:color="auto"/>
        <w:bottom w:val="none" w:sz="0" w:space="0" w:color="auto"/>
        <w:right w:val="none" w:sz="0" w:space="0" w:color="auto"/>
      </w:divBdr>
    </w:div>
    <w:div w:id="504245590">
      <w:bodyDiv w:val="1"/>
      <w:marLeft w:val="0"/>
      <w:marRight w:val="0"/>
      <w:marTop w:val="0"/>
      <w:marBottom w:val="0"/>
      <w:divBdr>
        <w:top w:val="none" w:sz="0" w:space="0" w:color="auto"/>
        <w:left w:val="none" w:sz="0" w:space="0" w:color="auto"/>
        <w:bottom w:val="none" w:sz="0" w:space="0" w:color="auto"/>
        <w:right w:val="none" w:sz="0" w:space="0" w:color="auto"/>
      </w:divBdr>
    </w:div>
    <w:div w:id="552810072">
      <w:bodyDiv w:val="1"/>
      <w:marLeft w:val="0"/>
      <w:marRight w:val="0"/>
      <w:marTop w:val="0"/>
      <w:marBottom w:val="0"/>
      <w:divBdr>
        <w:top w:val="none" w:sz="0" w:space="0" w:color="auto"/>
        <w:left w:val="none" w:sz="0" w:space="0" w:color="auto"/>
        <w:bottom w:val="none" w:sz="0" w:space="0" w:color="auto"/>
        <w:right w:val="none" w:sz="0" w:space="0" w:color="auto"/>
      </w:divBdr>
    </w:div>
    <w:div w:id="570584124">
      <w:bodyDiv w:val="1"/>
      <w:marLeft w:val="0"/>
      <w:marRight w:val="0"/>
      <w:marTop w:val="0"/>
      <w:marBottom w:val="0"/>
      <w:divBdr>
        <w:top w:val="none" w:sz="0" w:space="0" w:color="auto"/>
        <w:left w:val="none" w:sz="0" w:space="0" w:color="auto"/>
        <w:bottom w:val="none" w:sz="0" w:space="0" w:color="auto"/>
        <w:right w:val="none" w:sz="0" w:space="0" w:color="auto"/>
      </w:divBdr>
    </w:div>
    <w:div w:id="572470412">
      <w:bodyDiv w:val="1"/>
      <w:marLeft w:val="0"/>
      <w:marRight w:val="0"/>
      <w:marTop w:val="0"/>
      <w:marBottom w:val="0"/>
      <w:divBdr>
        <w:top w:val="none" w:sz="0" w:space="0" w:color="auto"/>
        <w:left w:val="none" w:sz="0" w:space="0" w:color="auto"/>
        <w:bottom w:val="none" w:sz="0" w:space="0" w:color="auto"/>
        <w:right w:val="none" w:sz="0" w:space="0" w:color="auto"/>
      </w:divBdr>
    </w:div>
    <w:div w:id="733240216">
      <w:bodyDiv w:val="1"/>
      <w:marLeft w:val="0"/>
      <w:marRight w:val="0"/>
      <w:marTop w:val="0"/>
      <w:marBottom w:val="0"/>
      <w:divBdr>
        <w:top w:val="none" w:sz="0" w:space="0" w:color="auto"/>
        <w:left w:val="none" w:sz="0" w:space="0" w:color="auto"/>
        <w:bottom w:val="none" w:sz="0" w:space="0" w:color="auto"/>
        <w:right w:val="none" w:sz="0" w:space="0" w:color="auto"/>
      </w:divBdr>
    </w:div>
    <w:div w:id="801772008">
      <w:bodyDiv w:val="1"/>
      <w:marLeft w:val="0"/>
      <w:marRight w:val="0"/>
      <w:marTop w:val="0"/>
      <w:marBottom w:val="0"/>
      <w:divBdr>
        <w:top w:val="none" w:sz="0" w:space="0" w:color="auto"/>
        <w:left w:val="none" w:sz="0" w:space="0" w:color="auto"/>
        <w:bottom w:val="none" w:sz="0" w:space="0" w:color="auto"/>
        <w:right w:val="none" w:sz="0" w:space="0" w:color="auto"/>
      </w:divBdr>
    </w:div>
    <w:div w:id="988555921">
      <w:bodyDiv w:val="1"/>
      <w:marLeft w:val="0"/>
      <w:marRight w:val="0"/>
      <w:marTop w:val="0"/>
      <w:marBottom w:val="0"/>
      <w:divBdr>
        <w:top w:val="none" w:sz="0" w:space="0" w:color="auto"/>
        <w:left w:val="none" w:sz="0" w:space="0" w:color="auto"/>
        <w:bottom w:val="none" w:sz="0" w:space="0" w:color="auto"/>
        <w:right w:val="none" w:sz="0" w:space="0" w:color="auto"/>
      </w:divBdr>
    </w:div>
    <w:div w:id="1019157954">
      <w:bodyDiv w:val="1"/>
      <w:marLeft w:val="0"/>
      <w:marRight w:val="0"/>
      <w:marTop w:val="0"/>
      <w:marBottom w:val="0"/>
      <w:divBdr>
        <w:top w:val="none" w:sz="0" w:space="0" w:color="auto"/>
        <w:left w:val="none" w:sz="0" w:space="0" w:color="auto"/>
        <w:bottom w:val="none" w:sz="0" w:space="0" w:color="auto"/>
        <w:right w:val="none" w:sz="0" w:space="0" w:color="auto"/>
      </w:divBdr>
    </w:div>
    <w:div w:id="1272006215">
      <w:bodyDiv w:val="1"/>
      <w:marLeft w:val="0"/>
      <w:marRight w:val="0"/>
      <w:marTop w:val="0"/>
      <w:marBottom w:val="0"/>
      <w:divBdr>
        <w:top w:val="none" w:sz="0" w:space="0" w:color="auto"/>
        <w:left w:val="none" w:sz="0" w:space="0" w:color="auto"/>
        <w:bottom w:val="none" w:sz="0" w:space="0" w:color="auto"/>
        <w:right w:val="none" w:sz="0" w:space="0" w:color="auto"/>
      </w:divBdr>
    </w:div>
    <w:div w:id="1395812328">
      <w:bodyDiv w:val="1"/>
      <w:marLeft w:val="0"/>
      <w:marRight w:val="0"/>
      <w:marTop w:val="0"/>
      <w:marBottom w:val="0"/>
      <w:divBdr>
        <w:top w:val="none" w:sz="0" w:space="0" w:color="auto"/>
        <w:left w:val="none" w:sz="0" w:space="0" w:color="auto"/>
        <w:bottom w:val="none" w:sz="0" w:space="0" w:color="auto"/>
        <w:right w:val="none" w:sz="0" w:space="0" w:color="auto"/>
      </w:divBdr>
    </w:div>
    <w:div w:id="1465537101">
      <w:bodyDiv w:val="1"/>
      <w:marLeft w:val="0"/>
      <w:marRight w:val="0"/>
      <w:marTop w:val="0"/>
      <w:marBottom w:val="0"/>
      <w:divBdr>
        <w:top w:val="none" w:sz="0" w:space="0" w:color="auto"/>
        <w:left w:val="none" w:sz="0" w:space="0" w:color="auto"/>
        <w:bottom w:val="none" w:sz="0" w:space="0" w:color="auto"/>
        <w:right w:val="none" w:sz="0" w:space="0" w:color="auto"/>
      </w:divBdr>
    </w:div>
    <w:div w:id="1609969473">
      <w:bodyDiv w:val="1"/>
      <w:marLeft w:val="0"/>
      <w:marRight w:val="0"/>
      <w:marTop w:val="0"/>
      <w:marBottom w:val="0"/>
      <w:divBdr>
        <w:top w:val="none" w:sz="0" w:space="0" w:color="auto"/>
        <w:left w:val="none" w:sz="0" w:space="0" w:color="auto"/>
        <w:bottom w:val="none" w:sz="0" w:space="0" w:color="auto"/>
        <w:right w:val="none" w:sz="0" w:space="0" w:color="auto"/>
      </w:divBdr>
    </w:div>
    <w:div w:id="1674258826">
      <w:bodyDiv w:val="1"/>
      <w:marLeft w:val="0"/>
      <w:marRight w:val="0"/>
      <w:marTop w:val="0"/>
      <w:marBottom w:val="0"/>
      <w:divBdr>
        <w:top w:val="none" w:sz="0" w:space="0" w:color="auto"/>
        <w:left w:val="none" w:sz="0" w:space="0" w:color="auto"/>
        <w:bottom w:val="none" w:sz="0" w:space="0" w:color="auto"/>
        <w:right w:val="none" w:sz="0" w:space="0" w:color="auto"/>
      </w:divBdr>
    </w:div>
    <w:div w:id="17819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is.ipums.org/nh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2E3BB-6EA8-4B5F-B719-321490A6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16353</Words>
  <Characters>95993</Characters>
  <Application>Microsoft Office Word</Application>
  <DocSecurity>0</DocSecurity>
  <Lines>3428</Lines>
  <Paragraphs>1970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Bramajo, Octavio N.</dc:creator>
  <cp:keywords/>
  <dc:description/>
  <cp:lastModifiedBy>Bramajo, Octavio N.</cp:lastModifiedBy>
  <cp:revision>3</cp:revision>
  <cp:lastPrinted>2024-09-17T19:52:00Z</cp:lastPrinted>
  <dcterms:created xsi:type="dcterms:W3CDTF">2024-10-29T17:25:00Z</dcterms:created>
  <dcterms:modified xsi:type="dcterms:W3CDTF">2024-10-29T17:25:00Z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dcb08e5c3b9378f480d7d2b320745a02962ad660d37b986febbea13f3e40ae3b</vt:lpwstr>
  </property>
  <property fmtid="{D5CDD505-2E9C-101B-9397-08002B2CF9AE}" pid="3" name="ZOTERO_PREF_1">
    <vt:lpwstr>&lt;data data-version="3" zotero-version="6.0.36"&gt;&lt;session id="528t57zA"/&gt;&lt;style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