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color w:val="auto"/>
          <w:sz w:val="32"/>
          <w:szCs w:val="32"/>
          <w:highlight w:val="none"/>
        </w:rPr>
      </w:pPr>
      <w:r>
        <w:rPr>
          <w:rFonts w:asciiTheme="minorEastAsia" w:hAnsiTheme="minorEastAsia"/>
          <w:b/>
          <w:color w:val="auto"/>
          <w:sz w:val="32"/>
          <w:szCs w:val="32"/>
          <w:highlight w:val="none"/>
        </w:rPr>
        <w:t>项目需求书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/>
          <w:b/>
          <w:bCs/>
          <w:color w:val="auto"/>
          <w:sz w:val="24"/>
          <w:szCs w:val="24"/>
          <w:highlight w:val="none"/>
          <w:lang w:val="en-US" w:eastAsia="zh-CN"/>
        </w:rPr>
        <w:t>项目概况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default" w:asciiTheme="minorEastAsia" w:hAnsiTheme="minorEastAsia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auto"/>
          <w:sz w:val="24"/>
          <w:szCs w:val="24"/>
          <w:highlight w:val="none"/>
          <w:lang w:val="en-US" w:eastAsia="zh-CN"/>
        </w:rPr>
        <w:t>开发区公寓将提供</w:t>
      </w:r>
      <w:r>
        <w:rPr>
          <w:rFonts w:hint="eastAsia" w:asciiTheme="minorEastAsia" w:hAnsiTheme="minorEastAsia"/>
          <w:b w:val="0"/>
          <w:bCs w:val="0"/>
          <w:color w:val="auto"/>
          <w:spacing w:val="-6"/>
          <w:kern w:val="0"/>
          <w:sz w:val="24"/>
          <w:szCs w:val="24"/>
          <w:highlight w:val="none"/>
          <w:lang w:eastAsia="zh-CN"/>
        </w:rPr>
        <w:t>无线网络，</w:t>
      </w:r>
      <w:r>
        <w:rPr>
          <w:rFonts w:hint="eastAsia" w:asciiTheme="minorEastAsia" w:hAnsiTheme="minorEastAsia"/>
          <w:b w:val="0"/>
          <w:bCs w:val="0"/>
          <w:color w:val="auto"/>
          <w:spacing w:val="-6"/>
          <w:kern w:val="0"/>
          <w:sz w:val="24"/>
          <w:szCs w:val="24"/>
          <w:highlight w:val="none"/>
          <w:lang w:val="en-US" w:eastAsia="zh-CN"/>
        </w:rPr>
        <w:t>免费提供给在住员工使用。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Theme="minorEastAsia" w:hAnsiTheme="minor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/>
          <w:b/>
          <w:bCs/>
          <w:color w:val="auto"/>
          <w:sz w:val="24"/>
          <w:szCs w:val="24"/>
          <w:highlight w:val="none"/>
          <w:lang w:val="en-US" w:eastAsia="zh-CN"/>
        </w:rPr>
        <w:t>采购内容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  <w:t>为</w:t>
      </w:r>
      <w:r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eastAsia="zh-CN"/>
        </w:rPr>
        <w:t>开发区公寓</w:t>
      </w:r>
      <w:r>
        <w:rPr>
          <w:rFonts w:hint="eastAsia" w:asciiTheme="minorEastAsia" w:hAnsiTheme="minorEastAsia"/>
          <w:color w:val="auto"/>
          <w:sz w:val="24"/>
          <w:szCs w:val="24"/>
          <w:highlight w:val="none"/>
          <w:lang w:val="en-US" w:eastAsia="zh-CN"/>
        </w:rPr>
        <w:t>提供</w:t>
      </w:r>
      <w:r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eastAsia="zh-CN"/>
        </w:rPr>
        <w:t>无线网络出口</w:t>
      </w:r>
      <w:r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val="en-US" w:eastAsia="zh-CN"/>
        </w:rPr>
        <w:t>服务。</w:t>
      </w:r>
    </w:p>
    <w:tbl>
      <w:tblPr>
        <w:tblStyle w:val="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806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rPr>
                <w:rFonts w:ascii="宋体" w:hAnsi="宋体" w:eastAsia="宋体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2806" w:type="dxa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highlight w:val="none"/>
                <w:lang w:val="zh-CN"/>
              </w:rPr>
              <w:t>产品数量（兆）</w:t>
            </w:r>
          </w:p>
        </w:tc>
        <w:tc>
          <w:tcPr>
            <w:tcW w:w="4140" w:type="dxa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szCs w:val="24"/>
                <w:highlight w:val="none"/>
                <w:lang w:val="en-US" w:eastAsia="zh-CN"/>
              </w:rPr>
              <w:t>服务</w:t>
            </w:r>
            <w:r>
              <w:rPr>
                <w:rFonts w:hint="eastAsia" w:ascii="宋体" w:hAnsi="宋体" w:eastAsia="宋体"/>
                <w:color w:val="auto"/>
                <w:sz w:val="24"/>
                <w:szCs w:val="24"/>
                <w:highlight w:val="none"/>
              </w:rPr>
              <w:t>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宋体" w:hAnsi="宋体" w:eastAsia="宋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szCs w:val="24"/>
                <w:highlight w:val="none"/>
                <w:lang w:val="en-US" w:eastAsia="zh-CN"/>
              </w:rPr>
              <w:t>第一包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szCs w:val="24"/>
                <w:highlight w:val="none"/>
              </w:rPr>
              <w:t>4500M互联网出口</w:t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color w:val="auto"/>
                <w:sz w:val="24"/>
                <w:szCs w:val="24"/>
                <w:highlight w:val="none"/>
              </w:rPr>
              <w:t>2019年7月1日-2019年12月31日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szCs w:val="24"/>
                <w:highlight w:val="none"/>
                <w:lang w:val="en-US" w:eastAsia="zh-CN"/>
              </w:rPr>
              <w:t>第二包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szCs w:val="24"/>
                <w:highlight w:val="none"/>
              </w:rPr>
              <w:t>4400M互联网出口</w:t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color w:val="auto"/>
                <w:sz w:val="24"/>
                <w:szCs w:val="24"/>
                <w:highlight w:val="none"/>
              </w:rPr>
              <w:t>2019年7月1日-2019年12月31日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val="en-US" w:eastAsia="zh-CN"/>
        </w:rPr>
        <w:t>第一包</w:t>
      </w:r>
      <w:r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eastAsia="zh-CN"/>
        </w:rPr>
        <w:t>开发区</w:t>
      </w:r>
      <w:r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val="en-US" w:eastAsia="zh-CN"/>
        </w:rPr>
        <w:t>45栋</w:t>
      </w:r>
      <w:r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eastAsia="zh-CN"/>
        </w:rPr>
        <w:t>公寓</w:t>
      </w:r>
      <w:r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val="en-US" w:eastAsia="zh-CN"/>
        </w:rPr>
        <w:t>明细：</w:t>
      </w:r>
    </w:p>
    <w:tbl>
      <w:tblPr>
        <w:tblStyle w:val="2"/>
        <w:tblW w:w="42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1717"/>
        <w:gridCol w:w="160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890" w:type="dxa"/>
            <w:tcBorders>
              <w:top w:val="double" w:color="auto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序号</w:t>
            </w:r>
          </w:p>
        </w:tc>
        <w:tc>
          <w:tcPr>
            <w:tcW w:w="1717" w:type="dxa"/>
            <w:tcBorders>
              <w:top w:val="doub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公寓名称</w:t>
            </w:r>
          </w:p>
        </w:tc>
        <w:tc>
          <w:tcPr>
            <w:tcW w:w="1603" w:type="dxa"/>
            <w:tcBorders>
              <w:top w:val="double" w:color="auto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覆盖楼栋数量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1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天滨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2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天渤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3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天鸿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4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天润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5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天翔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6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武清公寓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doub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doub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合计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45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val="en-US" w:eastAsia="zh-CN"/>
        </w:rPr>
        <w:t>第二包</w:t>
      </w:r>
      <w:r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eastAsia="zh-CN"/>
        </w:rPr>
        <w:t>开发区</w:t>
      </w:r>
      <w:r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val="en-US" w:eastAsia="zh-CN"/>
        </w:rPr>
        <w:t>44栋</w:t>
      </w:r>
      <w:r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eastAsia="zh-CN"/>
        </w:rPr>
        <w:t>公寓</w:t>
      </w:r>
      <w:r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val="en-US" w:eastAsia="zh-CN"/>
        </w:rPr>
        <w:t>明细：</w:t>
      </w:r>
    </w:p>
    <w:tbl>
      <w:tblPr>
        <w:tblStyle w:val="2"/>
        <w:tblW w:w="42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1717"/>
        <w:gridCol w:w="160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890" w:type="dxa"/>
            <w:tcBorders>
              <w:top w:val="double" w:color="auto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序号</w:t>
            </w:r>
          </w:p>
        </w:tc>
        <w:tc>
          <w:tcPr>
            <w:tcW w:w="1717" w:type="dxa"/>
            <w:tcBorders>
              <w:top w:val="doub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公寓名称</w:t>
            </w:r>
          </w:p>
        </w:tc>
        <w:tc>
          <w:tcPr>
            <w:tcW w:w="1603" w:type="dxa"/>
            <w:tcBorders>
              <w:top w:val="double" w:color="auto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覆盖楼栋数量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1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瑞达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2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瑞嘉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3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瑞馨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4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天富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5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西青微电子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6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北区新蓝领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7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大火箭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  <w:t>8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北区旧蓝领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auto"/>
                <w:highlight w:val="none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890" w:type="dxa"/>
            <w:tcBorders>
              <w:top w:val="single" w:color="000000" w:sz="4" w:space="0"/>
              <w:left w:val="double" w:color="auto" w:sz="4" w:space="0"/>
              <w:bottom w:val="doub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4"/>
                <w:highlight w:val="none"/>
              </w:rPr>
            </w:pP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doub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合计</w:t>
            </w:r>
          </w:p>
        </w:tc>
        <w:tc>
          <w:tcPr>
            <w:tcW w:w="1603" w:type="dxa"/>
            <w:tcBorders>
              <w:top w:val="single" w:color="000000" w:sz="4" w:space="0"/>
              <w:left w:val="single" w:color="000000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highlight w:val="none"/>
                <w:lang w:bidi="ar"/>
              </w:rPr>
              <w:t>44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/>
          <w:color w:val="auto"/>
          <w:spacing w:val="-6"/>
          <w:kern w:val="0"/>
          <w:sz w:val="24"/>
          <w:szCs w:val="24"/>
          <w:highlight w:val="none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eastAsiaTheme="minor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/>
          <w:b/>
          <w:bCs/>
          <w:color w:val="auto"/>
          <w:sz w:val="24"/>
          <w:szCs w:val="24"/>
          <w:highlight w:val="none"/>
        </w:rPr>
        <w:t>二、</w:t>
      </w:r>
      <w:r>
        <w:rPr>
          <w:rFonts w:hint="eastAsia" w:asciiTheme="minorEastAsia" w:hAnsiTheme="minorEastAsia"/>
          <w:b/>
          <w:bCs/>
          <w:color w:val="auto"/>
          <w:sz w:val="24"/>
          <w:szCs w:val="24"/>
          <w:highlight w:val="none"/>
          <w:lang w:val="en-US" w:eastAsia="zh-CN"/>
        </w:rPr>
        <w:t>技术要求</w:t>
      </w:r>
    </w:p>
    <w:p>
      <w:pPr>
        <w:bidi w:val="0"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1、互联网出口的技术要求：</w:t>
      </w:r>
    </w:p>
    <w:p>
      <w:pPr>
        <w:numPr>
          <w:ilvl w:val="0"/>
          <w:numId w:val="2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提供的互联网出口为采购人独享带宽（不允许共享带宽），且不包含任何缓存、CDN等内网流量；</w:t>
      </w:r>
    </w:p>
    <w:p>
      <w:pPr>
        <w:numPr>
          <w:ilvl w:val="0"/>
          <w:numId w:val="2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出口链路测试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不符合招标文件要求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（测试要求见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第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3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条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，采购人有权无条件终止合同，履约保证金不予退还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；</w:t>
      </w:r>
    </w:p>
    <w:p>
      <w:pPr>
        <w:numPr>
          <w:ilvl w:val="0"/>
          <w:numId w:val="2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每包互联网出口需万兆单一端口传输，不允许多端口绑定；</w:t>
      </w:r>
    </w:p>
    <w:p>
      <w:pPr>
        <w:numPr>
          <w:ilvl w:val="0"/>
          <w:numId w:val="2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从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骨干设备至采购人边界设备的互联网出口线路上，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网络的数据及传输设备数量不得超过2台，IP路由的跳数不得超过2跳；</w:t>
      </w:r>
    </w:p>
    <w:p>
      <w:pPr>
        <w:numPr>
          <w:ilvl w:val="0"/>
          <w:numId w:val="2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接入点至采购人的链路为全程物理双路由的链路；</w:t>
      </w:r>
    </w:p>
    <w:p>
      <w:pPr>
        <w:numPr>
          <w:ilvl w:val="0"/>
          <w:numId w:val="2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需提供两个不同运营商的互联网出口进行测试，并明确其中一个为主出口，另一个为备用出口；</w:t>
      </w:r>
    </w:p>
    <w:p>
      <w:pPr>
        <w:numPr>
          <w:ilvl w:val="0"/>
          <w:numId w:val="2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需提供可以长期稳定使用256个连续真实公网IPV4地址供采购人使用，并提供后期ICP备案支持；</w:t>
      </w:r>
    </w:p>
    <w:p>
      <w:pPr>
        <w:numPr>
          <w:ilvl w:val="0"/>
          <w:numId w:val="2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须提供运营商设备端和提供商设备互联的IP，且保证运营商和提供商互联的线路或相关设备故障时，此IP路由不可达；</w:t>
      </w:r>
    </w:p>
    <w:p>
      <w:pPr>
        <w:numPr>
          <w:ilvl w:val="0"/>
          <w:numId w:val="2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从运营商至采购人的IP传输路径中不得使用IP地址隐藏、重定向、劫持、广告推送等技术，不得使用任何VPN技术，IP数据流的来回路径必须一致且只有一条路径。不得含有WEB、P2P、视频的缓存或CDN等内网应用；</w:t>
      </w:r>
    </w:p>
    <w:p>
      <w:pPr>
        <w:numPr>
          <w:ilvl w:val="0"/>
          <w:numId w:val="2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所提供的出口不允许存在任何形式的NAT；</w:t>
      </w:r>
    </w:p>
    <w:p>
      <w:pPr>
        <w:numPr>
          <w:ilvl w:val="0"/>
          <w:numId w:val="2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所提供出口须双向对称，上行和下行带宽可使用率不得低于80%；</w:t>
      </w:r>
    </w:p>
    <w:p>
      <w:pPr>
        <w:numPr>
          <w:ilvl w:val="0"/>
          <w:numId w:val="2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须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提供相关出口至采购人机房的网络结构图，并描述实现保障采购人带宽质量的技术方法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2、互联网出口故障及日常维护要求：</w:t>
      </w:r>
    </w:p>
    <w:p>
      <w:pPr>
        <w:numPr>
          <w:ilvl w:val="0"/>
          <w:numId w:val="3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故障发生后（以采购人的业务中断时间为准）10分钟内，电话通知采购人。故障恢复后的30分钟内，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以电话、传真或邮件的方式通知采购人故障恢复，并明确是否为临时恢复，是否已经恢复到故障前的状态。超过30分钟的，采购人以收到通知的时间为故障恢复时间；</w:t>
      </w:r>
    </w:p>
    <w:p>
      <w:pPr>
        <w:numPr>
          <w:ilvl w:val="0"/>
          <w:numId w:val="3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主出口出现故障后，需自动切换至备用出口，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须在备用出口使用48小时内恢复主出口；</w:t>
      </w:r>
    </w:p>
    <w:p>
      <w:pPr>
        <w:numPr>
          <w:ilvl w:val="0"/>
          <w:numId w:val="3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故障恢复后的24小时之内提供故障报告。内容须包括但不限于：故障处理人，故障发生的时间，故障原因，解决办法，处理结果，恢复时间，改善措施等等；</w:t>
      </w:r>
    </w:p>
    <w:p>
      <w:pPr>
        <w:numPr>
          <w:ilvl w:val="0"/>
          <w:numId w:val="3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传输链路（包括测试链路）的成本及维护工作由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负责，采购人的出口路由器为双方维护界面的划分节点；</w:t>
      </w:r>
    </w:p>
    <w:p>
      <w:pPr>
        <w:numPr>
          <w:ilvl w:val="0"/>
          <w:numId w:val="3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割接要求：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提前7个工作日发割接申请单；割接时间：周二到周五的2:00-6:00；采购人决定是否允许割接；如遇到不可抗力因素或紧急事件需对链路进行割接或调整，须注明详细的原因和地点，经采购人核实同意后可缩短割接单的申请时间。未经采购人同意的割接视为链路中断故障；</w:t>
      </w:r>
    </w:p>
    <w:p>
      <w:pPr>
        <w:numPr>
          <w:ilvl w:val="0"/>
          <w:numId w:val="3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更换IP：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须提前20个工作日通知并提供新的IP地址，使用新IP地址访问互联网的质量不得低于原IP地址，新IP地址的数量及其它要求同原合同的要求，采购人决定是否允许更换，未经同意的IP更换视为链路中断故障；</w:t>
      </w:r>
    </w:p>
    <w:p>
      <w:pPr>
        <w:numPr>
          <w:ilvl w:val="0"/>
          <w:numId w:val="3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故障处理人员要求：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需提供一至两名固定技术人员作为采购人的故障处理联系人，负责在第一时间对采购人的故障进行响应和处理。</w:t>
      </w:r>
    </w:p>
    <w:p>
      <w:pPr>
        <w:bidi w:val="0"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3、互联网出口测试要求：</w:t>
      </w:r>
    </w:p>
    <w:p>
      <w:pPr>
        <w:bidi w:val="0"/>
        <w:spacing w:line="360" w:lineRule="auto"/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测试记录与测试文档须经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、采购人共同加盖公章确认，该测试文档作为采购人正式使用出口的质量要求标准，如正式使用后相关数据与测试结果偏差超过5%且偏差时间累计超过96小时/月，采购人有权单方终止合同。</w:t>
      </w:r>
    </w:p>
    <w:p>
      <w:pPr>
        <w:bidi w:val="0"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互联网出口需符合以下要求，否则，视为测试不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合格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：</w:t>
      </w:r>
    </w:p>
    <w:p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网络效果实测：</w:t>
      </w:r>
    </w:p>
    <w:p>
      <w:pPr>
        <w:numPr>
          <w:ilvl w:val="0"/>
          <w:numId w:val="5"/>
        </w:numPr>
        <w:bidi w:val="0"/>
        <w:spacing w:line="360" w:lineRule="auto"/>
        <w:ind w:left="42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常用网站3个,要求网络PING值不超过15ms；</w:t>
      </w:r>
    </w:p>
    <w:p>
      <w:pPr>
        <w:numPr>
          <w:ilvl w:val="0"/>
          <w:numId w:val="5"/>
        </w:numPr>
        <w:bidi w:val="0"/>
        <w:spacing w:line="360" w:lineRule="auto"/>
        <w:ind w:left="42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视频网站3个，要求网络PING值不超过20ms；</w:t>
      </w:r>
    </w:p>
    <w:p>
      <w:pPr>
        <w:numPr>
          <w:ilvl w:val="0"/>
          <w:numId w:val="5"/>
        </w:numPr>
        <w:bidi w:val="0"/>
        <w:spacing w:line="360" w:lineRule="auto"/>
        <w:ind w:left="42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游戏（本地服务器）3个，要求网络延迟不超过80ms。</w:t>
      </w:r>
    </w:p>
    <w:p>
      <w:pPr>
        <w:numPr>
          <w:ilvl w:val="0"/>
          <w:numId w:val="4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从采购人路由器至相关出口运营商骨干网丢包率≤0.01%，从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 xml:space="preserve">对接设备（如有）至采购人的线路必须无丢包，PING出口互联IP的测试延时标准：PING包数量：10000包；PING包载荷大小：8000；延时及丢包要求：延时最大不得超过20ms，平均不得超过4ms； </w:t>
      </w:r>
    </w:p>
    <w:p>
      <w:pPr>
        <w:numPr>
          <w:ilvl w:val="0"/>
          <w:numId w:val="4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供应商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须提供互联网出口链路至采购人指定地点，即天津经济技术开发区第一大街2号有线电视网络公司二楼数据机房，接口类型必须为10GE接口，测试主出口及备用出口带宽须提供1G以上，并同时提供16个连续真实的IPV4公网地址；</w:t>
      </w:r>
    </w:p>
    <w:p>
      <w:pPr>
        <w:numPr>
          <w:ilvl w:val="0"/>
          <w:numId w:val="4"/>
        </w:numPr>
        <w:bidi w:val="0"/>
        <w:spacing w:line="360" w:lineRule="auto"/>
        <w:ind w:left="5" w:leftChars="0" w:hanging="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网络可用性不得低于99.99%，测试时间为48小时。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三、供应商向采购人进行赔偿的标准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如中标供应商带宽发生中断或质量问题，则中标供应商须按照如下赔偿方案对甲采购人行赔偿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E1：主备链路同时中断；</w:t>
      </w:r>
    </w:p>
    <w:p>
      <w:pPr>
        <w:bidi w:val="0"/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E2：主备链路切换导致中断；</w:t>
      </w:r>
    </w:p>
    <w:bookmarkEnd w:id="0"/>
    <w:p>
      <w:pPr>
        <w:bidi w:val="0"/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E3：路由震荡、流量骤降等；</w:t>
      </w:r>
    </w:p>
    <w:p>
      <w:pPr>
        <w:bidi w:val="0"/>
        <w:spacing w:line="360" w:lineRule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E4：时延和丢包率指标在忙时一个月内超过4小时以上持续不符合标准。</w:t>
      </w:r>
    </w:p>
    <w:tbl>
      <w:tblPr>
        <w:tblStyle w:val="2"/>
        <w:tblW w:w="103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145"/>
        <w:gridCol w:w="2378"/>
        <w:gridCol w:w="2484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2" w:hRule="atLeast"/>
          <w:jc w:val="center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每月累计故障时长</w:t>
            </w: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center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E1</w:t>
            </w: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center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E2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center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E3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center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30秒钟以内</w:t>
            </w:r>
          </w:p>
        </w:tc>
        <w:tc>
          <w:tcPr>
            <w:tcW w:w="11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5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0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%</w:t>
            </w: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提交书面故障报告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30秒钟至15分钟</w:t>
            </w:r>
          </w:p>
        </w:tc>
        <w:tc>
          <w:tcPr>
            <w:tcW w:w="114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 xml:space="preserve"> 5%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15至30分钟</w:t>
            </w:r>
          </w:p>
        </w:tc>
        <w:tc>
          <w:tcPr>
            <w:tcW w:w="114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10%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30分钟－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4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小时</w:t>
            </w:r>
          </w:p>
        </w:tc>
        <w:tc>
          <w:tcPr>
            <w:tcW w:w="114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1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5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%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提交书面故障报告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4-8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小时</w:t>
            </w:r>
          </w:p>
        </w:tc>
        <w:tc>
          <w:tcPr>
            <w:tcW w:w="114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20%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5%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提交书面报告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8-12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小时</w:t>
            </w:r>
          </w:p>
        </w:tc>
        <w:tc>
          <w:tcPr>
            <w:tcW w:w="114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30%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10%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12-24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小时</w:t>
            </w:r>
          </w:p>
        </w:tc>
        <w:tc>
          <w:tcPr>
            <w:tcW w:w="1145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100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%</w:t>
            </w: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赔偿月使用费4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0%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20%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24-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72小时</w:t>
            </w:r>
          </w:p>
        </w:tc>
        <w:tc>
          <w:tcPr>
            <w:tcW w:w="114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50%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30%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赔偿月使用费2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72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小时以上</w:t>
            </w:r>
          </w:p>
        </w:tc>
        <w:tc>
          <w:tcPr>
            <w:tcW w:w="114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240" w:firstLineChars="100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100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%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100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%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>赔偿月使用费5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0%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B6AA35"/>
    <w:multiLevelType w:val="singleLevel"/>
    <w:tmpl w:val="A3B6AA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30B34D3"/>
    <w:multiLevelType w:val="singleLevel"/>
    <w:tmpl w:val="F30B34D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1568760"/>
    <w:multiLevelType w:val="singleLevel"/>
    <w:tmpl w:val="315687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1B75010"/>
    <w:multiLevelType w:val="singleLevel"/>
    <w:tmpl w:val="51B7501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7BAD82B"/>
    <w:multiLevelType w:val="singleLevel"/>
    <w:tmpl w:val="77BAD82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301C5"/>
    <w:rsid w:val="11E3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2019-05-27T12:41:00Z</dcterms:created>
  <dc:creator>雨点儿</dc:creator>
  <cp:lastModifiedBy>雨点儿</cp:lastModifiedBy>
  <dcterms:modified xsi:type="dcterms:W3CDTF">2019-05-27T12:43:21Z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