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color w:val="auto"/>
          <w:spacing w:val="4"/>
          <w:sz w:val="24"/>
          <w:highlight w:val="none"/>
        </w:rPr>
      </w:pPr>
      <w:r>
        <w:rPr>
          <w:rFonts w:hint="eastAsia" w:ascii="宋体" w:hAnsi="宋体"/>
          <w:color w:val="auto"/>
          <w:spacing w:val="4"/>
          <w:sz w:val="24"/>
          <w:highlight w:val="none"/>
        </w:rPr>
        <w:t>项目需求书</w:t>
      </w:r>
      <w:bookmarkStart w:id="0" w:name="_Toc24775"/>
    </w:p>
    <w:bookmarkEnd w:id="0"/>
    <w:p>
      <w:pPr>
        <w:spacing w:line="360" w:lineRule="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lang w:eastAsia="zh-CN"/>
        </w:rPr>
        <w:t>（一）</w:t>
      </w:r>
      <w:r>
        <w:rPr>
          <w:rFonts w:hint="eastAsia" w:asciiTheme="minorEastAsia" w:hAnsiTheme="minorEastAsia" w:eastAsiaTheme="minorEastAsia" w:cstheme="minorEastAsia"/>
          <w:color w:val="auto"/>
          <w:sz w:val="24"/>
          <w:szCs w:val="24"/>
          <w:highlight w:val="none"/>
        </w:rPr>
        <w:t>项目背景</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为进一步加强我区学校食品卫生和饮用水安全管理工作，推进国家食品安全战略，针对学校食堂食品污染、饮用水污染事件多发现象，以预防学校食物中毒、肠道传染病流行事件和饮用水污染事件的发生为抓手，切实巩固学校食品安全管理成果，做好食品安全问题易发时段的学校食品及饮用水安全工作，保障师生身体健康，同时为了更好的发挥专业技术机构在食品及饮用水检测中的专业能力，进一步充实教育行政部门及各学校食品及饮用水监督管理能力，特开展本次服务招标，通过政采招标确定承担食品及饮用水检测服务的机构。</w:t>
      </w:r>
    </w:p>
    <w:p>
      <w:pPr>
        <w:spacing w:line="360" w:lineRule="auto"/>
        <w:ind w:firstLine="480" w:firstLineChars="200"/>
        <w:rPr>
          <w:rFonts w:hint="eastAsia" w:asciiTheme="minorEastAsia" w:hAnsiTheme="minorEastAsia" w:eastAsiaTheme="minorEastAsia" w:cstheme="minorEastAsia"/>
          <w:b/>
          <w:color w:val="auto"/>
          <w:sz w:val="24"/>
          <w:szCs w:val="24"/>
          <w:highlight w:val="none"/>
        </w:rPr>
      </w:pPr>
      <w:r>
        <w:rPr>
          <w:rFonts w:hint="eastAsia" w:asciiTheme="minorEastAsia" w:hAnsiTheme="minorEastAsia" w:eastAsiaTheme="minorEastAsia" w:cstheme="minorEastAsia"/>
          <w:color w:val="auto"/>
          <w:sz w:val="24"/>
          <w:szCs w:val="24"/>
          <w:highlight w:val="none"/>
        </w:rPr>
        <w:t>本项目中检测项目包括，食品安全快速检测及饮用水水质监测。</w:t>
      </w:r>
      <w:r>
        <w:rPr>
          <w:rFonts w:hint="eastAsia" w:asciiTheme="minorEastAsia" w:hAnsiTheme="minorEastAsia" w:eastAsiaTheme="minorEastAsia" w:cstheme="minorEastAsia"/>
          <w:b/>
          <w:color w:val="auto"/>
          <w:sz w:val="24"/>
          <w:szCs w:val="24"/>
          <w:highlight w:val="none"/>
        </w:rPr>
        <w:t>两个检测项目按学校检测需求，每年提供不少于两次检测。食堂食品快检国办学校58所，饮用水监测总分校93所。</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食品安全快速检测包括采样、检验、检测、结果报送等多个环节，工作流程</w:t>
      </w:r>
      <w:bookmarkStart w:id="1" w:name="_GoBack"/>
      <w:bookmarkEnd w:id="1"/>
      <w:r>
        <w:rPr>
          <w:rFonts w:hint="eastAsia" w:asciiTheme="minorEastAsia" w:hAnsiTheme="minorEastAsia" w:eastAsiaTheme="minorEastAsia" w:cstheme="minorEastAsia"/>
          <w:color w:val="auto"/>
          <w:sz w:val="24"/>
          <w:szCs w:val="24"/>
          <w:highlight w:val="none"/>
        </w:rPr>
        <w:t>复杂。食品安全快速检测又因食品风险性高、季节性强等特点，要求承检机构工作节奏快、反应迅速、检测时间短、信息通报及时、工作严谨细致、服务响应度高。同时，承检机构还要具备极强的应急检测工作能力和条件，对于河西区教育系统的应急检测任务，承检机构要做到迅速、准确、高效。</w:t>
      </w:r>
    </w:p>
    <w:p>
      <w:pPr>
        <w:spacing w:line="360" w:lineRule="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lang w:eastAsia="zh-CN"/>
        </w:rPr>
        <w:t>（二）</w:t>
      </w:r>
      <w:r>
        <w:rPr>
          <w:rFonts w:hint="eastAsia" w:asciiTheme="minorEastAsia" w:hAnsiTheme="minorEastAsia" w:eastAsiaTheme="minorEastAsia" w:cstheme="minorEastAsia"/>
          <w:color w:val="auto"/>
          <w:sz w:val="24"/>
          <w:szCs w:val="24"/>
          <w:highlight w:val="none"/>
        </w:rPr>
        <w:t>服务要求（以下内容带*号项均为实质性要求）</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1、投标人从业人员要求：</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（1）投标人从业人员稳定性强，能保证食品安全快速检测及水质监测工作的连续性和稳定性，保证食品、水质检测数据安全。</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*（2）检测人员应当持有检验人员上岗证，能熟练掌握食品及饮用水水质安全标准、法规，能按照最新标准方法从事检测工作。</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（3）投标人能独立承担抽样、检测、数据汇总、结果报送、分析评估等工作，能按照时限要求汇总上报检测样本及检测结果等相关信息。</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*（4）熟悉食品安全快速检测及饮用水水质检测工作程序，近三年未发生过重大检验事故。</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2、设备设施要求：</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*（1）投标人实验室环境设施应当符合国家实验室有关质量、安全管理规定的要求，应当满足检验工作的需要。</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*（2）投标人实验室应当具有与食品安全快速检测、水质检测及检测能力相适应的仪器设备和相关配套工具耗材，并保证运行良好，有完整的仪器设备档案。</w:t>
      </w:r>
    </w:p>
    <w:p>
      <w:pPr>
        <w:spacing w:line="360" w:lineRule="auto"/>
        <w:ind w:firstLine="240" w:firstLineChars="1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（3）投标人应在本市具有固定的实验场所，以及专用于食品安全快速检、水质检测活动所需的检测、环境控制、冷藏和冷冻、数据处理与分析、信息传输等设备。</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3、食品快速检测一年不少于两次，饮用水检测一年不少于两次。</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4、采取定性与定量相结合的方式开展项目检测。</w:t>
      </w:r>
    </w:p>
    <w:p>
      <w:pPr>
        <w:pStyle w:val="3"/>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5、检测完成后向学校和区教育局食品安全主管部门提供符合国家标准的检测报告。</w:t>
      </w:r>
    </w:p>
    <w:p>
      <w:pPr>
        <w:spacing w:line="360" w:lineRule="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lang w:eastAsia="zh-CN"/>
        </w:rPr>
        <w:t>（三）</w:t>
      </w:r>
      <w:r>
        <w:rPr>
          <w:rFonts w:hint="eastAsia" w:asciiTheme="minorEastAsia" w:hAnsiTheme="minorEastAsia" w:eastAsiaTheme="minorEastAsia" w:cstheme="minorEastAsia"/>
          <w:color w:val="auto"/>
          <w:sz w:val="24"/>
          <w:szCs w:val="24"/>
          <w:highlight w:val="none"/>
        </w:rPr>
        <w:t>技术需求</w:t>
      </w:r>
    </w:p>
    <w:tbl>
      <w:tblPr>
        <w:tblStyle w:val="4"/>
        <w:tblW w:w="8330" w:type="dxa"/>
        <w:jc w:val="center"/>
        <w:tblInd w:w="0" w:type="dxa"/>
        <w:tblLayout w:type="fixed"/>
        <w:tblCellMar>
          <w:top w:w="15" w:type="dxa"/>
          <w:left w:w="15" w:type="dxa"/>
          <w:bottom w:w="15" w:type="dxa"/>
          <w:right w:w="15" w:type="dxa"/>
        </w:tblCellMar>
      </w:tblPr>
      <w:tblGrid>
        <w:gridCol w:w="1047"/>
        <w:gridCol w:w="1046"/>
        <w:gridCol w:w="1047"/>
        <w:gridCol w:w="5190"/>
      </w:tblGrid>
      <w:tr>
        <w:tblPrEx>
          <w:tblLayout w:type="fixed"/>
          <w:tblCellMar>
            <w:top w:w="15" w:type="dxa"/>
            <w:left w:w="15" w:type="dxa"/>
            <w:bottom w:w="15" w:type="dxa"/>
            <w:right w:w="15" w:type="dxa"/>
          </w:tblCellMar>
        </w:tblPrEx>
        <w:trPr>
          <w:trHeight w:val="1078"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序号</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食品</w:t>
            </w:r>
          </w:p>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 xml:space="preserve">类别    </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风险</w:t>
            </w:r>
          </w:p>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等级</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抽检项目</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面粉</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较高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滑石粉、黄曲霉毒素B1、二氧化钛</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大米</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较高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铅、镉、黄曲霉毒素B1</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3</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植物油</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酸值/酸价(KOH)、过氧化值、溶剂残留量、</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4</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畜肉</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克伦特罗、沙丁胺醇、莱克多巴胺</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5</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水产品</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孔雀石绿、恩诺沙星、环丙沙星</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6</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鲜蛋</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恩诺沙星、环丙沙星、氟苯尼考</w:t>
            </w:r>
          </w:p>
        </w:tc>
      </w:tr>
      <w:tr>
        <w:tblPrEx>
          <w:tblLayout w:type="fixed"/>
          <w:tblCellMar>
            <w:top w:w="15" w:type="dxa"/>
            <w:left w:w="15" w:type="dxa"/>
            <w:bottom w:w="15" w:type="dxa"/>
            <w:right w:w="15" w:type="dxa"/>
          </w:tblCellMar>
        </w:tblPrEx>
        <w:trPr>
          <w:trHeight w:val="20" w:hRule="atLeast"/>
          <w:jc w:val="center"/>
        </w:trPr>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7</w:t>
            </w:r>
          </w:p>
        </w:tc>
        <w:tc>
          <w:tcPr>
            <w:tcW w:w="10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蔬菜</w:t>
            </w:r>
          </w:p>
        </w:tc>
        <w:tc>
          <w:tcPr>
            <w:tcW w:w="10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较高</w:t>
            </w:r>
          </w:p>
        </w:tc>
        <w:tc>
          <w:tcPr>
            <w:tcW w:w="519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spacing w:line="420" w:lineRule="atLeast"/>
              <w:jc w:val="left"/>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对硫磷、甲胺磷、甲基对硫磷、马拉硫磷、辛硫磷、乙酰甲胺磷、</w:t>
            </w:r>
          </w:p>
        </w:tc>
      </w:tr>
    </w:tbl>
    <w:p>
      <w:pPr>
        <w:pStyle w:val="3"/>
        <w:jc w:val="left"/>
        <w:rPr>
          <w:rFonts w:hint="eastAsia" w:asciiTheme="minorEastAsia" w:hAnsiTheme="minorEastAsia" w:eastAsiaTheme="minorEastAsia" w:cstheme="minorEastAsia"/>
          <w:color w:val="auto"/>
          <w:sz w:val="24"/>
          <w:szCs w:val="24"/>
          <w:highlight w:val="none"/>
        </w:rPr>
      </w:pPr>
    </w:p>
    <w:tbl>
      <w:tblPr>
        <w:tblStyle w:val="4"/>
        <w:tblW w:w="8662" w:type="dxa"/>
        <w:tblInd w:w="0" w:type="dxa"/>
        <w:tblLayout w:type="fixed"/>
        <w:tblCellMar>
          <w:top w:w="15" w:type="dxa"/>
          <w:left w:w="15" w:type="dxa"/>
          <w:bottom w:w="15" w:type="dxa"/>
          <w:right w:w="15" w:type="dxa"/>
        </w:tblCellMar>
      </w:tblPr>
      <w:tblGrid>
        <w:gridCol w:w="930"/>
        <w:gridCol w:w="2047"/>
        <w:gridCol w:w="5685"/>
      </w:tblGrid>
      <w:tr>
        <w:tblPrEx>
          <w:tblLayout w:type="fixed"/>
          <w:tblCellMar>
            <w:top w:w="15" w:type="dxa"/>
            <w:left w:w="15" w:type="dxa"/>
            <w:bottom w:w="15" w:type="dxa"/>
            <w:right w:w="15" w:type="dxa"/>
          </w:tblCellMar>
        </w:tblPrEx>
        <w:trPr>
          <w:trHeight w:val="750" w:hRule="atLeast"/>
        </w:trPr>
        <w:tc>
          <w:tcPr>
            <w:tcW w:w="930" w:type="dxa"/>
            <w:tcBorders>
              <w:top w:val="single" w:color="000000" w:sz="4" w:space="0"/>
              <w:left w:val="single" w:color="000000" w:sz="4" w:space="0"/>
            </w:tcBorders>
            <w:shd w:val="clear" w:color="auto" w:fill="auto"/>
            <w:vAlign w:val="center"/>
          </w:tcPr>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样品</w:t>
            </w:r>
          </w:p>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大类</w:t>
            </w:r>
          </w:p>
        </w:tc>
        <w:tc>
          <w:tcPr>
            <w:tcW w:w="2047" w:type="dxa"/>
            <w:tcBorders>
              <w:top w:val="single" w:color="000000" w:sz="4" w:space="0"/>
              <w:left w:val="single" w:color="000000" w:sz="4" w:space="0"/>
              <w:right w:val="single" w:color="auto" w:sz="4" w:space="0"/>
            </w:tcBorders>
            <w:vAlign w:val="center"/>
          </w:tcPr>
          <w:p>
            <w:pPr>
              <w:widowControl/>
              <w:jc w:val="left"/>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执行标准</w:t>
            </w:r>
          </w:p>
        </w:tc>
        <w:tc>
          <w:tcPr>
            <w:tcW w:w="56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抽检项目</w:t>
            </w:r>
          </w:p>
        </w:tc>
      </w:tr>
      <w:tr>
        <w:tblPrEx>
          <w:tblLayout w:type="fixed"/>
          <w:tblCellMar>
            <w:top w:w="15" w:type="dxa"/>
            <w:left w:w="15" w:type="dxa"/>
            <w:bottom w:w="15" w:type="dxa"/>
            <w:right w:w="15" w:type="dxa"/>
          </w:tblCellMar>
        </w:tblPrEx>
        <w:trPr>
          <w:trHeight w:val="1306" w:hRule="atLeast"/>
        </w:trPr>
        <w:tc>
          <w:tcPr>
            <w:tcW w:w="9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饮用水</w:t>
            </w:r>
          </w:p>
        </w:tc>
        <w:tc>
          <w:tcPr>
            <w:tcW w:w="2047" w:type="dxa"/>
            <w:tcBorders>
              <w:top w:val="single" w:color="000000" w:sz="4" w:space="0"/>
              <w:left w:val="single" w:color="000000" w:sz="4" w:space="0"/>
              <w:bottom w:val="single" w:color="000000" w:sz="4" w:space="0"/>
              <w:right w:val="single" w:color="auto" w:sz="4" w:space="0"/>
            </w:tcBorders>
            <w:vAlign w:val="center"/>
          </w:tcPr>
          <w:p>
            <w:pPr>
              <w:widowControl/>
              <w:jc w:val="left"/>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GB 5750-2006</w:t>
            </w:r>
          </w:p>
        </w:tc>
        <w:tc>
          <w:tcPr>
            <w:tcW w:w="56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菌落总数、大肠菌群、大肠埃希氏菌、PH、铅、镉、汞、硝酸盐</w:t>
            </w:r>
          </w:p>
        </w:tc>
      </w:tr>
    </w:tbl>
    <w:p>
      <w:pPr>
        <w:widowControl/>
        <w:jc w:val="center"/>
        <w:textAlignment w:val="center"/>
        <w:rPr>
          <w:rFonts w:hint="eastAsia" w:asciiTheme="minorEastAsia" w:hAnsiTheme="minorEastAsia" w:eastAsiaTheme="minorEastAsia" w:cstheme="minorEastAsia"/>
          <w:color w:val="auto"/>
          <w:kern w:val="0"/>
          <w:sz w:val="24"/>
          <w:szCs w:val="24"/>
          <w:highlight w:val="none"/>
        </w:rPr>
      </w:pPr>
    </w:p>
    <w:p>
      <w:pPr>
        <w:spacing w:line="360" w:lineRule="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lang w:eastAsia="zh-CN"/>
        </w:rPr>
        <w:t>（四）</w:t>
      </w:r>
      <w:r>
        <w:rPr>
          <w:rFonts w:hint="eastAsia" w:asciiTheme="minorEastAsia" w:hAnsiTheme="minorEastAsia" w:eastAsiaTheme="minorEastAsia" w:cstheme="minorEastAsia"/>
          <w:color w:val="auto"/>
          <w:sz w:val="24"/>
          <w:szCs w:val="24"/>
          <w:highlight w:val="none"/>
        </w:rPr>
        <w:t>验收标准</w:t>
      </w:r>
    </w:p>
    <w:p>
      <w:pPr>
        <w:spacing w:line="360" w:lineRule="auto"/>
        <w:ind w:firstLine="480" w:firstLineChars="200"/>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按照合同的约定和现行国家标准、行业标准以及企业标准对每一项服务标准的履约情况进行确认，根据需要设置验收环节。必要时，有权邀请第三方机构参与验收。验收结束后，应当出具验收书，列明各项标准的验收情况及项目总体评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A64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8"/>
      <w:szCs w:val="36"/>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sz w:val="24"/>
      <w:szCs w:val="22"/>
      <w:lang w:val="zh-CN"/>
    </w:rPr>
  </w:style>
  <w:style w:type="paragraph" w:styleId="3">
    <w:name w:val="Body Text"/>
    <w:basedOn w:val="1"/>
    <w:qFormat/>
    <w:uiPriority w:val="0"/>
    <w:rPr>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2019-06-26T08:26:26Z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