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color w:val="auto"/>
          <w:spacing w:val="4"/>
          <w:sz w:val="24"/>
          <w:highlight w:val="none"/>
        </w:rPr>
      </w:pPr>
      <w:r>
        <w:rPr>
          <w:rFonts w:hint="eastAsia" w:ascii="宋体" w:hAnsi="宋体"/>
          <w:color w:val="auto"/>
          <w:spacing w:val="4"/>
          <w:sz w:val="24"/>
          <w:highlight w:val="none"/>
        </w:rPr>
        <w:t>项目需求书</w:t>
      </w:r>
      <w:bookmarkStart w:id="0" w:name="_Toc24775"/>
    </w:p>
    <w:bookmarkEnd w:id="0"/>
    <w:p>
      <w:pPr>
        <w:spacing w:line="360" w:lineRule="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lang w:eastAsia="zh-CN"/>
        </w:rPr>
        <w:t>（一）</w:t>
      </w:r>
      <w:r>
        <w:rPr>
          <w:rFonts w:hint="eastAsia" w:asciiTheme="minorEastAsia" w:hAnsiTheme="minorEastAsia" w:eastAsiaTheme="minorEastAsia" w:cstheme="minorEastAsia"/>
          <w:color w:val="auto"/>
          <w:sz w:val="24"/>
          <w:szCs w:val="24"/>
          <w:highlight w:val="none"/>
        </w:rPr>
        <w:t>项目背景</w:t>
      </w:r>
    </w:p>
    <w:p>
      <w:pPr>
        <w:spacing w:line="360" w:lineRule="auto"/>
        <w:ind w:firstLine="480" w:firstLineChars="2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为进一步加强我区学校食品卫生和饮用水安全管理工作，推进国家食品安全战略，针对学校食堂食品污染、饮用水污染事件多发现象，以预防学校食物中毒、肠道传染病流行事件和饮用水污染事件的发生为抓手，切实巩固学校食品安全管理成果，做好食品安全问题易发时段的学校食品及饮用水安全工作，保障师生身体健康，同时为了更好的发挥专业技术机构在食品及饮用水检测中的专业能力，进一步充实教育行政部门及各学校食品及饮用水监督</w:t>
      </w:r>
      <w:bookmarkStart w:id="1" w:name="_GoBack"/>
      <w:bookmarkEnd w:id="1"/>
      <w:r>
        <w:rPr>
          <w:rFonts w:hint="eastAsia" w:asciiTheme="minorEastAsia" w:hAnsiTheme="minorEastAsia" w:eastAsiaTheme="minorEastAsia" w:cstheme="minorEastAsia"/>
          <w:color w:val="auto"/>
          <w:sz w:val="24"/>
          <w:szCs w:val="24"/>
          <w:highlight w:val="none"/>
        </w:rPr>
        <w:t>管理能力，特开展本次服务招标，通过政采招标确定承担食品及饮用水检测服务的机构。</w:t>
      </w:r>
    </w:p>
    <w:p>
      <w:pPr>
        <w:spacing w:line="360" w:lineRule="auto"/>
        <w:ind w:firstLine="480" w:firstLineChars="200"/>
        <w:rPr>
          <w:rFonts w:hint="eastAsia" w:asciiTheme="minorEastAsia" w:hAnsiTheme="minorEastAsia" w:eastAsiaTheme="minorEastAsia" w:cstheme="minorEastAsia"/>
          <w:b/>
          <w:color w:val="auto"/>
          <w:sz w:val="24"/>
          <w:szCs w:val="24"/>
          <w:highlight w:val="none"/>
        </w:rPr>
      </w:pPr>
      <w:r>
        <w:rPr>
          <w:rFonts w:hint="eastAsia" w:asciiTheme="minorEastAsia" w:hAnsiTheme="minorEastAsia" w:eastAsiaTheme="minorEastAsia" w:cstheme="minorEastAsia"/>
          <w:color w:val="auto"/>
          <w:sz w:val="24"/>
          <w:szCs w:val="24"/>
          <w:highlight w:val="none"/>
        </w:rPr>
        <w:t>本项目中检测项目包括，食品安全快速检测及饮用水水质监测。</w:t>
      </w:r>
      <w:r>
        <w:rPr>
          <w:rFonts w:hint="eastAsia" w:asciiTheme="minorEastAsia" w:hAnsiTheme="minorEastAsia" w:eastAsiaTheme="minorEastAsia" w:cstheme="minorEastAsia"/>
          <w:b/>
          <w:color w:val="auto"/>
          <w:sz w:val="24"/>
          <w:szCs w:val="24"/>
          <w:highlight w:val="none"/>
        </w:rPr>
        <w:t>两个检测项目按学校检测需求，每年提供不少于两次检测。食堂食品快检国办学校58所，饮用水监测总分校93所。</w:t>
      </w:r>
    </w:p>
    <w:p>
      <w:pPr>
        <w:spacing w:line="360" w:lineRule="auto"/>
        <w:ind w:firstLine="480" w:firstLineChars="2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食品安全快速检测包括采样、检验、检测、结果报送等多个环节，工作流程复杂。食品安全快速检测又因食品风险性高、季节性强等特点，要求承检机构工作节奏快、反应迅速、检测时间短、信息通报及时、工作严谨细致、服务响应度高。同时，承检机构还要具备极强的应急检测工作能力和条件，对于河西区教育系统的应急检测任务，承检机构要做到迅速、准确、高效。</w:t>
      </w:r>
    </w:p>
    <w:p>
      <w:pPr>
        <w:spacing w:line="360" w:lineRule="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lang w:eastAsia="zh-CN"/>
        </w:rPr>
        <w:t>（二）</w:t>
      </w:r>
      <w:r>
        <w:rPr>
          <w:rFonts w:hint="eastAsia" w:asciiTheme="minorEastAsia" w:hAnsiTheme="minorEastAsia" w:eastAsiaTheme="minorEastAsia" w:cstheme="minorEastAsia"/>
          <w:color w:val="auto"/>
          <w:sz w:val="24"/>
          <w:szCs w:val="24"/>
          <w:highlight w:val="none"/>
        </w:rPr>
        <w:t>服务要求（以下内容带*号项均为实质性要求）</w:t>
      </w:r>
    </w:p>
    <w:p>
      <w:pPr>
        <w:spacing w:line="360" w:lineRule="auto"/>
        <w:ind w:firstLine="480" w:firstLineChars="2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1、投标人从业人员要求：</w:t>
      </w:r>
    </w:p>
    <w:p>
      <w:pPr>
        <w:spacing w:line="360" w:lineRule="auto"/>
        <w:ind w:firstLine="240" w:firstLineChars="1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（1）投标人从业人员稳定性强，能保证食品安全快速检测及水质监测工作的连续性和稳定性，保证食品、水质检测数据安全。</w:t>
      </w:r>
    </w:p>
    <w:p>
      <w:pPr>
        <w:spacing w:line="360" w:lineRule="auto"/>
        <w:ind w:firstLine="240" w:firstLineChars="1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*（2）检测人员应当持有检验人员上岗证，能熟练掌握食品及饮用水水质安全标准、法规，能按照最新标准方法从事检测工作。</w:t>
      </w:r>
    </w:p>
    <w:p>
      <w:pPr>
        <w:spacing w:line="360" w:lineRule="auto"/>
        <w:ind w:firstLine="240" w:firstLineChars="1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（3）投标人能独立承担抽样、检测、数据汇总、结果报送、分析评估等工作，能按照时限要求汇总上报检测样本及检测结果等相关信息。</w:t>
      </w:r>
    </w:p>
    <w:p>
      <w:pPr>
        <w:spacing w:line="360" w:lineRule="auto"/>
        <w:ind w:firstLine="240" w:firstLineChars="1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*（4）熟悉食品安全快速检测及饮用水水质检测工作程序，近三年未发生过重大检验事故。</w:t>
      </w:r>
    </w:p>
    <w:p>
      <w:pPr>
        <w:spacing w:line="360" w:lineRule="auto"/>
        <w:ind w:firstLine="480" w:firstLineChars="2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2、设备设施要求：</w:t>
      </w:r>
    </w:p>
    <w:p>
      <w:pPr>
        <w:spacing w:line="360" w:lineRule="auto"/>
        <w:ind w:firstLine="240" w:firstLineChars="1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*（1）投标人实验室环境设施应当符合国家实验室有关质量、安全管理规定的要求，应当满足检验工作的需要。</w:t>
      </w:r>
    </w:p>
    <w:p>
      <w:pPr>
        <w:spacing w:line="360" w:lineRule="auto"/>
        <w:ind w:firstLine="240" w:firstLineChars="1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*（2）投标人实验室应当具有与食品安全快速检测、水质检测及检测能力相适应的仪器设备和相关配套工具耗材，并保证运行良好，有完整的仪器设备档案。</w:t>
      </w:r>
    </w:p>
    <w:p>
      <w:pPr>
        <w:spacing w:line="360" w:lineRule="auto"/>
        <w:ind w:firstLine="240" w:firstLineChars="1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（3）投标人应在本市具有固定的实验场所，以及专用于食品安全快速检、水质检测活动所需的检测、环境控制、冷藏和冷冻、数据处理与分析、信息传输等设备。</w:t>
      </w:r>
    </w:p>
    <w:p>
      <w:pPr>
        <w:spacing w:line="360" w:lineRule="auto"/>
        <w:ind w:firstLine="480" w:firstLineChars="2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3、食品快速检测一年不少于两次，饮用水检测一年不少于两次。</w:t>
      </w:r>
    </w:p>
    <w:p>
      <w:pPr>
        <w:spacing w:line="360" w:lineRule="auto"/>
        <w:ind w:firstLine="480" w:firstLineChars="2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4、采取定性与定量相结合的方式开展项目检测。</w:t>
      </w:r>
    </w:p>
    <w:p>
      <w:pPr>
        <w:pStyle w:val="3"/>
        <w:ind w:firstLine="480" w:firstLineChars="2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5、检测完成后向学校和区教育局食品安全主管部门提供符合国家标准的检测报告。</w:t>
      </w:r>
    </w:p>
    <w:p>
      <w:pPr>
        <w:spacing w:line="360" w:lineRule="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lang w:eastAsia="zh-CN"/>
        </w:rPr>
        <w:t>（三）</w:t>
      </w:r>
      <w:r>
        <w:rPr>
          <w:rFonts w:hint="eastAsia" w:asciiTheme="minorEastAsia" w:hAnsiTheme="minorEastAsia" w:eastAsiaTheme="minorEastAsia" w:cstheme="minorEastAsia"/>
          <w:color w:val="auto"/>
          <w:sz w:val="24"/>
          <w:szCs w:val="24"/>
          <w:highlight w:val="none"/>
        </w:rPr>
        <w:t>技术需求</w:t>
      </w:r>
    </w:p>
    <w:tbl>
      <w:tblPr>
        <w:tblStyle w:val="4"/>
        <w:tblW w:w="8330" w:type="dxa"/>
        <w:jc w:val="center"/>
        <w:tblInd w:w="0" w:type="dxa"/>
        <w:tblLayout w:type="fixed"/>
        <w:tblCellMar>
          <w:top w:w="15" w:type="dxa"/>
          <w:left w:w="15" w:type="dxa"/>
          <w:bottom w:w="15" w:type="dxa"/>
          <w:right w:w="15" w:type="dxa"/>
        </w:tblCellMar>
      </w:tblPr>
      <w:tblGrid>
        <w:gridCol w:w="1047"/>
        <w:gridCol w:w="1046"/>
        <w:gridCol w:w="1047"/>
        <w:gridCol w:w="5190"/>
      </w:tblGrid>
      <w:tr>
        <w:tblPrEx>
          <w:tblLayout w:type="fixed"/>
          <w:tblCellMar>
            <w:top w:w="15" w:type="dxa"/>
            <w:left w:w="15" w:type="dxa"/>
            <w:bottom w:w="15" w:type="dxa"/>
            <w:right w:w="15" w:type="dxa"/>
          </w:tblCellMar>
        </w:tblPrEx>
        <w:trPr>
          <w:trHeight w:val="1078" w:hRule="atLeast"/>
          <w:jc w:val="center"/>
        </w:trPr>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序号</w:t>
            </w:r>
          </w:p>
        </w:tc>
        <w:tc>
          <w:tcPr>
            <w:tcW w:w="10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食品</w:t>
            </w:r>
          </w:p>
          <w:p>
            <w:pPr>
              <w:widowControl/>
              <w:jc w:val="center"/>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 xml:space="preserve">类别    </w:t>
            </w:r>
          </w:p>
        </w:tc>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风险</w:t>
            </w:r>
          </w:p>
          <w:p>
            <w:pPr>
              <w:widowControl/>
              <w:jc w:val="center"/>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等级</w:t>
            </w:r>
          </w:p>
        </w:tc>
        <w:tc>
          <w:tcPr>
            <w:tcW w:w="51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抽检项目</w:t>
            </w:r>
          </w:p>
        </w:tc>
      </w:tr>
      <w:tr>
        <w:tblPrEx>
          <w:tblLayout w:type="fixed"/>
          <w:tblCellMar>
            <w:top w:w="15" w:type="dxa"/>
            <w:left w:w="15" w:type="dxa"/>
            <w:bottom w:w="15" w:type="dxa"/>
            <w:right w:w="15" w:type="dxa"/>
          </w:tblCellMar>
        </w:tblPrEx>
        <w:trPr>
          <w:trHeight w:val="20" w:hRule="atLeast"/>
          <w:jc w:val="center"/>
        </w:trPr>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1</w:t>
            </w:r>
          </w:p>
        </w:tc>
        <w:tc>
          <w:tcPr>
            <w:tcW w:w="104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面粉</w:t>
            </w:r>
          </w:p>
        </w:tc>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较高</w:t>
            </w:r>
          </w:p>
        </w:tc>
        <w:tc>
          <w:tcPr>
            <w:tcW w:w="519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left"/>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滑石粉、黄曲霉毒素B1、二氧化钛</w:t>
            </w:r>
          </w:p>
        </w:tc>
      </w:tr>
      <w:tr>
        <w:tblPrEx>
          <w:tblLayout w:type="fixed"/>
          <w:tblCellMar>
            <w:top w:w="15" w:type="dxa"/>
            <w:left w:w="15" w:type="dxa"/>
            <w:bottom w:w="15" w:type="dxa"/>
            <w:right w:w="15" w:type="dxa"/>
          </w:tblCellMar>
        </w:tblPrEx>
        <w:trPr>
          <w:trHeight w:val="20" w:hRule="atLeast"/>
          <w:jc w:val="center"/>
        </w:trPr>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2</w:t>
            </w:r>
          </w:p>
        </w:tc>
        <w:tc>
          <w:tcPr>
            <w:tcW w:w="104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大米</w:t>
            </w:r>
          </w:p>
        </w:tc>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较高</w:t>
            </w:r>
          </w:p>
        </w:tc>
        <w:tc>
          <w:tcPr>
            <w:tcW w:w="519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left"/>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铅、镉、黄曲霉毒素B1</w:t>
            </w:r>
          </w:p>
        </w:tc>
      </w:tr>
      <w:tr>
        <w:tblPrEx>
          <w:tblLayout w:type="fixed"/>
          <w:tblCellMar>
            <w:top w:w="15" w:type="dxa"/>
            <w:left w:w="15" w:type="dxa"/>
            <w:bottom w:w="15" w:type="dxa"/>
            <w:right w:w="15" w:type="dxa"/>
          </w:tblCellMar>
        </w:tblPrEx>
        <w:trPr>
          <w:trHeight w:val="20" w:hRule="atLeast"/>
          <w:jc w:val="center"/>
        </w:trPr>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3</w:t>
            </w:r>
          </w:p>
        </w:tc>
        <w:tc>
          <w:tcPr>
            <w:tcW w:w="104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植物油</w:t>
            </w:r>
          </w:p>
        </w:tc>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高</w:t>
            </w:r>
          </w:p>
        </w:tc>
        <w:tc>
          <w:tcPr>
            <w:tcW w:w="519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left"/>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酸值/酸价(KOH)、过氧化值、溶剂残留量、</w:t>
            </w:r>
          </w:p>
        </w:tc>
      </w:tr>
      <w:tr>
        <w:tblPrEx>
          <w:tblLayout w:type="fixed"/>
          <w:tblCellMar>
            <w:top w:w="15" w:type="dxa"/>
            <w:left w:w="15" w:type="dxa"/>
            <w:bottom w:w="15" w:type="dxa"/>
            <w:right w:w="15" w:type="dxa"/>
          </w:tblCellMar>
        </w:tblPrEx>
        <w:trPr>
          <w:trHeight w:val="20" w:hRule="atLeast"/>
          <w:jc w:val="center"/>
        </w:trPr>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4</w:t>
            </w:r>
          </w:p>
        </w:tc>
        <w:tc>
          <w:tcPr>
            <w:tcW w:w="104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畜肉</w:t>
            </w:r>
          </w:p>
        </w:tc>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高</w:t>
            </w:r>
          </w:p>
        </w:tc>
        <w:tc>
          <w:tcPr>
            <w:tcW w:w="519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left"/>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克伦特罗、沙丁胺醇、莱克多巴胺</w:t>
            </w:r>
          </w:p>
        </w:tc>
      </w:tr>
      <w:tr>
        <w:tblPrEx>
          <w:tblLayout w:type="fixed"/>
          <w:tblCellMar>
            <w:top w:w="15" w:type="dxa"/>
            <w:left w:w="15" w:type="dxa"/>
            <w:bottom w:w="15" w:type="dxa"/>
            <w:right w:w="15" w:type="dxa"/>
          </w:tblCellMar>
        </w:tblPrEx>
        <w:trPr>
          <w:trHeight w:val="20" w:hRule="atLeast"/>
          <w:jc w:val="center"/>
        </w:trPr>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5</w:t>
            </w:r>
          </w:p>
        </w:tc>
        <w:tc>
          <w:tcPr>
            <w:tcW w:w="104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水产品</w:t>
            </w:r>
          </w:p>
        </w:tc>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高</w:t>
            </w:r>
          </w:p>
        </w:tc>
        <w:tc>
          <w:tcPr>
            <w:tcW w:w="519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left"/>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孔雀石绿、恩诺沙星、环丙沙星</w:t>
            </w:r>
          </w:p>
        </w:tc>
      </w:tr>
      <w:tr>
        <w:tblPrEx>
          <w:tblLayout w:type="fixed"/>
          <w:tblCellMar>
            <w:top w:w="15" w:type="dxa"/>
            <w:left w:w="15" w:type="dxa"/>
            <w:bottom w:w="15" w:type="dxa"/>
            <w:right w:w="15" w:type="dxa"/>
          </w:tblCellMar>
        </w:tblPrEx>
        <w:trPr>
          <w:trHeight w:val="20" w:hRule="atLeast"/>
          <w:jc w:val="center"/>
        </w:trPr>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6</w:t>
            </w:r>
          </w:p>
        </w:tc>
        <w:tc>
          <w:tcPr>
            <w:tcW w:w="104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鲜蛋</w:t>
            </w:r>
          </w:p>
        </w:tc>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高</w:t>
            </w:r>
          </w:p>
        </w:tc>
        <w:tc>
          <w:tcPr>
            <w:tcW w:w="519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left"/>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恩诺沙星、环丙沙星、氟苯尼考</w:t>
            </w:r>
          </w:p>
        </w:tc>
      </w:tr>
      <w:tr>
        <w:tblPrEx>
          <w:tblLayout w:type="fixed"/>
          <w:tblCellMar>
            <w:top w:w="15" w:type="dxa"/>
            <w:left w:w="15" w:type="dxa"/>
            <w:bottom w:w="15" w:type="dxa"/>
            <w:right w:w="15" w:type="dxa"/>
          </w:tblCellMar>
        </w:tblPrEx>
        <w:trPr>
          <w:trHeight w:val="20" w:hRule="atLeast"/>
          <w:jc w:val="center"/>
        </w:trPr>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7</w:t>
            </w:r>
          </w:p>
        </w:tc>
        <w:tc>
          <w:tcPr>
            <w:tcW w:w="104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蔬菜</w:t>
            </w:r>
          </w:p>
        </w:tc>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较高</w:t>
            </w:r>
          </w:p>
        </w:tc>
        <w:tc>
          <w:tcPr>
            <w:tcW w:w="519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left"/>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对硫磷、甲胺磷、甲基对硫磷、马拉硫磷、辛硫磷、乙酰甲胺磷、</w:t>
            </w:r>
          </w:p>
        </w:tc>
      </w:tr>
    </w:tbl>
    <w:p>
      <w:pPr>
        <w:pStyle w:val="3"/>
        <w:jc w:val="left"/>
        <w:rPr>
          <w:rFonts w:hint="eastAsia" w:asciiTheme="minorEastAsia" w:hAnsiTheme="minorEastAsia" w:eastAsiaTheme="minorEastAsia" w:cstheme="minorEastAsia"/>
          <w:color w:val="auto"/>
          <w:sz w:val="24"/>
          <w:szCs w:val="24"/>
          <w:highlight w:val="none"/>
        </w:rPr>
      </w:pPr>
    </w:p>
    <w:tbl>
      <w:tblPr>
        <w:tblStyle w:val="4"/>
        <w:tblW w:w="8336" w:type="dxa"/>
        <w:tblInd w:w="0" w:type="dxa"/>
        <w:tblLayout w:type="fixed"/>
        <w:tblCellMar>
          <w:top w:w="15" w:type="dxa"/>
          <w:left w:w="15" w:type="dxa"/>
          <w:bottom w:w="15" w:type="dxa"/>
          <w:right w:w="15" w:type="dxa"/>
        </w:tblCellMar>
      </w:tblPr>
      <w:tblGrid>
        <w:gridCol w:w="895"/>
        <w:gridCol w:w="1970"/>
        <w:gridCol w:w="5471"/>
      </w:tblGrid>
      <w:tr>
        <w:tblPrEx>
          <w:tblLayout w:type="fixed"/>
          <w:tblCellMar>
            <w:top w:w="15" w:type="dxa"/>
            <w:left w:w="15" w:type="dxa"/>
            <w:bottom w:w="15" w:type="dxa"/>
            <w:right w:w="15" w:type="dxa"/>
          </w:tblCellMar>
        </w:tblPrEx>
        <w:trPr>
          <w:trHeight w:val="750" w:hRule="atLeast"/>
        </w:trPr>
        <w:tc>
          <w:tcPr>
            <w:tcW w:w="895" w:type="dxa"/>
            <w:tcBorders>
              <w:top w:val="single" w:color="000000" w:sz="4" w:space="0"/>
              <w:left w:val="single" w:color="000000" w:sz="4" w:space="0"/>
            </w:tcBorders>
            <w:shd w:val="clear" w:color="auto" w:fill="auto"/>
            <w:vAlign w:val="center"/>
          </w:tcPr>
          <w:p>
            <w:pPr>
              <w:widowControl/>
              <w:jc w:val="center"/>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样品</w:t>
            </w:r>
          </w:p>
          <w:p>
            <w:pPr>
              <w:widowControl/>
              <w:jc w:val="center"/>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大类</w:t>
            </w:r>
          </w:p>
        </w:tc>
        <w:tc>
          <w:tcPr>
            <w:tcW w:w="1970" w:type="dxa"/>
            <w:tcBorders>
              <w:top w:val="single" w:color="000000" w:sz="4" w:space="0"/>
              <w:left w:val="single" w:color="000000" w:sz="4" w:space="0"/>
              <w:right w:val="single" w:color="auto" w:sz="4" w:space="0"/>
            </w:tcBorders>
            <w:vAlign w:val="center"/>
          </w:tcPr>
          <w:p>
            <w:pPr>
              <w:widowControl/>
              <w:jc w:val="left"/>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执行标准</w:t>
            </w:r>
          </w:p>
        </w:tc>
        <w:tc>
          <w:tcPr>
            <w:tcW w:w="547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抽检项目</w:t>
            </w:r>
          </w:p>
        </w:tc>
      </w:tr>
      <w:tr>
        <w:tblPrEx>
          <w:tblLayout w:type="fixed"/>
          <w:tblCellMar>
            <w:top w:w="15" w:type="dxa"/>
            <w:left w:w="15" w:type="dxa"/>
            <w:bottom w:w="15" w:type="dxa"/>
            <w:right w:w="15" w:type="dxa"/>
          </w:tblCellMar>
        </w:tblPrEx>
        <w:trPr>
          <w:trHeight w:val="1306" w:hRule="atLeast"/>
        </w:trPr>
        <w:tc>
          <w:tcPr>
            <w:tcW w:w="895" w:type="dxa"/>
            <w:vMerge w:val="restart"/>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饮用水</w:t>
            </w:r>
          </w:p>
        </w:tc>
        <w:tc>
          <w:tcPr>
            <w:tcW w:w="1970" w:type="dxa"/>
            <w:tcBorders>
              <w:top w:val="single" w:color="000000" w:sz="4" w:space="0"/>
              <w:left w:val="single" w:color="000000" w:sz="4" w:space="0"/>
              <w:bottom w:val="single" w:color="000000" w:sz="4" w:space="0"/>
              <w:right w:val="single" w:color="auto" w:sz="4" w:space="0"/>
            </w:tcBorders>
            <w:vAlign w:val="center"/>
          </w:tcPr>
          <w:p>
            <w:pPr>
              <w:widowControl/>
              <w:jc w:val="left"/>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GB 5750-2006</w:t>
            </w:r>
          </w:p>
        </w:tc>
        <w:tc>
          <w:tcPr>
            <w:tcW w:w="547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菌落总数、大肠菌群、大肠埃希氏菌、PH、铅、镉、汞、硝酸盐</w:t>
            </w:r>
          </w:p>
        </w:tc>
      </w:tr>
      <w:tr>
        <w:tblPrEx>
          <w:tblLayout w:type="fixed"/>
          <w:tblCellMar>
            <w:top w:w="15" w:type="dxa"/>
            <w:left w:w="15" w:type="dxa"/>
            <w:bottom w:w="15" w:type="dxa"/>
            <w:right w:w="15" w:type="dxa"/>
          </w:tblCellMar>
        </w:tblPrEx>
        <w:trPr>
          <w:trHeight w:val="1306" w:hRule="atLeast"/>
        </w:trPr>
        <w:tc>
          <w:tcPr>
            <w:tcW w:w="895" w:type="dxa"/>
            <w:vMerge w:val="continue"/>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Theme="minorEastAsia" w:hAnsiTheme="minorEastAsia" w:eastAsiaTheme="minorEastAsia" w:cstheme="minorEastAsia"/>
                <w:color w:val="auto"/>
                <w:sz w:val="24"/>
                <w:szCs w:val="24"/>
                <w:highlight w:val="none"/>
              </w:rPr>
            </w:pPr>
          </w:p>
        </w:tc>
        <w:tc>
          <w:tcPr>
            <w:tcW w:w="1970" w:type="dxa"/>
            <w:tcBorders>
              <w:top w:val="single" w:color="000000" w:sz="4" w:space="0"/>
              <w:left w:val="single" w:color="000000" w:sz="4" w:space="0"/>
              <w:bottom w:val="single" w:color="000000" w:sz="4" w:space="0"/>
              <w:right w:val="single" w:color="auto" w:sz="4" w:space="0"/>
            </w:tcBorders>
            <w:vAlign w:val="center"/>
          </w:tcPr>
          <w:p>
            <w:pPr>
              <w:widowControl/>
              <w:jc w:val="left"/>
              <w:textAlignment w:val="center"/>
              <w:rPr>
                <w:rFonts w:hint="default" w:asciiTheme="minorEastAsia" w:hAnsiTheme="minorEastAsia" w:eastAsiaTheme="minorEastAsia" w:cstheme="minorEastAsia"/>
                <w:color w:val="auto"/>
                <w:sz w:val="24"/>
                <w:szCs w:val="24"/>
                <w:highlight w:val="none"/>
                <w:lang w:val="en-US" w:eastAsia="zh-CN"/>
              </w:rPr>
            </w:pPr>
            <w:r>
              <w:rPr>
                <w:rFonts w:hint="eastAsia" w:asciiTheme="minorEastAsia" w:hAnsiTheme="minorEastAsia" w:eastAsiaTheme="minorEastAsia" w:cstheme="minorEastAsia"/>
                <w:color w:val="auto"/>
                <w:sz w:val="24"/>
                <w:szCs w:val="24"/>
                <w:highlight w:val="none"/>
                <w:lang w:val="en-US" w:eastAsia="zh-CN"/>
              </w:rPr>
              <w:t>GB/T 5750.4-2006</w:t>
            </w:r>
          </w:p>
        </w:tc>
        <w:tc>
          <w:tcPr>
            <w:tcW w:w="547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色度、浑浊度、臭和味、肉眼可见物</w:t>
            </w:r>
          </w:p>
        </w:tc>
      </w:tr>
    </w:tbl>
    <w:p>
      <w:pPr>
        <w:widowControl/>
        <w:jc w:val="center"/>
        <w:textAlignment w:val="center"/>
        <w:rPr>
          <w:rFonts w:hint="eastAsia" w:asciiTheme="minorEastAsia" w:hAnsiTheme="minorEastAsia" w:eastAsiaTheme="minorEastAsia" w:cstheme="minorEastAsia"/>
          <w:color w:val="auto"/>
          <w:kern w:val="0"/>
          <w:sz w:val="24"/>
          <w:szCs w:val="24"/>
          <w:highlight w:val="none"/>
        </w:rPr>
      </w:pPr>
    </w:p>
    <w:p>
      <w:pPr>
        <w:spacing w:line="360" w:lineRule="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lang w:eastAsia="zh-CN"/>
        </w:rPr>
        <w:t>（四）</w:t>
      </w:r>
      <w:r>
        <w:rPr>
          <w:rFonts w:hint="eastAsia" w:asciiTheme="minorEastAsia" w:hAnsiTheme="minorEastAsia" w:eastAsiaTheme="minorEastAsia" w:cstheme="minorEastAsia"/>
          <w:color w:val="auto"/>
          <w:sz w:val="24"/>
          <w:szCs w:val="24"/>
          <w:highlight w:val="none"/>
        </w:rPr>
        <w:t>验收标准</w:t>
      </w:r>
    </w:p>
    <w:p>
      <w:pPr>
        <w:spacing w:line="360" w:lineRule="auto"/>
        <w:ind w:firstLine="480" w:firstLineChars="200"/>
      </w:pPr>
      <w:r>
        <w:rPr>
          <w:rFonts w:hint="eastAsia" w:asciiTheme="minorEastAsia" w:hAnsiTheme="minorEastAsia" w:eastAsiaTheme="minorEastAsia" w:cstheme="minorEastAsia"/>
          <w:color w:val="auto"/>
          <w:sz w:val="24"/>
          <w:szCs w:val="24"/>
          <w:highlight w:val="none"/>
        </w:rPr>
        <w:t>按照合同的约定和现行国家标准、行业标准以及企业标准对每一项服务标准的履约情况进行确认，根据需要设置验收环节。必要时，有权邀请第三方机构参与验收。验收结束后，应当出具验收书，列明各项标准的验收情况及项目总体评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EE3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8"/>
      <w:szCs w:val="36"/>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sz w:val="24"/>
      <w:szCs w:val="22"/>
      <w:lang w:val="zh-CN"/>
    </w:rPr>
  </w:style>
  <w:style w:type="paragraph" w:styleId="3">
    <w:name w:val="Body Text"/>
    <w:basedOn w:val="1"/>
    <w:qFormat/>
    <w:uiPriority w:val="0"/>
    <w:rPr>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2019-08-02T05:39:59Z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