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EB89B" w14:textId="77777777" w:rsidR="001D2EEC" w:rsidRDefault="001D2EEC" w:rsidP="001D2EEC">
      <w:pPr>
        <w:pStyle w:val="Default"/>
        <w:spacing w:line="360" w:lineRule="auto"/>
        <w:ind w:firstLineChars="200" w:firstLine="562"/>
        <w:jc w:val="center"/>
        <w:rPr>
          <w:rFonts w:ascii="Times New Roman" w:eastAsia="宋体" w:hAnsi="Times New Roman" w:cs="Times New Roman" w:hint="eastAsia"/>
          <w:b/>
          <w:bCs/>
          <w:color w:val="auto"/>
          <w:kern w:val="2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kern w:val="2"/>
          <w:sz w:val="28"/>
          <w:szCs w:val="28"/>
        </w:rPr>
        <w:t>项目需求书</w:t>
      </w:r>
    </w:p>
    <w:p w14:paraId="59FCE374" w14:textId="77777777" w:rsidR="001D2EEC" w:rsidRDefault="001D2EEC" w:rsidP="001D2EEC">
      <w:pPr>
        <w:pStyle w:val="2"/>
        <w:spacing w:line="360" w:lineRule="auto"/>
        <w:ind w:firstLine="448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一、整体设计要求</w:t>
      </w:r>
    </w:p>
    <w:p w14:paraId="55AECE7A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（一）布置设计方案</w:t>
      </w:r>
    </w:p>
    <w:p w14:paraId="2E340965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根据项目的核心诉求，结合基础资料，进行视觉形象系统以及牌示系统的初步构建，具体内容包括：</w:t>
      </w:r>
    </w:p>
    <w:p w14:paraId="1D5930D3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1)</w:t>
      </w:r>
      <w:r>
        <w:rPr>
          <w:rFonts w:ascii="宋体" w:hAnsi="宋体" w:cs="宋体" w:hint="eastAsia"/>
          <w:sz w:val="24"/>
          <w:szCs w:val="24"/>
        </w:rPr>
        <w:tab/>
        <w:t>国庆、春节节日主题展示</w:t>
      </w:r>
    </w:p>
    <w:p w14:paraId="01B2CCEC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2)</w:t>
      </w:r>
      <w:r>
        <w:rPr>
          <w:rFonts w:ascii="宋体" w:hAnsi="宋体" w:cs="宋体" w:hint="eastAsia"/>
          <w:sz w:val="24"/>
          <w:szCs w:val="24"/>
        </w:rPr>
        <w:tab/>
        <w:t>符合国庆、春节节日气氛的视觉形象风格</w:t>
      </w:r>
    </w:p>
    <w:p w14:paraId="436C2B0A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3)</w:t>
      </w:r>
      <w:r>
        <w:rPr>
          <w:rFonts w:ascii="宋体" w:hAnsi="宋体" w:cs="宋体" w:hint="eastAsia"/>
          <w:sz w:val="24"/>
          <w:szCs w:val="24"/>
        </w:rPr>
        <w:tab/>
        <w:t>视觉主形象概念设计</w:t>
      </w:r>
    </w:p>
    <w:p w14:paraId="27BBE60B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4)</w:t>
      </w:r>
      <w:r>
        <w:rPr>
          <w:rFonts w:ascii="宋体" w:hAnsi="宋体" w:cs="宋体" w:hint="eastAsia"/>
          <w:sz w:val="24"/>
          <w:szCs w:val="24"/>
        </w:rPr>
        <w:tab/>
        <w:t>色彩系统</w:t>
      </w:r>
    </w:p>
    <w:p w14:paraId="6E750272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5)</w:t>
      </w:r>
      <w:r>
        <w:rPr>
          <w:rFonts w:ascii="宋体" w:hAnsi="宋体" w:cs="宋体" w:hint="eastAsia"/>
          <w:sz w:val="24"/>
          <w:szCs w:val="24"/>
        </w:rPr>
        <w:tab/>
        <w:t>辅助图形系统</w:t>
      </w:r>
    </w:p>
    <w:p w14:paraId="19EBB013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6)</w:t>
      </w:r>
      <w:r>
        <w:rPr>
          <w:rFonts w:ascii="宋体" w:hAnsi="宋体" w:cs="宋体" w:hint="eastAsia"/>
          <w:sz w:val="24"/>
          <w:szCs w:val="24"/>
        </w:rPr>
        <w:tab/>
        <w:t>设计尺寸与工艺建议</w:t>
      </w:r>
    </w:p>
    <w:p w14:paraId="01CE88AC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7)</w:t>
      </w:r>
      <w:r>
        <w:rPr>
          <w:rFonts w:ascii="宋体" w:hAnsi="宋体" w:cs="宋体" w:hint="eastAsia"/>
          <w:sz w:val="24"/>
          <w:szCs w:val="24"/>
        </w:rPr>
        <w:tab/>
        <w:t>各视觉画面设计示范</w:t>
      </w:r>
    </w:p>
    <w:p w14:paraId="6B5DD1B3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8)</w:t>
      </w:r>
      <w:r>
        <w:rPr>
          <w:rFonts w:ascii="宋体" w:hAnsi="宋体" w:cs="宋体" w:hint="eastAsia"/>
          <w:sz w:val="24"/>
          <w:szCs w:val="24"/>
        </w:rPr>
        <w:tab/>
        <w:t>三维效果图示范</w:t>
      </w:r>
    </w:p>
    <w:p w14:paraId="0942A81C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(二)方案深化设计</w:t>
      </w:r>
    </w:p>
    <w:p w14:paraId="5D37E9C0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在概念方案确认完毕后，选定范围进行方案深化设计，具体内容包括：</w:t>
      </w:r>
    </w:p>
    <w:p w14:paraId="450F51B4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1)</w:t>
      </w:r>
      <w:r>
        <w:rPr>
          <w:rFonts w:ascii="宋体" w:hAnsi="宋体" w:cs="宋体" w:hint="eastAsia"/>
          <w:sz w:val="24"/>
          <w:szCs w:val="24"/>
        </w:rPr>
        <w:tab/>
        <w:t>视觉形象系统深化</w:t>
      </w:r>
    </w:p>
    <w:p w14:paraId="77BE2FE4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2)</w:t>
      </w:r>
      <w:r>
        <w:rPr>
          <w:rFonts w:ascii="宋体" w:hAnsi="宋体" w:cs="宋体" w:hint="eastAsia"/>
          <w:sz w:val="24"/>
          <w:szCs w:val="24"/>
        </w:rPr>
        <w:tab/>
        <w:t>物料落位点与数量统计</w:t>
      </w:r>
    </w:p>
    <w:p w14:paraId="5640454C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3)</w:t>
      </w:r>
      <w:r>
        <w:rPr>
          <w:rFonts w:ascii="宋体" w:hAnsi="宋体" w:cs="宋体" w:hint="eastAsia"/>
          <w:sz w:val="24"/>
          <w:szCs w:val="24"/>
        </w:rPr>
        <w:tab/>
        <w:t>各节日街景、道旗、电子屏画面设计深化与说明</w:t>
      </w:r>
    </w:p>
    <w:p w14:paraId="7AAF5E08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4)</w:t>
      </w:r>
      <w:r>
        <w:rPr>
          <w:rFonts w:ascii="宋体" w:hAnsi="宋体" w:cs="宋体" w:hint="eastAsia"/>
          <w:sz w:val="24"/>
          <w:szCs w:val="24"/>
        </w:rPr>
        <w:tab/>
        <w:t>各节日街景、道旗安装造价评估</w:t>
      </w:r>
    </w:p>
    <w:p w14:paraId="34B7488D" w14:textId="77777777" w:rsidR="001D2EEC" w:rsidRDefault="001D2EEC" w:rsidP="001D2EEC">
      <w:pPr>
        <w:spacing w:line="360" w:lineRule="auto"/>
        <w:ind w:firstLine="446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5)</w:t>
      </w:r>
      <w:r>
        <w:rPr>
          <w:rFonts w:ascii="宋体" w:hAnsi="宋体" w:cs="宋体" w:hint="eastAsia"/>
          <w:sz w:val="24"/>
          <w:szCs w:val="24"/>
        </w:rPr>
        <w:tab/>
        <w:t>扩初图纸对接，包括：材料、色彩、制作工艺等。</w:t>
      </w:r>
    </w:p>
    <w:p w14:paraId="76671592" w14:textId="77777777" w:rsidR="001D2EEC" w:rsidRDefault="001D2EEC" w:rsidP="001D2EEC">
      <w:pPr>
        <w:pStyle w:val="2"/>
        <w:spacing w:line="360" w:lineRule="auto"/>
        <w:ind w:firstLine="448"/>
        <w:rPr>
          <w:rFonts w:ascii="宋体" w:hAnsi="宋体" w:cs="宋体" w:hint="eastAsia"/>
          <w:sz w:val="24"/>
          <w:szCs w:val="24"/>
        </w:rPr>
      </w:pPr>
      <w:bookmarkStart w:id="0" w:name="_Toc451973756"/>
      <w:bookmarkStart w:id="1" w:name="_Toc14113"/>
      <w:bookmarkStart w:id="2" w:name="_Toc19665"/>
      <w:bookmarkStart w:id="3" w:name="_Toc451973801"/>
      <w:bookmarkStart w:id="4" w:name="_Toc15974"/>
      <w:bookmarkStart w:id="5" w:name="_Toc14729"/>
      <w:bookmarkStart w:id="6" w:name="_Toc16793"/>
      <w:bookmarkStart w:id="7" w:name="_Toc16637"/>
      <w:bookmarkStart w:id="8" w:name="_Toc6003"/>
      <w:bookmarkStart w:id="9" w:name="_Toc9553"/>
      <w:bookmarkStart w:id="10" w:name="_Toc16143"/>
      <w:r>
        <w:rPr>
          <w:rFonts w:ascii="宋体" w:hAnsi="宋体" w:cs="宋体" w:hint="eastAsia"/>
          <w:sz w:val="24"/>
          <w:szCs w:val="24"/>
        </w:rPr>
        <w:t>二、项目内容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BB385C3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1.国庆期间：</w:t>
      </w:r>
    </w:p>
    <w:p w14:paraId="611F7044" w14:textId="77777777" w:rsidR="001D2EEC" w:rsidRDefault="001D2EEC" w:rsidP="001D2EEC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为迎接中华人民共和国建国70周年，为给开发区营造一个喜庆、祥和、大气的节日氛围，结合滨海新区市容工作要求，泰达街道城管办拟对2019年国庆期间景观进行布置装点，方案如下：</w:t>
      </w:r>
    </w:p>
    <w:p w14:paraId="0E22C63C" w14:textId="77777777" w:rsidR="001D2EEC" w:rsidRDefault="001D2EEC" w:rsidP="001D2EEC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道旗制作安装</w:t>
      </w:r>
    </w:p>
    <w:p w14:paraId="671BA3FE" w14:textId="77777777" w:rsidR="001D2EEC" w:rsidRDefault="001D2EEC" w:rsidP="001D2EEC">
      <w:pPr>
        <w:spacing w:line="360" w:lineRule="auto"/>
        <w:ind w:left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画面内容：国旗。</w:t>
      </w:r>
    </w:p>
    <w:p w14:paraId="2A6F29F5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lastRenderedPageBreak/>
        <w:t>布置点位：第二大街（黄海路-北海路）、第三大街（黄海路-盛达街）、南海路（泰达大街-第一大街）、黄海路（泰达大街-第一大街）、北海路（第五大街-第二大街）、新城东路（第二大街-盛达街）、新城西路（第二大街-盛达街）共256杆。</w:t>
      </w:r>
    </w:p>
    <w:p w14:paraId="05A957F3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画面制作工艺：3M写真喷绘布</w:t>
      </w:r>
    </w:p>
    <w:p w14:paraId="4C9FC4BE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画面尺寸：1.44m*0.96m</w:t>
      </w:r>
    </w:p>
    <w:p w14:paraId="284B8118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安装方式：与灯杆丝杠链接、人工拆装</w:t>
      </w:r>
    </w:p>
    <w:p w14:paraId="73A447EA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拆除：按采购方要求进行拆除，不得损坏灯杆等设施。</w:t>
      </w:r>
    </w:p>
    <w:p w14:paraId="0067BFD1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（2）国庆景观布置</w:t>
      </w:r>
      <w:r>
        <w:rPr>
          <w:rFonts w:ascii="宋体" w:hAnsi="宋体" w:cs="宋体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处</w:t>
      </w:r>
    </w:p>
    <w:p w14:paraId="2736664E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地点：暂定在开发区东区范围内布置一处景观</w:t>
      </w:r>
    </w:p>
    <w:p w14:paraId="6CFF8CB6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景观设计要求：符合建国70周年的核心主题思想，体现出“恢弘庄严、普天同庆、美观大气”的浓厚节日气氛。</w:t>
      </w:r>
    </w:p>
    <w:p w14:paraId="22C60A32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用料材质：金属、镀锌板、水泥配重等</w:t>
      </w:r>
    </w:p>
    <w:p w14:paraId="2281DF2E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制作工艺：雕刻、焊接、折弯、金属下锚加固、焊接、防锈处理、表层烤漆等。</w:t>
      </w:r>
    </w:p>
    <w:p w14:paraId="6B5BB855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尺寸范围：最小面积不小于3m×3m，高度不得低于3m。</w:t>
      </w:r>
    </w:p>
    <w:p w14:paraId="38BB7FCD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其他要求：色彩要求艳丽丰富，避免色调单一的同时，需做到不花哨，符合主题风格。使用环保性高的用料和材质</w:t>
      </w:r>
      <w:r>
        <w:rPr>
          <w:rFonts w:ascii="宋体" w:hAnsi="宋体" w:cs="宋体"/>
          <w:bCs/>
          <w:sz w:val="24"/>
          <w:szCs w:val="24"/>
        </w:rPr>
        <w:t>，</w:t>
      </w:r>
      <w:r>
        <w:rPr>
          <w:rFonts w:ascii="宋体" w:hAnsi="宋体" w:cs="宋体" w:hint="eastAsia"/>
          <w:bCs/>
          <w:sz w:val="24"/>
          <w:szCs w:val="24"/>
        </w:rPr>
        <w:t>确保现场安装及使用过程中的用电及人员安全</w:t>
      </w:r>
    </w:p>
    <w:p w14:paraId="0C22BD1C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拆除：按采购方要求进行拆除，不得损坏地面及周边设施。</w:t>
      </w:r>
    </w:p>
    <w:p w14:paraId="2BBD8249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（3）电子屏宣传：设计4幅电子画面</w:t>
      </w:r>
    </w:p>
    <w:p w14:paraId="203BFD51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画面尺寸为：1280dpi×720dpi</w:t>
      </w:r>
    </w:p>
    <w:p w14:paraId="3871DB40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电子屏点位要求：暂定第三大街与黄海路交口电子屏、开发区管委会大楼电子屏、泰达MSD电子屏。</w:t>
      </w:r>
    </w:p>
    <w:p w14:paraId="02F50364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（4）电子道旗制作：设计4幅电子画面，画面尺寸按采购方要求制作调整。</w:t>
      </w:r>
    </w:p>
    <w:p w14:paraId="0C8FBE57" w14:textId="77777777" w:rsidR="001D2EEC" w:rsidRDefault="001D2EEC" w:rsidP="001D2EEC">
      <w:pPr>
        <w:pStyle w:val="a0"/>
        <w:spacing w:line="360" w:lineRule="auto"/>
        <w:ind w:firstLineChars="200" w:firstLine="48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以上内容要求在2</w:t>
      </w:r>
      <w:r>
        <w:rPr>
          <w:rFonts w:ascii="宋体" w:hAnsi="宋体" w:cs="宋体"/>
          <w:bCs/>
          <w:sz w:val="24"/>
          <w:szCs w:val="24"/>
        </w:rPr>
        <w:t>019</w:t>
      </w:r>
      <w:r>
        <w:rPr>
          <w:rFonts w:ascii="宋体" w:hAnsi="宋体" w:cs="宋体" w:hint="eastAsia"/>
          <w:bCs/>
          <w:sz w:val="24"/>
          <w:szCs w:val="24"/>
        </w:rPr>
        <w:t>年9月2</w:t>
      </w:r>
      <w:r>
        <w:rPr>
          <w:rFonts w:ascii="宋体" w:hAnsi="宋体" w:cs="宋体"/>
          <w:bCs/>
          <w:sz w:val="24"/>
          <w:szCs w:val="24"/>
        </w:rPr>
        <w:t>3</w:t>
      </w:r>
      <w:r>
        <w:rPr>
          <w:rFonts w:ascii="宋体" w:hAnsi="宋体" w:cs="宋体" w:hint="eastAsia"/>
          <w:bCs/>
          <w:sz w:val="24"/>
          <w:szCs w:val="24"/>
        </w:rPr>
        <w:t>日前完成安装布置，拆除时间暂定2</w:t>
      </w:r>
      <w:r>
        <w:rPr>
          <w:rFonts w:ascii="宋体" w:hAnsi="宋体" w:cs="宋体"/>
          <w:bCs/>
          <w:sz w:val="24"/>
          <w:szCs w:val="24"/>
        </w:rPr>
        <w:t>019</w:t>
      </w:r>
      <w:r>
        <w:rPr>
          <w:rFonts w:ascii="宋体" w:hAnsi="宋体" w:cs="宋体" w:hint="eastAsia"/>
          <w:bCs/>
          <w:sz w:val="24"/>
          <w:szCs w:val="24"/>
        </w:rPr>
        <w:t>年1</w:t>
      </w:r>
      <w:r>
        <w:rPr>
          <w:rFonts w:ascii="宋体" w:hAnsi="宋体" w:cs="宋体"/>
          <w:bCs/>
          <w:sz w:val="24"/>
          <w:szCs w:val="24"/>
        </w:rPr>
        <w:t>0</w:t>
      </w:r>
      <w:r>
        <w:rPr>
          <w:rFonts w:ascii="宋体" w:hAnsi="宋体" w:cs="宋体" w:hint="eastAsia"/>
          <w:bCs/>
          <w:sz w:val="24"/>
          <w:szCs w:val="24"/>
        </w:rPr>
        <w:t>月1</w:t>
      </w:r>
      <w:r>
        <w:rPr>
          <w:rFonts w:ascii="宋体" w:hAnsi="宋体" w:cs="宋体"/>
          <w:bCs/>
          <w:sz w:val="24"/>
          <w:szCs w:val="24"/>
        </w:rPr>
        <w:t>8</w:t>
      </w:r>
      <w:r>
        <w:rPr>
          <w:rFonts w:ascii="宋体" w:hAnsi="宋体" w:cs="宋体" w:hint="eastAsia"/>
          <w:bCs/>
          <w:sz w:val="24"/>
          <w:szCs w:val="24"/>
        </w:rPr>
        <w:t>日前（具体时间以采购方要求为准）。</w:t>
      </w:r>
    </w:p>
    <w:p w14:paraId="0185CD21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2.春节期间</w:t>
      </w:r>
    </w:p>
    <w:p w14:paraId="051B13F8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2020年春节节日气氛布置工作，按照喜庆、祥和、大气、洋气及节俭的原则，</w:t>
      </w:r>
      <w:r>
        <w:rPr>
          <w:rFonts w:ascii="宋体" w:hAnsi="宋体" w:cs="宋体" w:hint="eastAsia"/>
          <w:bCs/>
          <w:sz w:val="24"/>
          <w:szCs w:val="24"/>
        </w:rPr>
        <w:lastRenderedPageBreak/>
        <w:t>突出泰达特色，对重点区域、主要道路进行设计装点，营造“安定祥和、欢乐文明、优美靓丽、普天同庆”的浓厚节日气氛。</w:t>
      </w:r>
    </w:p>
    <w:p w14:paraId="7AD9C306" w14:textId="77777777" w:rsidR="001D2EEC" w:rsidRDefault="001D2EEC" w:rsidP="001D2EEC">
      <w:pPr>
        <w:numPr>
          <w:ilvl w:val="0"/>
          <w:numId w:val="2"/>
        </w:num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道旗制作安装</w:t>
      </w:r>
    </w:p>
    <w:p w14:paraId="0F1BA8E1" w14:textId="77777777" w:rsidR="001D2EEC" w:rsidRDefault="001D2EEC" w:rsidP="001D2EEC">
      <w:pPr>
        <w:spacing w:line="360" w:lineRule="auto"/>
        <w:ind w:left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画面内容：包括但不限于国旗，要求设计2幅春节画面备选。</w:t>
      </w:r>
    </w:p>
    <w:p w14:paraId="332A73D1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布置点位：第二大街（黄海路-北海路）、第三大街（黄海路-盛达街）、南海路（泰达大街-第一大街）、黄海路（泰达大街-第一大街）、北海路（第五大街-第二大街）、新城东路（第二大街-盛达街）、新城西路（第二大街-盛达街）共256杆（现有框架）。</w:t>
      </w:r>
    </w:p>
    <w:p w14:paraId="7EA9D59D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画面制作工艺：3M写真喷绘布</w:t>
      </w:r>
    </w:p>
    <w:p w14:paraId="5474ED2F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画面尺寸：1.44m×0.96m</w:t>
      </w:r>
    </w:p>
    <w:p w14:paraId="24BBF560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安装方式：与灯杆丝杠链接、人工拆装</w:t>
      </w:r>
    </w:p>
    <w:p w14:paraId="59C11A6C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拆除：按采购方要求进行拆除，不得损坏灯杆等设施。</w:t>
      </w:r>
    </w:p>
    <w:p w14:paraId="601F8410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（2）春节景观布置</w:t>
      </w:r>
      <w:r>
        <w:rPr>
          <w:rFonts w:ascii="宋体" w:hAnsi="宋体" w:cs="宋体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处</w:t>
      </w:r>
    </w:p>
    <w:p w14:paraId="341A4A0E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地点：暂定在开发区东区范围内布置一处景观。</w:t>
      </w:r>
    </w:p>
    <w:p w14:paraId="6F97D8AB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景观设计要求：突出安定祥和、欢乐文明、优美靓丽、普天同庆的节日氛围</w:t>
      </w:r>
    </w:p>
    <w:p w14:paraId="2F60134E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用料材质：金属、镀锌板、水泥配重等</w:t>
      </w:r>
    </w:p>
    <w:p w14:paraId="13D1627E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制作工艺：雕刻、焊接、折弯、金属下锚加固、焊接、防锈处理、表层烤漆等。</w:t>
      </w:r>
    </w:p>
    <w:p w14:paraId="62BC365E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尺寸范围：最小面积不得小于3m×3m，高度不低于3m.</w:t>
      </w:r>
    </w:p>
    <w:p w14:paraId="697E8FA2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其他要求：色彩要求艳丽丰富，避免色调单一的同时，需做到不花哨，符合主题风格。使用环保性高的用料和材质</w:t>
      </w:r>
      <w:r>
        <w:rPr>
          <w:rFonts w:ascii="宋体" w:hAnsi="宋体" w:cs="宋体"/>
          <w:bCs/>
          <w:sz w:val="24"/>
          <w:szCs w:val="24"/>
        </w:rPr>
        <w:t>。</w:t>
      </w:r>
      <w:r>
        <w:rPr>
          <w:rFonts w:ascii="宋体" w:hAnsi="宋体" w:cs="宋体" w:hint="eastAsia"/>
          <w:bCs/>
          <w:sz w:val="24"/>
          <w:szCs w:val="24"/>
        </w:rPr>
        <w:t>确保现场安装及使用过程中的用电及人员安全</w:t>
      </w:r>
    </w:p>
    <w:p w14:paraId="375931BD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拆除：按采购方要求进行拆除，不得损坏地面及周边设施。</w:t>
      </w:r>
    </w:p>
    <w:p w14:paraId="73D5EB1C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（3）电子屏宣传：设计4幅电子画面</w:t>
      </w:r>
    </w:p>
    <w:p w14:paraId="70A98E00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画面尺寸为：1280dpi×720dpi</w:t>
      </w:r>
    </w:p>
    <w:p w14:paraId="33B98784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电子屏点位要求：暂定第三大街与黄海路交口电子屏、开发区管委会大楼电子屏、泰达MSD电子屏。</w:t>
      </w:r>
    </w:p>
    <w:p w14:paraId="6F90B3FC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（4）电子道旗制作：设计4幅电子画面</w:t>
      </w:r>
    </w:p>
    <w:p w14:paraId="1D55AD01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画面尺寸按采购方要求制作调整。</w:t>
      </w:r>
    </w:p>
    <w:p w14:paraId="7ADACCE9" w14:textId="77777777" w:rsidR="001D2EEC" w:rsidRDefault="001D2EEC" w:rsidP="001D2EEC">
      <w:pPr>
        <w:spacing w:line="360" w:lineRule="auto"/>
        <w:ind w:firstLineChars="196" w:firstLine="470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lastRenderedPageBreak/>
        <w:t>以上内容要求在2</w:t>
      </w:r>
      <w:r>
        <w:rPr>
          <w:rFonts w:ascii="宋体" w:hAnsi="宋体" w:cs="宋体"/>
          <w:bCs/>
          <w:sz w:val="24"/>
          <w:szCs w:val="24"/>
        </w:rPr>
        <w:t>020</w:t>
      </w:r>
      <w:r>
        <w:rPr>
          <w:rFonts w:ascii="宋体" w:hAnsi="宋体" w:cs="宋体" w:hint="eastAsia"/>
          <w:bCs/>
          <w:sz w:val="24"/>
          <w:szCs w:val="24"/>
        </w:rPr>
        <w:t>年1月1</w:t>
      </w:r>
      <w:r>
        <w:rPr>
          <w:rFonts w:ascii="宋体" w:hAnsi="宋体" w:cs="宋体"/>
          <w:bCs/>
          <w:sz w:val="24"/>
          <w:szCs w:val="24"/>
        </w:rPr>
        <w:t>4</w:t>
      </w:r>
      <w:r>
        <w:rPr>
          <w:rFonts w:ascii="宋体" w:hAnsi="宋体" w:cs="宋体" w:hint="eastAsia"/>
          <w:bCs/>
          <w:sz w:val="24"/>
          <w:szCs w:val="24"/>
        </w:rPr>
        <w:t>日（腊月二十）前完成安装布置，拆除时间暂定2</w:t>
      </w:r>
      <w:r>
        <w:rPr>
          <w:rFonts w:ascii="宋体" w:hAnsi="宋体" w:cs="宋体"/>
          <w:bCs/>
          <w:sz w:val="24"/>
          <w:szCs w:val="24"/>
        </w:rPr>
        <w:t>020</w:t>
      </w:r>
      <w:r>
        <w:rPr>
          <w:rFonts w:ascii="宋体" w:hAnsi="宋体" w:cs="宋体" w:hint="eastAsia"/>
          <w:bCs/>
          <w:sz w:val="24"/>
          <w:szCs w:val="24"/>
        </w:rPr>
        <w:t>年2月1</w:t>
      </w:r>
      <w:r>
        <w:rPr>
          <w:rFonts w:ascii="宋体" w:hAnsi="宋体" w:cs="宋体"/>
          <w:bCs/>
          <w:sz w:val="24"/>
          <w:szCs w:val="24"/>
        </w:rPr>
        <w:t>5</w:t>
      </w:r>
      <w:r>
        <w:rPr>
          <w:rFonts w:ascii="宋体" w:hAnsi="宋体" w:cs="宋体" w:hint="eastAsia"/>
          <w:bCs/>
          <w:sz w:val="24"/>
          <w:szCs w:val="24"/>
        </w:rPr>
        <w:t>日（正月二十二）前（具体时间以采购方要求为准）。</w:t>
      </w:r>
    </w:p>
    <w:p w14:paraId="36F406C6" w14:textId="77777777" w:rsidR="001D2EEC" w:rsidRDefault="001D2EEC" w:rsidP="001D2EEC">
      <w:pPr>
        <w:pStyle w:val="a0"/>
        <w:rPr>
          <w:rFonts w:hint="eastAsia"/>
        </w:rPr>
      </w:pPr>
    </w:p>
    <w:p w14:paraId="4AB4A4C8" w14:textId="77777777" w:rsidR="001D2EEC" w:rsidRDefault="001D2EEC" w:rsidP="001D2EEC">
      <w:pPr>
        <w:pStyle w:val="Default"/>
        <w:spacing w:line="360" w:lineRule="auto"/>
        <w:jc w:val="both"/>
        <w:rPr>
          <w:rFonts w:ascii="宋体" w:eastAsia="宋体" w:hAnsi="宋体" w:cs="宋体"/>
          <w:b/>
          <w:bCs/>
          <w:color w:val="auto"/>
          <w:kern w:val="2"/>
        </w:rPr>
      </w:pPr>
      <w:r>
        <w:rPr>
          <w:rFonts w:ascii="宋体" w:eastAsia="宋体" w:hAnsi="宋体" w:cs="宋体" w:hint="eastAsia"/>
          <w:b/>
          <w:bCs/>
          <w:color w:val="auto"/>
          <w:kern w:val="2"/>
        </w:rPr>
        <w:t>三、其他要求</w:t>
      </w:r>
    </w:p>
    <w:p w14:paraId="0F22781B" w14:textId="77777777" w:rsidR="001D2EEC" w:rsidRDefault="001D2EEC" w:rsidP="001D2EEC">
      <w:pPr>
        <w:pStyle w:val="Default"/>
        <w:spacing w:line="360" w:lineRule="auto"/>
        <w:jc w:val="both"/>
        <w:rPr>
          <w:rFonts w:ascii="宋体" w:eastAsia="宋体" w:hAnsi="宋体" w:cs="宋体" w:hint="eastAsia"/>
          <w:b/>
          <w:bCs/>
          <w:color w:val="auto"/>
        </w:rPr>
      </w:pPr>
      <w:r>
        <w:rPr>
          <w:rFonts w:ascii="宋体" w:eastAsia="宋体" w:hAnsi="宋体" w:cs="Times New Roman" w:hint="eastAsia"/>
          <w:color w:val="auto"/>
        </w:rPr>
        <w:t>★1、</w:t>
      </w:r>
      <w:r>
        <w:rPr>
          <w:rFonts w:ascii="宋体" w:eastAsia="宋体" w:hAnsi="宋体" w:cs="宋体" w:hint="eastAsia"/>
          <w:b/>
          <w:bCs/>
          <w:color w:val="auto"/>
          <w:kern w:val="2"/>
        </w:rPr>
        <w:t>安装拆卸期间应保证文明施工，减少对周边环境的影响。安装后展示期间，应安排专人值班巡查，及时处理有关问题</w:t>
      </w:r>
      <w:bookmarkStart w:id="11" w:name="_GoBack"/>
      <w:bookmarkEnd w:id="11"/>
      <w:r>
        <w:rPr>
          <w:rFonts w:ascii="宋体" w:eastAsia="宋体" w:hAnsi="宋体" w:cs="宋体" w:hint="eastAsia"/>
          <w:b/>
          <w:bCs/>
          <w:color w:val="auto"/>
          <w:kern w:val="2"/>
        </w:rPr>
        <w:t>，及时擦洗，确保整洁。如安装后在展示过程中发生</w:t>
      </w:r>
      <w:r>
        <w:rPr>
          <w:rFonts w:ascii="宋体" w:eastAsia="宋体" w:hAnsi="宋体" w:cs="宋体" w:hint="eastAsia"/>
          <w:b/>
          <w:bCs/>
          <w:color w:val="auto"/>
        </w:rPr>
        <w:t>故障、脱落、倾斜等突发情况，成交供应商在接到通知后一小时内赶到现场并开始作业。所发生的费用由成交供应商自行承担。</w:t>
      </w:r>
      <w:r>
        <w:rPr>
          <w:rFonts w:ascii="宋体" w:eastAsia="宋体" w:hAnsi="宋体" w:cs="Arial" w:hint="eastAsia"/>
          <w:b/>
          <w:bCs/>
          <w:color w:val="auto"/>
          <w:szCs w:val="22"/>
        </w:rPr>
        <w:t>须提</w:t>
      </w:r>
      <w:r>
        <w:rPr>
          <w:rFonts w:ascii="宋体" w:eastAsia="宋体" w:hAnsi="宋体" w:cs="Arial" w:hint="eastAsia"/>
          <w:b/>
          <w:bCs/>
          <w:color w:val="auto"/>
        </w:rPr>
        <w:t>供承诺书附在技术标中，否则视为无效标。</w:t>
      </w:r>
    </w:p>
    <w:p w14:paraId="3866696B" w14:textId="77777777" w:rsidR="001D2EEC" w:rsidRDefault="001D2EEC" w:rsidP="001D2EEC">
      <w:pPr>
        <w:pStyle w:val="Default"/>
        <w:spacing w:line="360" w:lineRule="auto"/>
        <w:jc w:val="both"/>
        <w:rPr>
          <w:rFonts w:ascii="宋体" w:eastAsia="宋体" w:hAnsi="宋体" w:cs="宋体"/>
          <w:b/>
          <w:bCs/>
          <w:color w:val="auto"/>
        </w:rPr>
      </w:pPr>
      <w:r>
        <w:rPr>
          <w:rFonts w:ascii="宋体" w:eastAsia="宋体" w:hAnsi="宋体" w:cs="宋体" w:hint="eastAsia"/>
          <w:b/>
          <w:bCs/>
          <w:color w:val="auto"/>
        </w:rPr>
        <w:t>★2、成交供应商提供初步方案设计，根据采购人要求进行调整，最终方案设计由采购人确认无误后进行实施。</w:t>
      </w:r>
    </w:p>
    <w:p w14:paraId="65C6B8BE" w14:textId="77777777" w:rsidR="00940B22" w:rsidRPr="001D2EEC" w:rsidRDefault="00940B22"/>
    <w:sectPr w:rsidR="00940B22" w:rsidRPr="001D2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28D2D" w14:textId="77777777" w:rsidR="003A04EA" w:rsidRDefault="003A04EA" w:rsidP="001D2EEC">
      <w:r>
        <w:separator/>
      </w:r>
    </w:p>
  </w:endnote>
  <w:endnote w:type="continuationSeparator" w:id="0">
    <w:p w14:paraId="76076B56" w14:textId="77777777" w:rsidR="003A04EA" w:rsidRDefault="003A04EA" w:rsidP="001D2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......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B2FA3" w14:textId="77777777" w:rsidR="003A04EA" w:rsidRDefault="003A04EA" w:rsidP="001D2EEC">
      <w:r>
        <w:separator/>
      </w:r>
    </w:p>
  </w:footnote>
  <w:footnote w:type="continuationSeparator" w:id="0">
    <w:p w14:paraId="2652B174" w14:textId="77777777" w:rsidR="003A04EA" w:rsidRDefault="003A04EA" w:rsidP="001D2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ind w:left="1190" w:hanging="720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ind w:left="1310" w:hanging="420"/>
      </w:pPr>
    </w:lvl>
    <w:lvl w:ilvl="2">
      <w:start w:val="1"/>
      <w:numFmt w:val="lowerRoman"/>
      <w:lvlRestart w:val="0"/>
      <w:lvlText w:val="%3."/>
      <w:lvlJc w:val="right"/>
      <w:pPr>
        <w:ind w:left="1730" w:hanging="420"/>
      </w:pPr>
    </w:lvl>
    <w:lvl w:ilvl="3">
      <w:start w:val="1"/>
      <w:numFmt w:val="decimal"/>
      <w:lvlRestart w:val="0"/>
      <w:lvlText w:val="%4."/>
      <w:lvlJc w:val="left"/>
      <w:pPr>
        <w:ind w:left="2150" w:hanging="420"/>
      </w:pPr>
    </w:lvl>
    <w:lvl w:ilvl="4">
      <w:start w:val="1"/>
      <w:numFmt w:val="lowerLetter"/>
      <w:lvlRestart w:val="0"/>
      <w:lvlText w:val="%5)"/>
      <w:lvlJc w:val="left"/>
      <w:pPr>
        <w:ind w:left="2570" w:hanging="420"/>
      </w:pPr>
    </w:lvl>
    <w:lvl w:ilvl="5">
      <w:start w:val="1"/>
      <w:numFmt w:val="lowerRoman"/>
      <w:lvlRestart w:val="0"/>
      <w:lvlText w:val="%6."/>
      <w:lvlJc w:val="right"/>
      <w:pPr>
        <w:ind w:left="2990" w:hanging="420"/>
      </w:pPr>
    </w:lvl>
    <w:lvl w:ilvl="6">
      <w:start w:val="1"/>
      <w:numFmt w:val="decimal"/>
      <w:lvlRestart w:val="0"/>
      <w:lvlText w:val="%7."/>
      <w:lvlJc w:val="left"/>
      <w:pPr>
        <w:ind w:left="3410" w:hanging="420"/>
      </w:pPr>
    </w:lvl>
    <w:lvl w:ilvl="7">
      <w:start w:val="1"/>
      <w:numFmt w:val="lowerLetter"/>
      <w:lvlRestart w:val="0"/>
      <w:lvlText w:val="%8)"/>
      <w:lvlJc w:val="left"/>
      <w:pPr>
        <w:ind w:left="3830" w:hanging="420"/>
      </w:pPr>
    </w:lvl>
    <w:lvl w:ilvl="8">
      <w:start w:val="1"/>
      <w:numFmt w:val="lowerRoman"/>
      <w:lvlRestart w:val="0"/>
      <w:lvlText w:val="%9."/>
      <w:lvlJc w:val="right"/>
      <w:pPr>
        <w:ind w:left="425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（%1）"/>
      <w:lvlJc w:val="left"/>
      <w:pPr>
        <w:ind w:left="1190" w:hanging="720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ind w:left="1310" w:hanging="420"/>
      </w:pPr>
    </w:lvl>
    <w:lvl w:ilvl="2">
      <w:start w:val="1"/>
      <w:numFmt w:val="lowerRoman"/>
      <w:lvlRestart w:val="0"/>
      <w:lvlText w:val="%3."/>
      <w:lvlJc w:val="right"/>
      <w:pPr>
        <w:ind w:left="1730" w:hanging="420"/>
      </w:pPr>
    </w:lvl>
    <w:lvl w:ilvl="3">
      <w:start w:val="1"/>
      <w:numFmt w:val="decimal"/>
      <w:lvlRestart w:val="0"/>
      <w:lvlText w:val="%4."/>
      <w:lvlJc w:val="left"/>
      <w:pPr>
        <w:ind w:left="2150" w:hanging="420"/>
      </w:pPr>
    </w:lvl>
    <w:lvl w:ilvl="4">
      <w:start w:val="1"/>
      <w:numFmt w:val="lowerLetter"/>
      <w:lvlRestart w:val="0"/>
      <w:lvlText w:val="%5)"/>
      <w:lvlJc w:val="left"/>
      <w:pPr>
        <w:ind w:left="2570" w:hanging="420"/>
      </w:pPr>
    </w:lvl>
    <w:lvl w:ilvl="5">
      <w:start w:val="1"/>
      <w:numFmt w:val="lowerRoman"/>
      <w:lvlRestart w:val="0"/>
      <w:lvlText w:val="%6."/>
      <w:lvlJc w:val="right"/>
      <w:pPr>
        <w:ind w:left="2990" w:hanging="420"/>
      </w:pPr>
    </w:lvl>
    <w:lvl w:ilvl="6">
      <w:start w:val="1"/>
      <w:numFmt w:val="decimal"/>
      <w:lvlRestart w:val="0"/>
      <w:lvlText w:val="%7."/>
      <w:lvlJc w:val="left"/>
      <w:pPr>
        <w:ind w:left="3410" w:hanging="420"/>
      </w:pPr>
    </w:lvl>
    <w:lvl w:ilvl="7">
      <w:start w:val="1"/>
      <w:numFmt w:val="lowerLetter"/>
      <w:lvlRestart w:val="0"/>
      <w:lvlText w:val="%8)"/>
      <w:lvlJc w:val="left"/>
      <w:pPr>
        <w:ind w:left="3830" w:hanging="420"/>
      </w:pPr>
    </w:lvl>
    <w:lvl w:ilvl="8">
      <w:start w:val="1"/>
      <w:numFmt w:val="lowerRoman"/>
      <w:lvlRestart w:val="0"/>
      <w:lvlText w:val="%9."/>
      <w:lvlJc w:val="right"/>
      <w:pPr>
        <w:ind w:left="425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71"/>
    <w:rsid w:val="001D2EEC"/>
    <w:rsid w:val="003A04EA"/>
    <w:rsid w:val="00940B22"/>
    <w:rsid w:val="00AA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254C57-4013-4145-90A2-EFB0E717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D2EE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qFormat/>
    <w:rsid w:val="001D2EE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D2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D2E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2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D2EEC"/>
    <w:rPr>
      <w:sz w:val="18"/>
      <w:szCs w:val="18"/>
    </w:rPr>
  </w:style>
  <w:style w:type="character" w:customStyle="1" w:styleId="20">
    <w:name w:val="标题 2 字符"/>
    <w:basedOn w:val="a1"/>
    <w:link w:val="2"/>
    <w:rsid w:val="001D2EEC"/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正文文本 字符"/>
    <w:link w:val="a0"/>
    <w:rsid w:val="001D2EEC"/>
    <w:rPr>
      <w:rFonts w:ascii="Times New Roman" w:eastAsia="宋体" w:hAnsi="Times New Roman" w:cs="Times New Roman"/>
    </w:rPr>
  </w:style>
  <w:style w:type="paragraph" w:styleId="a0">
    <w:name w:val="Body Text"/>
    <w:basedOn w:val="a"/>
    <w:link w:val="a8"/>
    <w:rsid w:val="001D2EEC"/>
    <w:pPr>
      <w:spacing w:after="120"/>
    </w:pPr>
    <w:rPr>
      <w:szCs w:val="22"/>
    </w:rPr>
  </w:style>
  <w:style w:type="character" w:customStyle="1" w:styleId="1">
    <w:name w:val="正文文本 字符1"/>
    <w:basedOn w:val="a1"/>
    <w:uiPriority w:val="99"/>
    <w:semiHidden/>
    <w:rsid w:val="001D2EEC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1D2EEC"/>
    <w:pPr>
      <w:widowControl w:val="0"/>
      <w:autoSpaceDE w:val="0"/>
      <w:autoSpaceDN w:val="0"/>
      <w:adjustRightInd w:val="0"/>
    </w:pPr>
    <w:rPr>
      <w:rFonts w:ascii="......." w:eastAsia="......." w:hAnsi="......." w:cs="..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玉</dc:creator>
  <cp:keywords/>
  <dc:description/>
  <cp:lastModifiedBy>陈 玉</cp:lastModifiedBy>
  <cp:revision>2</cp:revision>
  <cp:lastPrinted>2019-08-19T04:37:00Z</cp:lastPrinted>
  <dcterms:created xsi:type="dcterms:W3CDTF">2019-08-19T04:36:00Z</dcterms:created>
  <dcterms:modified xsi:type="dcterms:W3CDTF">2019-08-19T04:37:00Z</dcterms:modified>
</cp:coreProperties>
</file>