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562" w:firstLineChars="200"/>
        <w:jc w:val="center"/>
        <w:rPr>
          <w:rFonts w:ascii="Times New Roman" w:hAnsi="Times New Roman" w:eastAsia="宋体" w:cs="Times New Roman"/>
          <w:b/>
          <w:bCs/>
          <w:color w:val="auto"/>
          <w:kern w:val="2"/>
          <w:sz w:val="28"/>
          <w:szCs w:val="28"/>
        </w:rPr>
      </w:pPr>
      <w:r>
        <w:rPr>
          <w:rFonts w:hint="eastAsia" w:ascii="Times New Roman" w:hAnsi="Times New Roman" w:eastAsia="宋体" w:cs="Times New Roman"/>
          <w:b/>
          <w:bCs/>
          <w:color w:val="auto"/>
          <w:kern w:val="2"/>
          <w:sz w:val="28"/>
          <w:szCs w:val="28"/>
        </w:rPr>
        <w:t>项目需求书</w:t>
      </w:r>
    </w:p>
    <w:p>
      <w:pPr>
        <w:pStyle w:val="4"/>
        <w:spacing w:line="360" w:lineRule="auto"/>
        <w:ind w:firstLine="482" w:firstLineChars="200"/>
        <w:jc w:val="center"/>
        <w:rPr>
          <w:rFonts w:hint="eastAsia" w:ascii="Times New Roman" w:hAnsi="Times New Roman" w:eastAsia="宋体" w:cs="Times New Roman"/>
          <w:b/>
          <w:bCs/>
          <w:color w:val="auto"/>
          <w:kern w:val="2"/>
          <w:szCs w:val="28"/>
        </w:rPr>
      </w:pPr>
      <w:r>
        <w:rPr>
          <w:rFonts w:hint="eastAsia" w:ascii="Times New Roman" w:hAnsi="Times New Roman" w:eastAsia="宋体" w:cs="Times New Roman"/>
          <w:b/>
          <w:bCs/>
          <w:color w:val="auto"/>
          <w:kern w:val="2"/>
          <w:szCs w:val="28"/>
        </w:rPr>
        <w:t>（以下内容中</w:t>
      </w:r>
      <w:r>
        <w:rPr>
          <w:rFonts w:hint="eastAsia" w:ascii="宋体" w:hAnsi="宋体" w:eastAsia="宋体" w:cs="Times New Roman"/>
          <w:b/>
          <w:bCs/>
          <w:color w:val="auto"/>
          <w:kern w:val="2"/>
          <w:szCs w:val="28"/>
        </w:rPr>
        <w:t>★</w:t>
      </w:r>
      <w:r>
        <w:rPr>
          <w:rFonts w:hint="eastAsia" w:ascii="Times New Roman" w:hAnsi="Times New Roman" w:eastAsia="宋体" w:cs="Times New Roman"/>
          <w:b/>
          <w:bCs/>
          <w:color w:val="auto"/>
          <w:kern w:val="2"/>
          <w:szCs w:val="28"/>
        </w:rPr>
        <w:t>号条款为实质性要求）</w:t>
      </w:r>
    </w:p>
    <w:p>
      <w:pPr>
        <w:pStyle w:val="5"/>
        <w:numPr>
          <w:ilvl w:val="0"/>
          <w:numId w:val="1"/>
        </w:numPr>
        <w:autoSpaceDE w:val="0"/>
        <w:autoSpaceDN w:val="0"/>
        <w:adjustRightInd w:val="0"/>
        <w:spacing w:before="168" w:after="168" w:line="360" w:lineRule="auto"/>
        <w:ind w:firstLineChars="0"/>
        <w:jc w:val="left"/>
        <w:rPr>
          <w:rFonts w:ascii="宋体" w:hAnsi="宋体"/>
          <w:b/>
          <w:position w:val="-12"/>
          <w:sz w:val="24"/>
          <w:szCs w:val="24"/>
        </w:rPr>
      </w:pPr>
      <w:r>
        <w:rPr>
          <w:rFonts w:hint="eastAsia" w:ascii="宋体" w:hAnsi="宋体"/>
          <w:b/>
          <w:position w:val="-12"/>
          <w:sz w:val="24"/>
          <w:szCs w:val="24"/>
        </w:rPr>
        <w:t>项目背景：</w:t>
      </w:r>
    </w:p>
    <w:p>
      <w:pPr>
        <w:spacing w:line="360" w:lineRule="auto"/>
        <w:ind w:firstLine="420"/>
        <w:rPr>
          <w:rFonts w:ascii="宋体" w:hAnsi="宋体" w:cs="宋体"/>
          <w:kern w:val="0"/>
          <w:sz w:val="24"/>
          <w:szCs w:val="24"/>
        </w:rPr>
      </w:pPr>
      <w:r>
        <w:rPr>
          <w:rFonts w:hint="eastAsia" w:ascii="宋体" w:hAnsi="宋体" w:cs="宋体"/>
          <w:sz w:val="24"/>
          <w:szCs w:val="24"/>
        </w:rPr>
        <w:t>为庆祝改革开放四十周年，深入贯彻十九大精神。落实滨海新区创建繁荣宜居智慧新城的奋斗目标和“三六一”战略部署。围绕开发区工委、管委会“聚焦营商环境提升、聚焦产城融合”和泰达街工委、泰达社管委“大力推动两个创新，夯实一个保障，构建‘一四四七’社区治理模式”，同心同向，共同构建幸福泰达的工作思路。提升开发区体育品质、树立泰达特色健康理念和营造泰达体育生态社区为目标。</w:t>
      </w:r>
    </w:p>
    <w:p>
      <w:pPr>
        <w:spacing w:line="360" w:lineRule="auto"/>
        <w:rPr>
          <w:rFonts w:ascii="宋体" w:hAnsi="宋体"/>
          <w:sz w:val="24"/>
          <w:szCs w:val="24"/>
        </w:rPr>
      </w:pPr>
      <w:r>
        <w:rPr>
          <w:rFonts w:hint="eastAsia" w:ascii="宋体" w:hAnsi="宋体" w:cs="宋体"/>
          <w:kern w:val="0"/>
          <w:sz w:val="24"/>
          <w:szCs w:val="24"/>
        </w:rPr>
        <w:t>活动旨在</w:t>
      </w:r>
      <w:r>
        <w:rPr>
          <w:rFonts w:hint="eastAsia" w:ascii="宋体" w:hAnsi="宋体" w:cs="宋体"/>
          <w:sz w:val="24"/>
          <w:szCs w:val="24"/>
        </w:rPr>
        <w:t>推动开发区区域环境升级、提升城市机能、增添文化活力，营造创新创意生态氛围；凝心聚力，激发全区各界的城市归属感、荣耀感，打造泰达城市软性建设样板。推动泰达全民健身、青少体育、竞技体育、“体育”+生态，互通互融，协同发展，激发全区各界的城市幸福感。本届赛事将突出共建共享特色。</w:t>
      </w:r>
    </w:p>
    <w:p>
      <w:pPr>
        <w:spacing w:line="360" w:lineRule="auto"/>
        <w:rPr>
          <w:rFonts w:ascii="宋体" w:hAnsi="宋体"/>
          <w:b/>
          <w:position w:val="-12"/>
          <w:sz w:val="24"/>
          <w:szCs w:val="24"/>
        </w:rPr>
      </w:pPr>
    </w:p>
    <w:p>
      <w:pPr>
        <w:spacing w:line="360" w:lineRule="auto"/>
        <w:rPr>
          <w:rFonts w:ascii="宋体" w:hAnsi="宋体"/>
          <w:b/>
          <w:sz w:val="24"/>
          <w:szCs w:val="24"/>
        </w:rPr>
      </w:pPr>
      <w:r>
        <w:rPr>
          <w:rFonts w:hint="eastAsia" w:ascii="宋体" w:hAnsi="宋体"/>
          <w:b/>
          <w:sz w:val="24"/>
          <w:szCs w:val="24"/>
        </w:rPr>
        <w:t>二、项目内容及</w:t>
      </w:r>
      <w:r>
        <w:rPr>
          <w:rFonts w:ascii="宋体" w:hAnsi="宋体"/>
          <w:b/>
          <w:sz w:val="24"/>
          <w:szCs w:val="24"/>
        </w:rPr>
        <w:t>要求</w:t>
      </w:r>
      <w:r>
        <w:rPr>
          <w:rFonts w:hint="eastAsia" w:ascii="宋体" w:hAnsi="宋体"/>
          <w:b/>
          <w:sz w:val="24"/>
          <w:szCs w:val="24"/>
        </w:rPr>
        <w:t>：</w:t>
      </w:r>
    </w:p>
    <w:p>
      <w:pPr>
        <w:spacing w:line="360" w:lineRule="auto"/>
        <w:rPr>
          <w:rFonts w:ascii="宋体" w:hAnsi="宋体"/>
          <w:sz w:val="24"/>
          <w:szCs w:val="24"/>
        </w:rPr>
      </w:pPr>
      <w:r>
        <w:rPr>
          <w:rFonts w:ascii="宋体" w:hAnsi="宋体"/>
          <w:sz w:val="24"/>
          <w:szCs w:val="24"/>
        </w:rPr>
        <w:t>1.</w:t>
      </w:r>
      <w:r>
        <w:rPr>
          <w:rFonts w:hint="eastAsia" w:ascii="宋体" w:hAnsi="宋体"/>
          <w:sz w:val="24"/>
          <w:szCs w:val="24"/>
        </w:rPr>
        <w:t>项目名称：2019天津滨海泰达全民马拉松</w:t>
      </w:r>
    </w:p>
    <w:p>
      <w:pPr>
        <w:spacing w:line="360" w:lineRule="auto"/>
        <w:rPr>
          <w:rFonts w:ascii="宋体" w:hAnsi="宋体"/>
          <w:sz w:val="24"/>
          <w:szCs w:val="24"/>
        </w:rPr>
      </w:pPr>
      <w:r>
        <w:rPr>
          <w:rFonts w:ascii="宋体" w:hAnsi="宋体"/>
          <w:sz w:val="24"/>
          <w:szCs w:val="24"/>
        </w:rPr>
        <w:t>2.</w:t>
      </w:r>
      <w:r>
        <w:rPr>
          <w:rFonts w:hint="eastAsia" w:ascii="宋体" w:hAnsi="宋体"/>
          <w:sz w:val="24"/>
          <w:szCs w:val="24"/>
        </w:rPr>
        <w:t>项目内容：负责2019天津滨海泰达全民马拉松活动的策划与执行（赛事招商、赛事组织统筹、策划、</w:t>
      </w:r>
      <w:r>
        <w:rPr>
          <w:rFonts w:ascii="宋体" w:hAnsi="宋体"/>
          <w:sz w:val="24"/>
          <w:szCs w:val="24"/>
        </w:rPr>
        <w:t>活动执行、</w:t>
      </w:r>
      <w:r>
        <w:rPr>
          <w:rFonts w:hint="eastAsia" w:ascii="宋体" w:hAnsi="宋体"/>
          <w:sz w:val="24"/>
          <w:szCs w:val="24"/>
        </w:rPr>
        <w:t>宣传</w:t>
      </w:r>
      <w:r>
        <w:rPr>
          <w:rFonts w:ascii="宋体" w:hAnsi="宋体"/>
          <w:sz w:val="24"/>
          <w:szCs w:val="24"/>
        </w:rPr>
        <w:t>推广</w:t>
      </w:r>
      <w:r>
        <w:rPr>
          <w:rFonts w:hint="eastAsia" w:ascii="宋体" w:hAnsi="宋体"/>
          <w:sz w:val="24"/>
          <w:szCs w:val="24"/>
        </w:rPr>
        <w:t>、现场包装、演出表演等）。</w:t>
      </w:r>
    </w:p>
    <w:p>
      <w:pPr>
        <w:spacing w:line="360" w:lineRule="auto"/>
        <w:rPr>
          <w:rFonts w:ascii="宋体" w:hAnsi="宋体"/>
          <w:sz w:val="24"/>
          <w:szCs w:val="24"/>
        </w:rPr>
      </w:pPr>
      <w:r>
        <w:rPr>
          <w:rFonts w:ascii="宋体" w:hAnsi="宋体"/>
          <w:sz w:val="24"/>
          <w:szCs w:val="24"/>
        </w:rPr>
        <w:t>3.</w:t>
      </w:r>
      <w:r>
        <w:rPr>
          <w:rFonts w:hint="eastAsia" w:ascii="宋体" w:hAnsi="宋体"/>
          <w:sz w:val="24"/>
          <w:szCs w:val="24"/>
        </w:rPr>
        <w:t>项目要求：</w:t>
      </w:r>
    </w:p>
    <w:p>
      <w:pPr>
        <w:spacing w:line="360" w:lineRule="auto"/>
        <w:rPr>
          <w:rFonts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）活动在前三届成功举办的基础上，</w:t>
      </w:r>
      <w:r>
        <w:rPr>
          <w:rFonts w:ascii="宋体" w:hAnsi="宋体"/>
          <w:sz w:val="24"/>
          <w:szCs w:val="24"/>
        </w:rPr>
        <w:t>充分吸取赛事的经验，</w:t>
      </w:r>
      <w:r>
        <w:rPr>
          <w:rFonts w:hint="eastAsia" w:ascii="宋体" w:hAnsi="宋体"/>
          <w:sz w:val="24"/>
          <w:szCs w:val="24"/>
        </w:rPr>
        <w:t>利用</w:t>
      </w:r>
      <w:r>
        <w:rPr>
          <w:rFonts w:ascii="宋体" w:hAnsi="宋体"/>
          <w:sz w:val="24"/>
          <w:szCs w:val="24"/>
        </w:rPr>
        <w:t>现有资源优势，</w:t>
      </w:r>
      <w:r>
        <w:rPr>
          <w:rFonts w:hint="eastAsia" w:ascii="宋体" w:hAnsi="宋体"/>
          <w:sz w:val="24"/>
          <w:szCs w:val="24"/>
        </w:rPr>
        <w:t>继续</w:t>
      </w:r>
      <w:r>
        <w:rPr>
          <w:rFonts w:ascii="宋体" w:hAnsi="宋体"/>
          <w:sz w:val="24"/>
          <w:szCs w:val="24"/>
        </w:rPr>
        <w:t>扩大赛事的吸引力与影响力；</w:t>
      </w:r>
      <w:r>
        <w:rPr>
          <w:rFonts w:hint="eastAsia" w:ascii="宋体" w:hAnsi="宋体" w:cs="宋体"/>
          <w:sz w:val="24"/>
          <w:szCs w:val="24"/>
        </w:rPr>
        <w:t>打造泰达城市软性建设样板</w:t>
      </w:r>
      <w:r>
        <w:rPr>
          <w:rFonts w:hint="eastAsia" w:ascii="宋体" w:hAnsi="宋体"/>
          <w:sz w:val="24"/>
          <w:szCs w:val="24"/>
        </w:rPr>
        <w:t>，提升泰达市民归属感，倡导健康的生活理念，为全区企业、单位、职工、居民等各群体的文化体育交流搭建起桥梁。</w:t>
      </w:r>
    </w:p>
    <w:p>
      <w:pPr>
        <w:spacing w:line="360" w:lineRule="auto"/>
        <w:rPr>
          <w:rFonts w:ascii="宋体" w:hAnsi="宋体"/>
          <w:sz w:val="24"/>
          <w:szCs w:val="24"/>
        </w:rPr>
      </w:pPr>
      <w:r>
        <w:rPr>
          <w:rFonts w:hint="eastAsia" w:ascii="宋体" w:hAnsi="宋体"/>
          <w:sz w:val="24"/>
          <w:szCs w:val="24"/>
        </w:rPr>
        <w:t>（2）进一步</w:t>
      </w:r>
      <w:r>
        <w:rPr>
          <w:rFonts w:ascii="宋体" w:hAnsi="宋体"/>
          <w:sz w:val="24"/>
          <w:szCs w:val="24"/>
        </w:rPr>
        <w:t>提高赛事的信息化服务程度，</w:t>
      </w:r>
      <w:r>
        <w:rPr>
          <w:rFonts w:hint="eastAsia" w:ascii="宋体" w:hAnsi="宋体"/>
          <w:sz w:val="24"/>
          <w:szCs w:val="24"/>
        </w:rPr>
        <w:t>充分</w:t>
      </w:r>
      <w:r>
        <w:rPr>
          <w:rFonts w:ascii="宋体" w:hAnsi="宋体"/>
          <w:sz w:val="24"/>
          <w:szCs w:val="24"/>
        </w:rPr>
        <w:t>利用</w:t>
      </w:r>
      <w:r>
        <w:rPr>
          <w:rFonts w:hint="eastAsia" w:ascii="宋体" w:hAnsi="宋体"/>
          <w:sz w:val="24"/>
          <w:szCs w:val="24"/>
        </w:rPr>
        <w:t>互联网</w:t>
      </w:r>
      <w:r>
        <w:rPr>
          <w:rFonts w:ascii="宋体" w:hAnsi="宋体"/>
          <w:sz w:val="24"/>
          <w:szCs w:val="24"/>
        </w:rPr>
        <w:t>技术手段，为赛事提供</w:t>
      </w:r>
      <w:r>
        <w:rPr>
          <w:rFonts w:hint="eastAsia" w:ascii="宋体" w:hAnsi="宋体"/>
          <w:sz w:val="24"/>
          <w:szCs w:val="24"/>
        </w:rPr>
        <w:t>更加</w:t>
      </w:r>
      <w:r>
        <w:rPr>
          <w:rFonts w:ascii="宋体" w:hAnsi="宋体"/>
          <w:sz w:val="24"/>
          <w:szCs w:val="24"/>
        </w:rPr>
        <w:t>完善的信息化系统，</w:t>
      </w:r>
      <w:r>
        <w:rPr>
          <w:rFonts w:hint="eastAsia" w:ascii="宋体" w:hAnsi="宋体"/>
          <w:sz w:val="24"/>
          <w:szCs w:val="24"/>
        </w:rPr>
        <w:t>为</w:t>
      </w:r>
      <w:r>
        <w:rPr>
          <w:rFonts w:ascii="宋体" w:hAnsi="宋体"/>
          <w:sz w:val="24"/>
          <w:szCs w:val="24"/>
        </w:rPr>
        <w:t>参赛者提供更便利的服务方案。</w:t>
      </w:r>
    </w:p>
    <w:p>
      <w:pPr>
        <w:spacing w:line="360" w:lineRule="auto"/>
        <w:rPr>
          <w:rFonts w:ascii="宋体" w:hAnsi="宋体"/>
          <w:sz w:val="24"/>
          <w:szCs w:val="24"/>
        </w:rPr>
      </w:pPr>
      <w:r>
        <w:rPr>
          <w:rFonts w:hint="eastAsia" w:ascii="宋体" w:hAnsi="宋体"/>
          <w:sz w:val="24"/>
          <w:szCs w:val="24"/>
        </w:rPr>
        <w:t>（3）活动流程完整明晰，活动亮点符合活动调性；</w:t>
      </w:r>
    </w:p>
    <w:p>
      <w:pPr>
        <w:spacing w:line="360" w:lineRule="auto"/>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活动时间：201</w:t>
      </w:r>
      <w:r>
        <w:rPr>
          <w:rFonts w:ascii="宋体" w:hAnsi="宋体"/>
          <w:sz w:val="24"/>
          <w:szCs w:val="24"/>
        </w:rPr>
        <w:t>9</w:t>
      </w:r>
      <w:r>
        <w:rPr>
          <w:rFonts w:hint="eastAsia" w:ascii="宋体" w:hAnsi="宋体"/>
          <w:sz w:val="24"/>
          <w:szCs w:val="24"/>
        </w:rPr>
        <w:t>年10月</w:t>
      </w:r>
      <w:r>
        <w:rPr>
          <w:rFonts w:ascii="宋体" w:hAnsi="宋体"/>
          <w:sz w:val="24"/>
          <w:szCs w:val="24"/>
        </w:rPr>
        <w:t>30</w:t>
      </w:r>
      <w:r>
        <w:rPr>
          <w:rFonts w:hint="eastAsia" w:ascii="宋体" w:hAnsi="宋体"/>
          <w:sz w:val="24"/>
          <w:szCs w:val="24"/>
        </w:rPr>
        <w:t>日前，具体时间以采购人书面通知为准。</w:t>
      </w:r>
    </w:p>
    <w:p>
      <w:pPr>
        <w:spacing w:line="360" w:lineRule="auto"/>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活动场地：泰达MSD广场及周边</w:t>
      </w:r>
    </w:p>
    <w:p>
      <w:pPr>
        <w:tabs>
          <w:tab w:val="left" w:pos="1260"/>
        </w:tabs>
        <w:spacing w:line="360" w:lineRule="auto"/>
        <w:rPr>
          <w:rFonts w:ascii="宋体" w:hAnsi="宋体" w:cs="Arial"/>
          <w:sz w:val="24"/>
          <w:szCs w:val="24"/>
        </w:rPr>
      </w:pPr>
      <w:r>
        <w:rPr>
          <w:rFonts w:hint="eastAsia" w:ascii="宋体" w:hAnsi="宋体" w:cs="Arial"/>
          <w:sz w:val="24"/>
          <w:szCs w:val="24"/>
        </w:rPr>
        <w:t>（6</w:t>
      </w:r>
      <w:r>
        <w:rPr>
          <w:rFonts w:ascii="宋体" w:hAnsi="宋体" w:cs="Arial"/>
          <w:sz w:val="24"/>
          <w:szCs w:val="24"/>
        </w:rPr>
        <w:t>）文件</w:t>
      </w:r>
      <w:r>
        <w:rPr>
          <w:rFonts w:hint="eastAsia" w:ascii="宋体" w:hAnsi="宋体" w:cs="Arial"/>
          <w:sz w:val="24"/>
          <w:szCs w:val="24"/>
        </w:rPr>
        <w:t>中</w:t>
      </w:r>
      <w:r>
        <w:rPr>
          <w:rFonts w:ascii="宋体" w:hAnsi="宋体" w:cs="Arial"/>
          <w:sz w:val="24"/>
          <w:szCs w:val="24"/>
        </w:rPr>
        <w:t>所有</w:t>
      </w:r>
      <w:r>
        <w:rPr>
          <w:rFonts w:hint="eastAsia" w:ascii="宋体" w:hAnsi="宋体" w:cs="Arial"/>
          <w:sz w:val="24"/>
          <w:szCs w:val="24"/>
        </w:rPr>
        <w:t>★</w:t>
      </w:r>
      <w:r>
        <w:rPr>
          <w:rFonts w:hint="eastAsia" w:ascii="宋体" w:hAnsi="宋体"/>
          <w:sz w:val="24"/>
          <w:szCs w:val="24"/>
        </w:rPr>
        <w:t>号</w:t>
      </w:r>
      <w:r>
        <w:rPr>
          <w:rFonts w:ascii="宋体" w:hAnsi="宋体"/>
          <w:sz w:val="24"/>
          <w:szCs w:val="24"/>
        </w:rPr>
        <w:t>条款</w:t>
      </w:r>
      <w:r>
        <w:rPr>
          <w:rFonts w:hint="eastAsia" w:ascii="宋体" w:hAnsi="宋体"/>
          <w:sz w:val="24"/>
          <w:szCs w:val="24"/>
        </w:rPr>
        <w:t>为实质性</w:t>
      </w:r>
      <w:r>
        <w:rPr>
          <w:rFonts w:ascii="宋体" w:hAnsi="宋体"/>
          <w:sz w:val="24"/>
          <w:szCs w:val="24"/>
        </w:rPr>
        <w:t>要求，活动中必须实施</w:t>
      </w:r>
      <w:r>
        <w:rPr>
          <w:rFonts w:hint="eastAsia" w:ascii="宋体" w:hAnsi="宋体"/>
          <w:sz w:val="24"/>
          <w:szCs w:val="24"/>
        </w:rPr>
        <w:t>，</w:t>
      </w:r>
      <w:r>
        <w:rPr>
          <w:rFonts w:ascii="宋体" w:hAnsi="宋体"/>
          <w:sz w:val="24"/>
          <w:szCs w:val="24"/>
        </w:rPr>
        <w:t>与招商引资情况无关</w:t>
      </w:r>
      <w:r>
        <w:rPr>
          <w:rFonts w:hint="eastAsia" w:ascii="宋体" w:hAnsi="宋体"/>
          <w:sz w:val="24"/>
          <w:szCs w:val="24"/>
        </w:rPr>
        <w:t>。响应</w:t>
      </w:r>
      <w:r>
        <w:rPr>
          <w:rFonts w:ascii="宋体" w:hAnsi="宋体"/>
          <w:sz w:val="24"/>
          <w:szCs w:val="24"/>
        </w:rPr>
        <w:t>文件中须</w:t>
      </w:r>
      <w:r>
        <w:rPr>
          <w:rFonts w:hint="eastAsia" w:ascii="宋体" w:hAnsi="宋体"/>
          <w:sz w:val="24"/>
          <w:szCs w:val="24"/>
        </w:rPr>
        <w:t>出具</w:t>
      </w:r>
      <w:r>
        <w:rPr>
          <w:rFonts w:ascii="宋体" w:hAnsi="宋体"/>
          <w:sz w:val="24"/>
          <w:szCs w:val="24"/>
        </w:rPr>
        <w:t>针对本项目的</w:t>
      </w:r>
      <w:r>
        <w:rPr>
          <w:rFonts w:hint="eastAsia" w:ascii="宋体" w:hAnsi="宋体"/>
          <w:sz w:val="24"/>
          <w:szCs w:val="24"/>
        </w:rPr>
        <w:t>招商</w:t>
      </w:r>
      <w:r>
        <w:rPr>
          <w:rFonts w:ascii="宋体" w:hAnsi="宋体"/>
          <w:sz w:val="24"/>
          <w:szCs w:val="24"/>
        </w:rPr>
        <w:t>引资方案和策划实施组织方案</w:t>
      </w:r>
      <w:r>
        <w:rPr>
          <w:rFonts w:hint="eastAsia" w:ascii="宋体" w:hAnsi="宋体"/>
          <w:sz w:val="24"/>
          <w:szCs w:val="24"/>
        </w:rPr>
        <w:t>，</w:t>
      </w:r>
      <w:r>
        <w:rPr>
          <w:rFonts w:hint="eastAsia" w:ascii="宋体" w:hAnsi="宋体" w:cs="Arial"/>
          <w:sz w:val="24"/>
          <w:szCs w:val="24"/>
        </w:rPr>
        <w:t>最终</w:t>
      </w:r>
      <w:r>
        <w:rPr>
          <w:rFonts w:ascii="宋体" w:hAnsi="宋体" w:cs="Arial"/>
          <w:sz w:val="24"/>
          <w:szCs w:val="24"/>
        </w:rPr>
        <w:t>组织策划方案由</w:t>
      </w:r>
      <w:r>
        <w:rPr>
          <w:rFonts w:hint="eastAsia" w:ascii="宋体" w:hAnsi="宋体" w:cs="Arial"/>
          <w:sz w:val="24"/>
          <w:szCs w:val="24"/>
        </w:rPr>
        <w:t>成交</w:t>
      </w:r>
      <w:r>
        <w:rPr>
          <w:rFonts w:ascii="宋体" w:hAnsi="宋体" w:cs="Arial"/>
          <w:sz w:val="24"/>
          <w:szCs w:val="24"/>
        </w:rPr>
        <w:t>单位在本项目招商引资结束后根据引入资金数额提供最终策划方案，针对具体项目</w:t>
      </w:r>
      <w:r>
        <w:rPr>
          <w:rFonts w:hint="eastAsia" w:ascii="宋体" w:hAnsi="宋体" w:cs="Arial"/>
          <w:sz w:val="24"/>
          <w:szCs w:val="24"/>
        </w:rPr>
        <w:t>对</w:t>
      </w:r>
      <w:r>
        <w:rPr>
          <w:rFonts w:ascii="宋体" w:hAnsi="宋体" w:cs="Arial"/>
          <w:sz w:val="24"/>
          <w:szCs w:val="24"/>
        </w:rPr>
        <w:t>资金</w:t>
      </w:r>
      <w:r>
        <w:rPr>
          <w:rFonts w:hint="eastAsia" w:ascii="宋体" w:hAnsi="宋体" w:cs="Arial"/>
          <w:sz w:val="24"/>
          <w:szCs w:val="24"/>
        </w:rPr>
        <w:t>使用情况</w:t>
      </w:r>
      <w:r>
        <w:rPr>
          <w:rFonts w:ascii="宋体" w:hAnsi="宋体" w:cs="Arial"/>
          <w:sz w:val="24"/>
          <w:szCs w:val="24"/>
        </w:rPr>
        <w:t>做预分析</w:t>
      </w:r>
      <w:r>
        <w:rPr>
          <w:rFonts w:hint="eastAsia" w:ascii="宋体" w:hAnsi="宋体" w:cs="Arial"/>
          <w:sz w:val="24"/>
          <w:szCs w:val="24"/>
        </w:rPr>
        <w:t>并将招商引资情况及最终策划方案共同</w:t>
      </w:r>
      <w:r>
        <w:rPr>
          <w:rFonts w:ascii="宋体" w:hAnsi="宋体" w:cs="Arial"/>
          <w:sz w:val="24"/>
          <w:szCs w:val="24"/>
        </w:rPr>
        <w:t>报采购人审批，采购人批准后方可组织实施</w:t>
      </w:r>
      <w:r>
        <w:rPr>
          <w:rFonts w:ascii="宋体" w:hAnsi="宋体"/>
          <w:sz w:val="24"/>
          <w:szCs w:val="24"/>
        </w:rPr>
        <w:t>。</w:t>
      </w:r>
    </w:p>
    <w:p>
      <w:pPr>
        <w:tabs>
          <w:tab w:val="left" w:pos="1260"/>
        </w:tabs>
        <w:spacing w:line="360" w:lineRule="auto"/>
        <w:rPr>
          <w:rFonts w:ascii="宋体" w:hAnsi="宋体" w:cs="Arial"/>
          <w:sz w:val="24"/>
          <w:szCs w:val="24"/>
        </w:rPr>
      </w:pPr>
      <w:r>
        <w:rPr>
          <w:rFonts w:hint="eastAsia" w:ascii="宋体" w:hAnsi="宋体" w:cs="Arial"/>
          <w:sz w:val="24"/>
          <w:szCs w:val="24"/>
        </w:rPr>
        <w:t>（7</w:t>
      </w:r>
      <w:r>
        <w:rPr>
          <w:rFonts w:ascii="宋体" w:hAnsi="宋体" w:cs="Arial"/>
          <w:sz w:val="24"/>
          <w:szCs w:val="24"/>
        </w:rPr>
        <w:t>）</w:t>
      </w:r>
      <w:r>
        <w:rPr>
          <w:rFonts w:hint="eastAsia" w:ascii="宋体" w:hAnsi="宋体" w:cs="Arial"/>
          <w:sz w:val="24"/>
          <w:szCs w:val="24"/>
        </w:rPr>
        <w:t>本项目</w:t>
      </w:r>
      <w:r>
        <w:rPr>
          <w:rFonts w:ascii="宋体" w:hAnsi="宋体" w:cs="Arial"/>
          <w:sz w:val="24"/>
          <w:szCs w:val="24"/>
        </w:rPr>
        <w:t>为组织策划项目，所需资金</w:t>
      </w:r>
      <w:r>
        <w:rPr>
          <w:rFonts w:hint="eastAsia" w:ascii="宋体" w:hAnsi="宋体" w:cs="Arial"/>
          <w:sz w:val="24"/>
          <w:szCs w:val="24"/>
        </w:rPr>
        <w:t>不足部分</w:t>
      </w:r>
      <w:r>
        <w:rPr>
          <w:rFonts w:ascii="宋体" w:hAnsi="宋体" w:cs="Arial"/>
          <w:sz w:val="24"/>
          <w:szCs w:val="24"/>
        </w:rPr>
        <w:t>须由</w:t>
      </w:r>
      <w:r>
        <w:rPr>
          <w:rFonts w:hint="eastAsia" w:ascii="宋体" w:hAnsi="宋体" w:cs="Arial"/>
          <w:sz w:val="24"/>
          <w:szCs w:val="24"/>
        </w:rPr>
        <w:t>成交单位</w:t>
      </w:r>
      <w:r>
        <w:rPr>
          <w:rFonts w:ascii="宋体" w:hAnsi="宋体" w:cs="Arial"/>
          <w:sz w:val="24"/>
          <w:szCs w:val="24"/>
        </w:rPr>
        <w:t>通过招商引资方式完成</w:t>
      </w:r>
      <w:r>
        <w:rPr>
          <w:rFonts w:hint="eastAsia" w:ascii="宋体" w:hAnsi="宋体" w:cs="Arial"/>
          <w:sz w:val="24"/>
          <w:szCs w:val="24"/>
        </w:rPr>
        <w:t>。</w:t>
      </w:r>
    </w:p>
    <w:p>
      <w:pPr>
        <w:tabs>
          <w:tab w:val="left" w:pos="1260"/>
        </w:tabs>
        <w:spacing w:line="360" w:lineRule="auto"/>
        <w:rPr>
          <w:rFonts w:ascii="宋体" w:hAnsi="宋体" w:cs="Arial"/>
          <w:sz w:val="24"/>
          <w:szCs w:val="24"/>
        </w:rPr>
      </w:pPr>
      <w:r>
        <w:rPr>
          <w:rFonts w:hint="eastAsia" w:ascii="宋体" w:hAnsi="宋体" w:cs="Arial"/>
          <w:sz w:val="24"/>
          <w:szCs w:val="24"/>
        </w:rPr>
        <w:t>（8</w:t>
      </w:r>
      <w:r>
        <w:rPr>
          <w:rFonts w:ascii="宋体" w:hAnsi="宋体" w:cs="Arial"/>
          <w:sz w:val="24"/>
          <w:szCs w:val="24"/>
        </w:rPr>
        <w:t>）</w:t>
      </w:r>
      <w:r>
        <w:rPr>
          <w:rFonts w:hint="eastAsia" w:ascii="宋体" w:hAnsi="宋体" w:cs="Arial"/>
          <w:sz w:val="24"/>
          <w:szCs w:val="24"/>
        </w:rPr>
        <w:t>本次长跑</w:t>
      </w:r>
      <w:r>
        <w:rPr>
          <w:rFonts w:ascii="宋体" w:hAnsi="宋体" w:cs="Arial"/>
          <w:sz w:val="24"/>
          <w:szCs w:val="24"/>
        </w:rPr>
        <w:t>活动，可以对注资企业进行广告宣传，</w:t>
      </w:r>
      <w:r>
        <w:rPr>
          <w:rFonts w:hint="eastAsia" w:ascii="宋体" w:hAnsi="宋体" w:cs="Arial"/>
          <w:sz w:val="24"/>
          <w:szCs w:val="24"/>
        </w:rPr>
        <w:t>注资</w:t>
      </w:r>
      <w:r>
        <w:rPr>
          <w:rFonts w:ascii="宋体" w:hAnsi="宋体" w:cs="Arial"/>
          <w:sz w:val="24"/>
          <w:szCs w:val="24"/>
        </w:rPr>
        <w:t>企业类型</w:t>
      </w:r>
      <w:r>
        <w:rPr>
          <w:rFonts w:hint="eastAsia" w:ascii="宋体" w:hAnsi="宋体" w:cs="Arial"/>
          <w:sz w:val="24"/>
          <w:szCs w:val="24"/>
        </w:rPr>
        <w:t>须为</w:t>
      </w:r>
      <w:r>
        <w:rPr>
          <w:rFonts w:ascii="宋体" w:hAnsi="宋体" w:cs="Arial"/>
          <w:sz w:val="24"/>
          <w:szCs w:val="24"/>
        </w:rPr>
        <w:t>国家工商局注册</w:t>
      </w:r>
      <w:r>
        <w:rPr>
          <w:rFonts w:hint="eastAsia" w:ascii="宋体" w:hAnsi="宋体" w:cs="Arial"/>
          <w:sz w:val="24"/>
          <w:szCs w:val="24"/>
        </w:rPr>
        <w:t>合法企业</w:t>
      </w:r>
      <w:r>
        <w:rPr>
          <w:rFonts w:ascii="宋体" w:hAnsi="宋体" w:cs="Arial"/>
          <w:sz w:val="24"/>
          <w:szCs w:val="24"/>
        </w:rPr>
        <w:t>，</w:t>
      </w:r>
      <w:r>
        <w:rPr>
          <w:rFonts w:hint="eastAsia" w:ascii="宋体" w:hAnsi="宋体" w:cs="Arial"/>
          <w:sz w:val="24"/>
          <w:szCs w:val="24"/>
        </w:rPr>
        <w:t>且</w:t>
      </w:r>
      <w:r>
        <w:rPr>
          <w:rFonts w:ascii="宋体" w:hAnsi="宋体" w:cs="Arial"/>
          <w:sz w:val="24"/>
          <w:szCs w:val="24"/>
        </w:rPr>
        <w:t>不得含有国家明令禁止</w:t>
      </w:r>
      <w:r>
        <w:rPr>
          <w:rFonts w:hint="eastAsia" w:ascii="宋体" w:hAnsi="宋体" w:cs="Arial"/>
          <w:sz w:val="24"/>
          <w:szCs w:val="24"/>
        </w:rPr>
        <w:t>宣传广告、</w:t>
      </w:r>
      <w:r>
        <w:rPr>
          <w:rFonts w:ascii="宋体" w:hAnsi="宋体" w:cs="Arial"/>
          <w:sz w:val="24"/>
          <w:szCs w:val="24"/>
        </w:rPr>
        <w:t>虚假广告等</w:t>
      </w:r>
      <w:r>
        <w:rPr>
          <w:rFonts w:hint="eastAsia" w:ascii="宋体" w:hAnsi="宋体" w:cs="Arial"/>
          <w:sz w:val="24"/>
          <w:szCs w:val="24"/>
        </w:rPr>
        <w:t>。本次项目</w:t>
      </w:r>
      <w:r>
        <w:rPr>
          <w:rFonts w:ascii="宋体" w:hAnsi="宋体" w:cs="Arial"/>
          <w:sz w:val="24"/>
          <w:szCs w:val="24"/>
        </w:rPr>
        <w:t>冠名不得</w:t>
      </w:r>
      <w:r>
        <w:rPr>
          <w:rFonts w:hint="eastAsia" w:ascii="宋体" w:hAnsi="宋体" w:cs="Arial"/>
          <w:sz w:val="24"/>
          <w:szCs w:val="24"/>
        </w:rPr>
        <w:t>以</w:t>
      </w:r>
      <w:r>
        <w:rPr>
          <w:rFonts w:ascii="宋体" w:hAnsi="宋体" w:cs="Arial"/>
          <w:sz w:val="24"/>
          <w:szCs w:val="24"/>
        </w:rPr>
        <w:t>产品名称冠名，可以以公司、品牌的方式进行冠名，不得是具体的</w:t>
      </w:r>
      <w:r>
        <w:rPr>
          <w:rFonts w:hint="eastAsia" w:ascii="宋体" w:hAnsi="宋体" w:cs="Arial"/>
          <w:sz w:val="24"/>
          <w:szCs w:val="24"/>
        </w:rPr>
        <w:t>注资</w:t>
      </w:r>
      <w:r>
        <w:rPr>
          <w:rFonts w:ascii="宋体" w:hAnsi="宋体" w:cs="Arial"/>
          <w:sz w:val="24"/>
          <w:szCs w:val="24"/>
        </w:rPr>
        <w:t>企业名称</w:t>
      </w:r>
      <w:r>
        <w:rPr>
          <w:rFonts w:hint="eastAsia" w:ascii="宋体" w:hAnsi="宋体" w:cs="Arial"/>
          <w:sz w:val="24"/>
          <w:szCs w:val="24"/>
        </w:rPr>
        <w:t>。</w:t>
      </w:r>
    </w:p>
    <w:p>
      <w:pPr>
        <w:spacing w:line="360" w:lineRule="auto"/>
        <w:rPr>
          <w:rFonts w:ascii="宋体" w:hAnsi="宋体" w:cs="Arial"/>
          <w:sz w:val="24"/>
          <w:szCs w:val="24"/>
        </w:rPr>
      </w:pPr>
      <w:r>
        <w:rPr>
          <w:rFonts w:hint="eastAsia" w:ascii="宋体" w:hAnsi="宋体" w:cs="Arial"/>
          <w:sz w:val="24"/>
          <w:szCs w:val="24"/>
        </w:rPr>
        <w:t>（9</w:t>
      </w:r>
      <w:r>
        <w:rPr>
          <w:rFonts w:ascii="宋体" w:hAnsi="宋体" w:cs="Arial"/>
          <w:sz w:val="24"/>
          <w:szCs w:val="24"/>
        </w:rPr>
        <w:t>）</w:t>
      </w:r>
      <w:r>
        <w:rPr>
          <w:rFonts w:hint="eastAsia" w:ascii="宋体" w:hAnsi="宋体" w:cs="Arial"/>
          <w:sz w:val="24"/>
          <w:szCs w:val="24"/>
        </w:rPr>
        <w:t>成交单位须</w:t>
      </w:r>
      <w:r>
        <w:rPr>
          <w:rFonts w:ascii="宋体" w:hAnsi="宋体" w:cs="Arial"/>
          <w:sz w:val="24"/>
          <w:szCs w:val="24"/>
        </w:rPr>
        <w:t>于</w:t>
      </w:r>
      <w:r>
        <w:rPr>
          <w:rFonts w:hint="eastAsia" w:ascii="宋体" w:hAnsi="宋体" w:cs="Arial"/>
          <w:sz w:val="24"/>
          <w:szCs w:val="24"/>
        </w:rPr>
        <w:t>成交</w:t>
      </w:r>
      <w:r>
        <w:rPr>
          <w:rFonts w:ascii="宋体" w:hAnsi="宋体" w:cs="Arial"/>
          <w:sz w:val="24"/>
          <w:szCs w:val="24"/>
        </w:rPr>
        <w:t>后</w:t>
      </w:r>
      <w:r>
        <w:rPr>
          <w:rFonts w:hint="eastAsia" w:ascii="宋体" w:hAnsi="宋体" w:cs="Arial"/>
          <w:sz w:val="24"/>
          <w:szCs w:val="24"/>
        </w:rPr>
        <w:t>7个</w:t>
      </w:r>
      <w:r>
        <w:rPr>
          <w:rFonts w:ascii="宋体" w:hAnsi="宋体" w:cs="Arial"/>
          <w:sz w:val="24"/>
          <w:szCs w:val="24"/>
        </w:rPr>
        <w:t>工作日内将本项目招商引资方案报采购人审批，</w:t>
      </w:r>
      <w:r>
        <w:rPr>
          <w:rFonts w:hint="eastAsia" w:ascii="宋体" w:hAnsi="宋体" w:cs="Arial"/>
          <w:sz w:val="24"/>
          <w:szCs w:val="24"/>
        </w:rPr>
        <w:t>于</w:t>
      </w:r>
      <w:r>
        <w:rPr>
          <w:rFonts w:ascii="宋体" w:hAnsi="宋体" w:cs="Arial"/>
          <w:sz w:val="24"/>
          <w:szCs w:val="24"/>
        </w:rPr>
        <w:t>本项目招商引资结束后</w:t>
      </w:r>
      <w:r>
        <w:rPr>
          <w:rFonts w:hint="eastAsia" w:ascii="宋体" w:hAnsi="宋体" w:cs="Arial"/>
          <w:sz w:val="24"/>
          <w:szCs w:val="24"/>
        </w:rPr>
        <w:t>7个</w:t>
      </w:r>
      <w:r>
        <w:rPr>
          <w:rFonts w:ascii="宋体" w:hAnsi="宋体" w:cs="Arial"/>
          <w:sz w:val="24"/>
          <w:szCs w:val="24"/>
        </w:rPr>
        <w:t>工作日内将本项</w:t>
      </w:r>
      <w:r>
        <w:rPr>
          <w:rFonts w:hint="eastAsia" w:ascii="宋体" w:hAnsi="宋体" w:cs="Arial"/>
          <w:sz w:val="24"/>
          <w:szCs w:val="24"/>
        </w:rPr>
        <w:t>具体策划实施方案</w:t>
      </w:r>
      <w:r>
        <w:rPr>
          <w:rFonts w:ascii="宋体" w:hAnsi="宋体" w:cs="Arial"/>
          <w:sz w:val="24"/>
          <w:szCs w:val="24"/>
        </w:rPr>
        <w:t>报采购人审批。</w:t>
      </w:r>
    </w:p>
    <w:p>
      <w:pPr>
        <w:spacing w:line="360" w:lineRule="auto"/>
        <w:rPr>
          <w:rFonts w:ascii="宋体" w:hAnsi="宋体" w:cs="Arial"/>
          <w:sz w:val="24"/>
          <w:szCs w:val="24"/>
        </w:rPr>
      </w:pPr>
      <w:r>
        <w:rPr>
          <w:rFonts w:hint="eastAsia" w:ascii="宋体" w:hAnsi="宋体" w:cs="Arial"/>
          <w:sz w:val="24"/>
          <w:szCs w:val="24"/>
        </w:rPr>
        <w:t>（10</w:t>
      </w:r>
      <w:r>
        <w:rPr>
          <w:rFonts w:ascii="宋体" w:hAnsi="宋体" w:cs="Arial"/>
          <w:sz w:val="24"/>
          <w:szCs w:val="24"/>
        </w:rPr>
        <w:t>）</w:t>
      </w:r>
      <w:r>
        <w:rPr>
          <w:rFonts w:hint="eastAsia" w:ascii="宋体" w:hAnsi="宋体" w:cs="Arial"/>
          <w:sz w:val="24"/>
          <w:szCs w:val="24"/>
        </w:rPr>
        <w:t>由成交单位</w:t>
      </w:r>
      <w:r>
        <w:rPr>
          <w:rFonts w:ascii="宋体" w:hAnsi="宋体" w:cs="Arial"/>
          <w:sz w:val="24"/>
          <w:szCs w:val="24"/>
        </w:rPr>
        <w:t>负责提供举办本次</w:t>
      </w:r>
      <w:r>
        <w:rPr>
          <w:rFonts w:hint="eastAsia" w:ascii="宋体" w:hAnsi="宋体" w:cs="Arial"/>
          <w:sz w:val="24"/>
          <w:szCs w:val="24"/>
        </w:rPr>
        <w:t>马拉松</w:t>
      </w:r>
      <w:r>
        <w:rPr>
          <w:rFonts w:ascii="宋体" w:hAnsi="宋体" w:cs="Arial"/>
          <w:sz w:val="24"/>
          <w:szCs w:val="24"/>
        </w:rPr>
        <w:t>大赛</w:t>
      </w:r>
      <w:r>
        <w:rPr>
          <w:rFonts w:hint="eastAsia" w:ascii="宋体" w:hAnsi="宋体" w:cs="Arial"/>
          <w:sz w:val="24"/>
          <w:szCs w:val="24"/>
        </w:rPr>
        <w:t>及</w:t>
      </w:r>
      <w:r>
        <w:rPr>
          <w:rFonts w:ascii="宋体" w:hAnsi="宋体" w:cs="Arial"/>
          <w:sz w:val="24"/>
          <w:szCs w:val="24"/>
        </w:rPr>
        <w:t>相关活动</w:t>
      </w:r>
      <w:r>
        <w:rPr>
          <w:rFonts w:hint="eastAsia" w:ascii="宋体" w:hAnsi="宋体" w:cs="Arial"/>
          <w:sz w:val="24"/>
          <w:szCs w:val="24"/>
        </w:rPr>
        <w:t>所需</w:t>
      </w:r>
      <w:r>
        <w:rPr>
          <w:rFonts w:ascii="宋体" w:hAnsi="宋体" w:cs="Arial"/>
          <w:sz w:val="24"/>
          <w:szCs w:val="24"/>
        </w:rPr>
        <w:t>的设备设施。</w:t>
      </w:r>
    </w:p>
    <w:p>
      <w:pPr>
        <w:spacing w:line="360" w:lineRule="auto"/>
        <w:rPr>
          <w:rFonts w:hint="eastAsia" w:ascii="宋体" w:hAnsi="宋体"/>
          <w:sz w:val="24"/>
          <w:szCs w:val="24"/>
        </w:rPr>
      </w:pPr>
      <w:r>
        <w:rPr>
          <w:rFonts w:hint="eastAsia" w:ascii="宋体" w:hAnsi="宋体" w:cs="Arial"/>
          <w:sz w:val="24"/>
          <w:szCs w:val="24"/>
        </w:rPr>
        <w:t>★</w:t>
      </w:r>
      <w:r>
        <w:rPr>
          <w:rFonts w:hint="eastAsia" w:ascii="宋体" w:hAnsi="宋体"/>
          <w:sz w:val="24"/>
          <w:szCs w:val="24"/>
        </w:rPr>
        <w:t>（1</w:t>
      </w:r>
      <w:r>
        <w:rPr>
          <w:rFonts w:ascii="宋体" w:hAnsi="宋体"/>
          <w:sz w:val="24"/>
          <w:szCs w:val="24"/>
        </w:rPr>
        <w:t>1</w:t>
      </w:r>
      <w:r>
        <w:rPr>
          <w:rFonts w:hint="eastAsia" w:ascii="宋体" w:hAnsi="宋体"/>
          <w:sz w:val="24"/>
          <w:szCs w:val="24"/>
        </w:rPr>
        <w:t>）本次</w:t>
      </w:r>
      <w:r>
        <w:rPr>
          <w:rFonts w:hint="eastAsia"/>
          <w:sz w:val="24"/>
          <w:szCs w:val="24"/>
        </w:rPr>
        <w:t>2019天津滨海泰达全民马拉松组织策划服务</w:t>
      </w:r>
      <w:r>
        <w:rPr>
          <w:rFonts w:hint="eastAsia" w:ascii="宋体" w:hAnsi="宋体"/>
          <w:sz w:val="24"/>
          <w:szCs w:val="24"/>
        </w:rPr>
        <w:t>项目结束后将由采购人委托第三方专业机构针对本项目出具专项财政支出绩效评价报告，供应商须在本项目实施过程中保留好全部资料内容，如因供应商未妥善保存资料或资料内容缺失导致的一切后果均由供应商自行承担。</w:t>
      </w:r>
    </w:p>
    <w:p>
      <w:pPr>
        <w:spacing w:line="360" w:lineRule="auto"/>
        <w:rPr>
          <w:rFonts w:ascii="宋体" w:hAnsi="宋体"/>
          <w:sz w:val="24"/>
          <w:szCs w:val="24"/>
        </w:rPr>
      </w:pPr>
      <w:r>
        <w:rPr>
          <w:rFonts w:hint="eastAsia" w:ascii="宋体" w:hAnsi="宋体"/>
          <w:sz w:val="24"/>
          <w:szCs w:val="24"/>
        </w:rPr>
        <w:t>三</w:t>
      </w:r>
      <w:r>
        <w:rPr>
          <w:rFonts w:ascii="宋体" w:hAnsi="宋体"/>
          <w:sz w:val="24"/>
          <w:szCs w:val="24"/>
        </w:rPr>
        <w:t>、</w:t>
      </w:r>
      <w:r>
        <w:rPr>
          <w:rFonts w:hint="eastAsia" w:ascii="宋体" w:hAnsi="宋体"/>
          <w:sz w:val="24"/>
          <w:szCs w:val="24"/>
        </w:rPr>
        <w:t>活动策划</w:t>
      </w:r>
      <w:r>
        <w:rPr>
          <w:rFonts w:ascii="宋体" w:hAnsi="宋体"/>
          <w:sz w:val="24"/>
          <w:szCs w:val="24"/>
        </w:rPr>
        <w:t>要求：</w:t>
      </w:r>
    </w:p>
    <w:p>
      <w:pPr>
        <w:spacing w:line="360" w:lineRule="auto"/>
        <w:rPr>
          <w:rFonts w:ascii="宋体" w:hAnsi="宋体"/>
          <w:sz w:val="24"/>
          <w:szCs w:val="24"/>
        </w:rPr>
      </w:pPr>
      <w:r>
        <w:rPr>
          <w:rFonts w:hint="eastAsia" w:ascii="宋体" w:hAnsi="宋体"/>
          <w:sz w:val="24"/>
          <w:szCs w:val="24"/>
        </w:rPr>
        <w:t>1.策划需求：</w:t>
      </w:r>
    </w:p>
    <w:p>
      <w:pPr>
        <w:spacing w:line="360" w:lineRule="auto"/>
        <w:rPr>
          <w:rFonts w:ascii="宋体" w:hAnsi="宋体"/>
          <w:sz w:val="24"/>
          <w:szCs w:val="24"/>
        </w:rPr>
      </w:pPr>
      <w:r>
        <w:rPr>
          <w:rFonts w:hint="eastAsia" w:ascii="宋体" w:hAnsi="宋体"/>
          <w:sz w:val="24"/>
          <w:szCs w:val="24"/>
        </w:rPr>
        <w:t>（1）了解滨海泰达体育事业的背景及发展，正确解析项目需求。</w:t>
      </w:r>
    </w:p>
    <w:p>
      <w:pPr>
        <w:spacing w:line="360" w:lineRule="auto"/>
        <w:rPr>
          <w:rFonts w:ascii="宋体" w:hAnsi="宋体"/>
          <w:sz w:val="24"/>
          <w:szCs w:val="24"/>
        </w:rPr>
      </w:pPr>
      <w:r>
        <w:rPr>
          <w:rFonts w:hint="eastAsia" w:ascii="宋体" w:hAnsi="宋体"/>
          <w:sz w:val="24"/>
          <w:szCs w:val="24"/>
        </w:rPr>
        <w:t>（2）结合城市发展及活动意义，需要体现软性城市建设理念。</w:t>
      </w:r>
    </w:p>
    <w:p>
      <w:pPr>
        <w:spacing w:line="360" w:lineRule="auto"/>
        <w:rPr>
          <w:rFonts w:ascii="宋体" w:hAnsi="宋体"/>
          <w:sz w:val="24"/>
          <w:szCs w:val="24"/>
        </w:rPr>
      </w:pPr>
      <w:r>
        <w:rPr>
          <w:rFonts w:hint="eastAsia" w:ascii="宋体" w:hAnsi="宋体"/>
          <w:sz w:val="24"/>
          <w:szCs w:val="24"/>
        </w:rPr>
        <w:t>（3）结合泰达系列路跑特色，策划活动内容，创意活动亮点。</w:t>
      </w:r>
    </w:p>
    <w:p>
      <w:pPr>
        <w:spacing w:line="360" w:lineRule="auto"/>
        <w:rPr>
          <w:rFonts w:ascii="宋体" w:hAnsi="宋体"/>
          <w:sz w:val="24"/>
          <w:szCs w:val="24"/>
        </w:rPr>
      </w:pPr>
      <w:r>
        <w:rPr>
          <w:rFonts w:hint="eastAsia" w:ascii="宋体" w:hAnsi="宋体"/>
          <w:sz w:val="24"/>
          <w:szCs w:val="24"/>
        </w:rPr>
        <w:t>（4）活动需要体现全民参与性、全民互动性。</w:t>
      </w:r>
    </w:p>
    <w:p>
      <w:pPr>
        <w:spacing w:line="360" w:lineRule="auto"/>
        <w:rPr>
          <w:rFonts w:ascii="宋体" w:hAnsi="宋体"/>
          <w:sz w:val="24"/>
          <w:szCs w:val="24"/>
        </w:rPr>
      </w:pPr>
      <w:r>
        <w:rPr>
          <w:rFonts w:hint="eastAsia" w:ascii="宋体" w:hAnsi="宋体"/>
          <w:sz w:val="24"/>
          <w:szCs w:val="24"/>
        </w:rPr>
        <w:t>（5）策划内容具有传播性，线下线上传播渠道相互结合，多维度推广滨海泰达体育品牌。</w:t>
      </w:r>
    </w:p>
    <w:p>
      <w:pPr>
        <w:spacing w:line="360" w:lineRule="auto"/>
        <w:rPr>
          <w:rFonts w:ascii="宋体" w:hAnsi="宋体"/>
          <w:sz w:val="24"/>
          <w:szCs w:val="24"/>
        </w:rPr>
      </w:pPr>
      <w:r>
        <w:rPr>
          <w:rFonts w:hint="eastAsia" w:ascii="宋体" w:hAnsi="宋体"/>
          <w:sz w:val="24"/>
          <w:szCs w:val="24"/>
        </w:rPr>
        <w:t>（6）策划方案具有执行性。</w:t>
      </w:r>
    </w:p>
    <w:p>
      <w:pPr>
        <w:spacing w:line="360" w:lineRule="auto"/>
        <w:rPr>
          <w:rFonts w:ascii="宋体" w:hAnsi="宋体"/>
          <w:sz w:val="24"/>
          <w:szCs w:val="24"/>
        </w:rPr>
      </w:pPr>
      <w:r>
        <w:rPr>
          <w:rFonts w:hint="eastAsia" w:ascii="宋体" w:hAnsi="宋体"/>
          <w:sz w:val="24"/>
          <w:szCs w:val="24"/>
        </w:rPr>
        <w:t>（7）建议导入商务和非商务合作资源。</w:t>
      </w:r>
    </w:p>
    <w:p>
      <w:pPr>
        <w:spacing w:line="360" w:lineRule="auto"/>
        <w:rPr>
          <w:rFonts w:ascii="宋体" w:hAnsi="宋体"/>
          <w:sz w:val="24"/>
          <w:szCs w:val="24"/>
        </w:rPr>
      </w:pPr>
      <w:r>
        <w:rPr>
          <w:rFonts w:hint="eastAsia" w:ascii="宋体" w:hAnsi="宋体"/>
          <w:sz w:val="24"/>
          <w:szCs w:val="24"/>
        </w:rPr>
        <w:t>2.组织结构：</w:t>
      </w:r>
    </w:p>
    <w:p>
      <w:pPr>
        <w:spacing w:line="360" w:lineRule="auto"/>
        <w:ind w:firstLine="480" w:firstLineChars="200"/>
        <w:rPr>
          <w:rFonts w:ascii="宋体" w:hAnsi="宋体" w:cs="宋体"/>
          <w:sz w:val="24"/>
          <w:szCs w:val="24"/>
        </w:rPr>
      </w:pPr>
      <w:r>
        <w:rPr>
          <w:rFonts w:hint="eastAsia" w:ascii="宋体" w:hAnsi="宋体"/>
          <w:sz w:val="24"/>
          <w:szCs w:val="24"/>
        </w:rPr>
        <w:t>主办单位：</w:t>
      </w:r>
      <w:r>
        <w:rPr>
          <w:rFonts w:hint="eastAsia" w:ascii="宋体" w:hAnsi="宋体" w:cs="宋体"/>
          <w:kern w:val="0"/>
          <w:sz w:val="24"/>
          <w:szCs w:val="24"/>
        </w:rPr>
        <w:t>天津开发区管委会、天津滨海新区泰达街社会管理委员会联合主办</w:t>
      </w:r>
    </w:p>
    <w:p>
      <w:pPr>
        <w:spacing w:line="360" w:lineRule="auto"/>
        <w:ind w:firstLine="480" w:firstLineChars="200"/>
        <w:rPr>
          <w:rFonts w:ascii="宋体" w:hAnsi="宋体"/>
          <w:sz w:val="24"/>
          <w:szCs w:val="24"/>
        </w:rPr>
      </w:pPr>
      <w:r>
        <w:rPr>
          <w:rFonts w:hint="eastAsia" w:ascii="宋体" w:hAnsi="宋体" w:cs="宋体"/>
          <w:sz w:val="24"/>
          <w:szCs w:val="24"/>
        </w:rPr>
        <w:t>承办单位：</w:t>
      </w:r>
      <w:r>
        <w:rPr>
          <w:rFonts w:hint="eastAsia" w:ascii="宋体" w:hAnsi="宋体" w:cs="宋体"/>
          <w:kern w:val="0"/>
          <w:sz w:val="24"/>
          <w:szCs w:val="24"/>
        </w:rPr>
        <w:t>开发区工委（管委会）办公室、泰达街党政综合管理办公室、健康事业发展办公室</w:t>
      </w:r>
    </w:p>
    <w:p>
      <w:pPr>
        <w:spacing w:line="360" w:lineRule="auto"/>
        <w:rPr>
          <w:rFonts w:ascii="宋体" w:hAnsi="宋体"/>
          <w:sz w:val="24"/>
          <w:szCs w:val="24"/>
        </w:rPr>
      </w:pPr>
      <w:r>
        <w:rPr>
          <w:rFonts w:hint="eastAsia" w:ascii="宋体" w:hAnsi="宋体"/>
          <w:sz w:val="24"/>
          <w:szCs w:val="24"/>
        </w:rPr>
        <w:t>3.竞赛项目</w:t>
      </w:r>
    </w:p>
    <w:p>
      <w:pPr>
        <w:spacing w:line="360" w:lineRule="auto"/>
        <w:ind w:firstLine="480" w:firstLineChars="200"/>
        <w:rPr>
          <w:rFonts w:ascii="宋体" w:hAnsi="宋体"/>
          <w:sz w:val="24"/>
          <w:szCs w:val="24"/>
        </w:rPr>
      </w:pPr>
      <w:r>
        <w:rPr>
          <w:rFonts w:hint="eastAsia" w:ascii="宋体" w:hAnsi="宋体" w:cs="Arial"/>
          <w:sz w:val="24"/>
          <w:szCs w:val="24"/>
        </w:rPr>
        <w:t>★</w:t>
      </w:r>
      <w:r>
        <w:rPr>
          <w:rFonts w:hint="eastAsia" w:ascii="宋体" w:hAnsi="宋体"/>
          <w:sz w:val="24"/>
          <w:szCs w:val="24"/>
        </w:rPr>
        <w:t>10英里竞技跑、5公里缤纷跑</w:t>
      </w:r>
    </w:p>
    <w:p>
      <w:pPr>
        <w:spacing w:line="360" w:lineRule="auto"/>
        <w:rPr>
          <w:rFonts w:ascii="宋体" w:hAnsi="宋体"/>
          <w:sz w:val="24"/>
          <w:szCs w:val="24"/>
        </w:rPr>
      </w:pPr>
      <w:r>
        <w:rPr>
          <w:rFonts w:hint="eastAsia" w:ascii="宋体" w:hAnsi="宋体"/>
          <w:sz w:val="24"/>
          <w:szCs w:val="24"/>
        </w:rPr>
        <w:t>4.参加办法：</w:t>
      </w:r>
    </w:p>
    <w:p>
      <w:pPr>
        <w:spacing w:line="360" w:lineRule="auto"/>
        <w:ind w:firstLine="480" w:firstLineChars="200"/>
        <w:rPr>
          <w:rFonts w:ascii="宋体" w:hAnsi="宋体"/>
          <w:sz w:val="24"/>
          <w:szCs w:val="24"/>
          <w:shd w:val="clear" w:color="auto" w:fill="F4B083"/>
        </w:rPr>
      </w:pPr>
      <w:r>
        <w:rPr>
          <w:rFonts w:hint="eastAsia" w:ascii="宋体" w:hAnsi="宋体" w:cs="Arial"/>
          <w:sz w:val="24"/>
          <w:szCs w:val="24"/>
        </w:rPr>
        <w:t>★</w:t>
      </w:r>
      <w:r>
        <w:rPr>
          <w:rFonts w:hint="eastAsia" w:ascii="宋体" w:hAnsi="宋体"/>
          <w:sz w:val="24"/>
          <w:szCs w:val="24"/>
        </w:rPr>
        <w:t>（1）、参赛者年龄要求：</w:t>
      </w:r>
    </w:p>
    <w:p>
      <w:pPr>
        <w:spacing w:line="360" w:lineRule="auto"/>
        <w:ind w:firstLine="480" w:firstLineChars="200"/>
        <w:rPr>
          <w:rFonts w:ascii="宋体" w:hAnsi="宋体"/>
          <w:sz w:val="24"/>
          <w:szCs w:val="24"/>
        </w:rPr>
      </w:pPr>
      <w:r>
        <w:rPr>
          <w:rFonts w:hint="eastAsia" w:ascii="宋体" w:hAnsi="宋体"/>
          <w:sz w:val="24"/>
          <w:szCs w:val="24"/>
        </w:rPr>
        <w:t>1）10英里竞技跑项目年龄限16——60岁</w:t>
      </w:r>
    </w:p>
    <w:p>
      <w:pPr>
        <w:spacing w:line="360" w:lineRule="auto"/>
        <w:ind w:firstLine="480" w:firstLineChars="200"/>
        <w:rPr>
          <w:rFonts w:ascii="宋体" w:hAnsi="宋体"/>
          <w:sz w:val="24"/>
          <w:szCs w:val="24"/>
        </w:rPr>
      </w:pPr>
      <w:r>
        <w:rPr>
          <w:rFonts w:hint="eastAsia" w:ascii="宋体" w:hAnsi="宋体"/>
          <w:sz w:val="24"/>
          <w:szCs w:val="24"/>
        </w:rPr>
        <w:t>2）5公里缤纷跑项目年龄限4——70岁</w:t>
      </w:r>
    </w:p>
    <w:p>
      <w:pPr>
        <w:spacing w:line="360" w:lineRule="auto"/>
        <w:ind w:firstLine="480" w:firstLineChars="200"/>
        <w:rPr>
          <w:rFonts w:ascii="宋体" w:hAnsi="宋体"/>
          <w:sz w:val="24"/>
          <w:szCs w:val="24"/>
        </w:rPr>
      </w:pPr>
      <w:r>
        <w:rPr>
          <w:rFonts w:hint="eastAsia" w:ascii="宋体" w:hAnsi="宋体" w:cs="Arial"/>
          <w:sz w:val="24"/>
          <w:szCs w:val="24"/>
        </w:rPr>
        <w:t>★</w:t>
      </w:r>
      <w:r>
        <w:rPr>
          <w:rFonts w:hint="eastAsia" w:ascii="宋体" w:hAnsi="宋体"/>
          <w:sz w:val="24"/>
          <w:szCs w:val="24"/>
        </w:rPr>
        <w:t xml:space="preserve">（2）参赛范围： </w:t>
      </w:r>
    </w:p>
    <w:p>
      <w:pPr>
        <w:spacing w:line="360" w:lineRule="auto"/>
        <w:ind w:firstLine="480" w:firstLineChars="200"/>
        <w:rPr>
          <w:rFonts w:ascii="宋体" w:hAnsi="宋体"/>
          <w:sz w:val="24"/>
          <w:szCs w:val="24"/>
        </w:rPr>
      </w:pPr>
      <w:r>
        <w:rPr>
          <w:rFonts w:hint="eastAsia" w:ascii="宋体" w:hAnsi="宋体"/>
          <w:sz w:val="24"/>
          <w:szCs w:val="24"/>
        </w:rPr>
        <w:t>本次比赛面向社会公众开放报名。</w:t>
      </w:r>
    </w:p>
    <w:p>
      <w:pPr>
        <w:spacing w:line="360" w:lineRule="auto"/>
        <w:ind w:firstLine="480" w:firstLineChars="200"/>
        <w:rPr>
          <w:rFonts w:ascii="宋体" w:hAnsi="宋体"/>
          <w:sz w:val="24"/>
          <w:szCs w:val="24"/>
        </w:rPr>
      </w:pPr>
      <w:r>
        <w:rPr>
          <w:rFonts w:hint="eastAsia" w:ascii="宋体" w:hAnsi="宋体" w:cs="Arial"/>
          <w:sz w:val="24"/>
          <w:szCs w:val="24"/>
        </w:rPr>
        <w:t>★</w:t>
      </w:r>
      <w:r>
        <w:rPr>
          <w:rFonts w:hint="eastAsia" w:ascii="宋体" w:hAnsi="宋体"/>
          <w:sz w:val="24"/>
          <w:szCs w:val="24"/>
        </w:rPr>
        <w:t>（3）、参赛者身体状况要求：马拉松赛是一项大强度长距离的竞技运动，也是一项高风险的竞技项目，对参赛者身体状况有较高要求，参赛者应身体健康，有长期参加跑步锻炼的基础。参赛者可根据自身身体状况核能力，选择10英里竞技跑、5公里缤纷跑其中一个项目报名参加比赛。有以下疾病患者不宜参加比赛：</w:t>
      </w:r>
    </w:p>
    <w:p>
      <w:pPr>
        <w:spacing w:line="360" w:lineRule="auto"/>
        <w:ind w:firstLine="480" w:firstLineChars="200"/>
        <w:rPr>
          <w:rFonts w:ascii="宋体" w:hAnsi="宋体"/>
          <w:sz w:val="24"/>
          <w:szCs w:val="24"/>
        </w:rPr>
      </w:pPr>
      <w:r>
        <w:rPr>
          <w:rFonts w:hint="eastAsia" w:ascii="宋体" w:hAnsi="宋体"/>
          <w:sz w:val="24"/>
          <w:szCs w:val="24"/>
        </w:rPr>
        <w:t>1）先天性心脏病和风湿性心脏病患者：</w:t>
      </w:r>
    </w:p>
    <w:p>
      <w:pPr>
        <w:spacing w:line="360" w:lineRule="auto"/>
        <w:ind w:firstLine="480" w:firstLineChars="200"/>
        <w:rPr>
          <w:rFonts w:ascii="宋体" w:hAnsi="宋体"/>
          <w:sz w:val="24"/>
          <w:szCs w:val="24"/>
        </w:rPr>
      </w:pPr>
      <w:r>
        <w:rPr>
          <w:rFonts w:hint="eastAsia" w:ascii="宋体" w:hAnsi="宋体"/>
          <w:sz w:val="24"/>
          <w:szCs w:val="24"/>
        </w:rPr>
        <w:t>2）高血压和脑血管疾病患者；</w:t>
      </w:r>
    </w:p>
    <w:p>
      <w:pPr>
        <w:spacing w:line="360" w:lineRule="auto"/>
        <w:ind w:firstLine="480" w:firstLineChars="200"/>
        <w:rPr>
          <w:rFonts w:ascii="宋体" w:hAnsi="宋体"/>
          <w:sz w:val="24"/>
          <w:szCs w:val="24"/>
        </w:rPr>
      </w:pPr>
      <w:r>
        <w:rPr>
          <w:rFonts w:hint="eastAsia" w:ascii="宋体" w:hAnsi="宋体"/>
          <w:sz w:val="24"/>
          <w:szCs w:val="24"/>
        </w:rPr>
        <w:t>3）心肌炎和其他心脏病患者；</w:t>
      </w:r>
    </w:p>
    <w:p>
      <w:pPr>
        <w:spacing w:line="360" w:lineRule="auto"/>
        <w:ind w:firstLine="480" w:firstLineChars="200"/>
        <w:rPr>
          <w:rFonts w:ascii="宋体" w:hAnsi="宋体"/>
          <w:sz w:val="24"/>
          <w:szCs w:val="24"/>
        </w:rPr>
      </w:pPr>
      <w:r>
        <w:rPr>
          <w:rFonts w:hint="eastAsia" w:ascii="宋体" w:hAnsi="宋体"/>
          <w:sz w:val="24"/>
          <w:szCs w:val="24"/>
        </w:rPr>
        <w:t>4）冠状动脉病患者和严重心率不齐者；</w:t>
      </w:r>
    </w:p>
    <w:p>
      <w:pPr>
        <w:spacing w:line="360" w:lineRule="auto"/>
        <w:ind w:firstLine="480" w:firstLineChars="200"/>
        <w:rPr>
          <w:rFonts w:ascii="宋体" w:hAnsi="宋体"/>
          <w:sz w:val="24"/>
          <w:szCs w:val="24"/>
        </w:rPr>
      </w:pPr>
      <w:r>
        <w:rPr>
          <w:rFonts w:hint="eastAsia" w:ascii="宋体" w:hAnsi="宋体"/>
          <w:sz w:val="24"/>
          <w:szCs w:val="24"/>
        </w:rPr>
        <w:t>5）血糖过高或过低的糖尿病患者；</w:t>
      </w:r>
    </w:p>
    <w:p>
      <w:pPr>
        <w:spacing w:line="360" w:lineRule="auto"/>
        <w:ind w:firstLine="480" w:firstLineChars="200"/>
        <w:rPr>
          <w:rFonts w:ascii="宋体" w:hAnsi="宋体"/>
          <w:sz w:val="24"/>
          <w:szCs w:val="24"/>
        </w:rPr>
      </w:pPr>
      <w:r>
        <w:rPr>
          <w:rFonts w:hint="eastAsia" w:ascii="宋体" w:hAnsi="宋体"/>
          <w:sz w:val="24"/>
          <w:szCs w:val="24"/>
        </w:rPr>
        <w:t>6）其他不适合运动的疾病患者。</w:t>
      </w:r>
    </w:p>
    <w:p>
      <w:pPr>
        <w:spacing w:line="360" w:lineRule="auto"/>
        <w:ind w:firstLine="480" w:firstLineChars="200"/>
        <w:rPr>
          <w:rFonts w:ascii="宋体" w:hAnsi="宋体"/>
          <w:sz w:val="24"/>
          <w:szCs w:val="24"/>
        </w:rPr>
      </w:pPr>
      <w:r>
        <w:rPr>
          <w:rFonts w:hint="eastAsia" w:ascii="宋体" w:hAnsi="宋体"/>
          <w:sz w:val="24"/>
          <w:szCs w:val="24"/>
        </w:rPr>
        <w:t>在比赛中，因个人身体及其它个人原因导致的人身损害和财产损失，由参赛者个人承担责任。参赛者必须出具相应医疗机构健康体检证明。</w:t>
      </w:r>
    </w:p>
    <w:p>
      <w:pPr>
        <w:spacing w:line="360" w:lineRule="auto"/>
        <w:rPr>
          <w:rFonts w:ascii="宋体" w:hAnsi="宋体"/>
          <w:sz w:val="24"/>
          <w:szCs w:val="24"/>
        </w:rPr>
      </w:pPr>
      <w:r>
        <w:rPr>
          <w:rFonts w:hint="eastAsia" w:ascii="宋体" w:hAnsi="宋体" w:cs="Arial"/>
          <w:sz w:val="24"/>
          <w:szCs w:val="24"/>
        </w:rPr>
        <w:t>★</w:t>
      </w:r>
      <w:r>
        <w:rPr>
          <w:rFonts w:hint="eastAsia" w:ascii="宋体" w:hAnsi="宋体"/>
          <w:sz w:val="24"/>
          <w:szCs w:val="24"/>
        </w:rPr>
        <w:t>5.竞赛规则：</w:t>
      </w:r>
    </w:p>
    <w:p>
      <w:pPr>
        <w:spacing w:line="36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采用中国田径协会最新竞赛规则。</w:t>
      </w:r>
    </w:p>
    <w:p>
      <w:pPr>
        <w:spacing w:line="360" w:lineRule="auto"/>
        <w:ind w:firstLine="480" w:firstLineChars="200"/>
        <w:rPr>
          <w:rFonts w:ascii="宋体" w:hAnsi="宋体"/>
          <w:sz w:val="24"/>
          <w:szCs w:val="24"/>
        </w:rPr>
      </w:pPr>
      <w:r>
        <w:rPr>
          <w:rFonts w:hint="eastAsia" w:ascii="宋体" w:hAnsi="宋体"/>
          <w:sz w:val="24"/>
          <w:szCs w:val="24"/>
        </w:rPr>
        <w:t>（2）凡在中国田径协会注册的运动员不得参加比赛，发现将取消比赛资格和成绩。</w:t>
      </w:r>
    </w:p>
    <w:p>
      <w:pPr>
        <w:spacing w:line="360" w:lineRule="auto"/>
        <w:ind w:firstLine="480" w:firstLineChars="200"/>
        <w:rPr>
          <w:rFonts w:ascii="宋体" w:hAnsi="宋体"/>
          <w:sz w:val="24"/>
          <w:szCs w:val="24"/>
        </w:rPr>
      </w:pPr>
      <w:r>
        <w:rPr>
          <w:rFonts w:hint="eastAsia" w:ascii="宋体" w:hAnsi="宋体"/>
          <w:sz w:val="24"/>
          <w:szCs w:val="24"/>
        </w:rPr>
        <w:t>（3）</w:t>
      </w:r>
      <w:r>
        <w:rPr>
          <w:rFonts w:ascii="宋体" w:hAnsi="宋体"/>
          <w:sz w:val="24"/>
          <w:szCs w:val="24"/>
        </w:rPr>
        <w:t>关门点和时间限制</w:t>
      </w:r>
    </w:p>
    <w:p>
      <w:pPr>
        <w:spacing w:line="360" w:lineRule="auto"/>
        <w:ind w:firstLine="480" w:firstLineChars="200"/>
        <w:rPr>
          <w:rFonts w:ascii="宋体" w:hAnsi="宋体"/>
          <w:sz w:val="24"/>
          <w:szCs w:val="24"/>
        </w:rPr>
      </w:pPr>
      <w:r>
        <w:rPr>
          <w:rFonts w:ascii="宋体" w:hAnsi="宋体"/>
          <w:sz w:val="24"/>
          <w:szCs w:val="24"/>
        </w:rPr>
        <w:t>为了保证参赛</w:t>
      </w:r>
      <w:r>
        <w:rPr>
          <w:rFonts w:hint="eastAsia" w:ascii="宋体" w:hAnsi="宋体"/>
          <w:sz w:val="24"/>
          <w:szCs w:val="24"/>
        </w:rPr>
        <w:t>人</w:t>
      </w:r>
      <w:r>
        <w:rPr>
          <w:rFonts w:ascii="宋体" w:hAnsi="宋体"/>
          <w:sz w:val="24"/>
          <w:szCs w:val="24"/>
        </w:rPr>
        <w:t>员比赛安全、顺利，比赛期间比赛路线各段设关门时间，限时进行交通封闭。起跑至关门时间到后，各路段恢复正常交通。在规定的关门时间未跑完对应的距离者立即停止比赛，退出赛道，以免发生危险。退出的参赛者可乘坐组委会提供的收容车到相应项目的终点处。</w:t>
      </w:r>
    </w:p>
    <w:p>
      <w:pPr>
        <w:spacing w:line="360" w:lineRule="auto"/>
        <w:ind w:firstLine="480" w:firstLineChars="200"/>
        <w:rPr>
          <w:rFonts w:ascii="宋体" w:hAnsi="宋体"/>
          <w:sz w:val="24"/>
          <w:szCs w:val="24"/>
        </w:rPr>
      </w:pPr>
      <w:r>
        <w:rPr>
          <w:rFonts w:ascii="宋体" w:hAnsi="宋体"/>
          <w:sz w:val="24"/>
          <w:szCs w:val="24"/>
        </w:rPr>
        <w:t>关门时间：</w:t>
      </w:r>
    </w:p>
    <w:tbl>
      <w:tblPr>
        <w:tblStyle w:val="2"/>
        <w:tblW w:w="5685" w:type="dxa"/>
        <w:jc w:val="center"/>
        <w:tblInd w:w="-10" w:type="dxa"/>
        <w:tblLayout w:type="fixed"/>
        <w:tblCellMar>
          <w:top w:w="0" w:type="dxa"/>
          <w:left w:w="0" w:type="dxa"/>
          <w:bottom w:w="0" w:type="dxa"/>
          <w:right w:w="0" w:type="dxa"/>
        </w:tblCellMar>
      </w:tblPr>
      <w:tblGrid>
        <w:gridCol w:w="1917"/>
        <w:gridCol w:w="1885"/>
        <w:gridCol w:w="1883"/>
      </w:tblGrid>
      <w:tr>
        <w:tblPrEx>
          <w:tblLayout w:type="fixed"/>
          <w:tblCellMar>
            <w:top w:w="0" w:type="dxa"/>
            <w:left w:w="0" w:type="dxa"/>
            <w:bottom w:w="0" w:type="dxa"/>
            <w:right w:w="0" w:type="dxa"/>
          </w:tblCellMar>
        </w:tblPrEx>
        <w:trPr>
          <w:jc w:val="center"/>
        </w:trPr>
        <w:tc>
          <w:tcPr>
            <w:tcW w:w="1917" w:type="dxa"/>
            <w:tcBorders>
              <w:top w:val="outset" w:color="000000" w:sz="8" w:space="0"/>
              <w:left w:val="outset" w:color="000000" w:sz="8" w:space="0"/>
              <w:bottom w:val="outset" w:color="000000" w:sz="8" w:space="0"/>
              <w:right w:val="outset" w:color="000000" w:sz="8"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公里</w:t>
            </w:r>
          </w:p>
        </w:tc>
        <w:tc>
          <w:tcPr>
            <w:tcW w:w="1885" w:type="dxa"/>
            <w:tcBorders>
              <w:top w:val="outset" w:color="000000" w:sz="8" w:space="0"/>
              <w:left w:val="single" w:color="auto" w:sz="4" w:space="0"/>
              <w:bottom w:val="outset" w:color="000000" w:sz="8" w:space="0"/>
              <w:right w:val="single" w:color="auto" w:sz="4"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10英里</w:t>
            </w:r>
          </w:p>
        </w:tc>
        <w:tc>
          <w:tcPr>
            <w:tcW w:w="1883" w:type="dxa"/>
            <w:tcBorders>
              <w:top w:val="outset" w:color="000000" w:sz="8" w:space="0"/>
              <w:left w:val="single" w:color="auto" w:sz="4" w:space="0"/>
              <w:bottom w:val="outset" w:color="000000" w:sz="8" w:space="0"/>
              <w:right w:val="outset" w:color="000000" w:sz="8"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5公里</w:t>
            </w:r>
          </w:p>
        </w:tc>
      </w:tr>
      <w:tr>
        <w:tblPrEx>
          <w:tblLayout w:type="fixed"/>
          <w:tblCellMar>
            <w:top w:w="0" w:type="dxa"/>
            <w:left w:w="0" w:type="dxa"/>
            <w:bottom w:w="0" w:type="dxa"/>
            <w:right w:w="0" w:type="dxa"/>
          </w:tblCellMar>
        </w:tblPrEx>
        <w:trPr>
          <w:jc w:val="center"/>
        </w:trPr>
        <w:tc>
          <w:tcPr>
            <w:tcW w:w="1917" w:type="dxa"/>
            <w:tcBorders>
              <w:top w:val="single" w:color="auto" w:sz="0" w:space="0"/>
              <w:left w:val="outset" w:color="000000" w:sz="8" w:space="0"/>
              <w:bottom w:val="outset" w:color="000000" w:sz="8" w:space="0"/>
              <w:right w:val="outset" w:color="000000" w:sz="8"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比赛时间</w:t>
            </w:r>
          </w:p>
        </w:tc>
        <w:tc>
          <w:tcPr>
            <w:tcW w:w="1885" w:type="dxa"/>
            <w:tcBorders>
              <w:top w:val="single" w:color="auto" w:sz="0" w:space="0"/>
              <w:left w:val="single" w:color="auto" w:sz="4" w:space="0"/>
              <w:bottom w:val="outset" w:color="000000" w:sz="8" w:space="0"/>
              <w:right w:val="single" w:color="auto" w:sz="4"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11：00</w:t>
            </w:r>
          </w:p>
        </w:tc>
        <w:tc>
          <w:tcPr>
            <w:tcW w:w="1883" w:type="dxa"/>
            <w:tcBorders>
              <w:top w:val="single" w:color="auto" w:sz="0" w:space="0"/>
              <w:left w:val="single" w:color="auto" w:sz="4" w:space="0"/>
              <w:bottom w:val="outset" w:color="000000" w:sz="8" w:space="0"/>
              <w:right w:val="outset" w:color="000000" w:sz="8" w:space="0"/>
            </w:tcBorders>
            <w:noWrap w:val="0"/>
            <w:vAlign w:val="top"/>
          </w:tcPr>
          <w:p>
            <w:pPr>
              <w:widowControl/>
              <w:shd w:val="clear" w:color="auto" w:fill="FFFFFF"/>
              <w:spacing w:line="360" w:lineRule="auto"/>
              <w:ind w:firstLine="360"/>
              <w:jc w:val="left"/>
              <w:rPr>
                <w:rFonts w:ascii="宋体" w:hAnsi="宋体"/>
                <w:sz w:val="24"/>
                <w:szCs w:val="24"/>
              </w:rPr>
            </w:pPr>
            <w:r>
              <w:rPr>
                <w:rFonts w:hint="eastAsia" w:ascii="宋体" w:hAnsi="宋体"/>
                <w:sz w:val="24"/>
                <w:szCs w:val="24"/>
              </w:rPr>
              <w:t>10：30</w:t>
            </w:r>
          </w:p>
        </w:tc>
      </w:tr>
    </w:tbl>
    <w:p>
      <w:pPr>
        <w:spacing w:line="360" w:lineRule="auto"/>
        <w:ind w:firstLine="480"/>
        <w:rPr>
          <w:rFonts w:ascii="宋体" w:hAnsi="宋体"/>
          <w:sz w:val="24"/>
          <w:szCs w:val="24"/>
        </w:rPr>
      </w:pPr>
      <w:r>
        <w:rPr>
          <w:rFonts w:hint="eastAsia" w:ascii="宋体" w:hAnsi="宋体"/>
          <w:sz w:val="24"/>
          <w:szCs w:val="24"/>
        </w:rPr>
        <w:t>（4）比赛计时：</w:t>
      </w:r>
    </w:p>
    <w:p>
      <w:pPr>
        <w:spacing w:line="360" w:lineRule="auto"/>
        <w:ind w:firstLine="480"/>
        <w:rPr>
          <w:rFonts w:ascii="宋体" w:hAnsi="宋体"/>
          <w:sz w:val="24"/>
          <w:szCs w:val="24"/>
        </w:rPr>
      </w:pPr>
      <w:r>
        <w:rPr>
          <w:rFonts w:hint="eastAsia" w:ascii="宋体" w:hAnsi="宋体"/>
          <w:sz w:val="24"/>
          <w:szCs w:val="24"/>
        </w:rPr>
        <w:t>10英里竞技赛采取电子芯片计时；</w:t>
      </w:r>
    </w:p>
    <w:p>
      <w:pPr>
        <w:spacing w:line="360" w:lineRule="auto"/>
        <w:rPr>
          <w:rFonts w:ascii="宋体" w:hAnsi="宋体"/>
          <w:sz w:val="24"/>
          <w:szCs w:val="24"/>
        </w:rPr>
      </w:pPr>
      <w:r>
        <w:rPr>
          <w:rFonts w:hint="eastAsia" w:ascii="宋体" w:hAnsi="宋体" w:cs="Arial"/>
          <w:sz w:val="24"/>
          <w:szCs w:val="24"/>
        </w:rPr>
        <w:t>★</w:t>
      </w:r>
      <w:r>
        <w:rPr>
          <w:rFonts w:hint="eastAsia" w:ascii="宋体" w:hAnsi="宋体"/>
          <w:sz w:val="24"/>
          <w:szCs w:val="24"/>
        </w:rPr>
        <w:t>6.奖励办法：</w:t>
      </w:r>
    </w:p>
    <w:p>
      <w:pPr>
        <w:spacing w:line="360" w:lineRule="auto"/>
        <w:ind w:firstLine="480" w:firstLineChars="200"/>
        <w:rPr>
          <w:rFonts w:ascii="宋体" w:hAnsi="宋体"/>
          <w:sz w:val="24"/>
          <w:szCs w:val="24"/>
        </w:rPr>
      </w:pPr>
      <w:r>
        <w:rPr>
          <w:rFonts w:hint="eastAsia" w:ascii="宋体" w:hAnsi="宋体"/>
          <w:sz w:val="24"/>
          <w:szCs w:val="24"/>
        </w:rPr>
        <w:t>（1）十英里竞技跑项目</w:t>
      </w:r>
    </w:p>
    <w:p>
      <w:pPr>
        <w:spacing w:line="360" w:lineRule="auto"/>
        <w:ind w:firstLine="480" w:firstLineChars="200"/>
        <w:rPr>
          <w:rFonts w:ascii="宋体" w:hAnsi="宋体"/>
          <w:sz w:val="24"/>
          <w:szCs w:val="24"/>
        </w:rPr>
      </w:pPr>
      <w:r>
        <w:rPr>
          <w:rFonts w:hint="eastAsia" w:ascii="宋体" w:hAnsi="宋体"/>
          <w:sz w:val="24"/>
          <w:szCs w:val="24"/>
        </w:rPr>
        <w:t>名次奖：男、女第1至第3名运动员分别获得奖金，前三名颁发奖杯一座、奖章一枚。</w:t>
      </w:r>
    </w:p>
    <w:tbl>
      <w:tblPr>
        <w:tblStyle w:val="2"/>
        <w:tblW w:w="5022" w:type="dxa"/>
        <w:tblInd w:w="19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1323"/>
        <w:gridCol w:w="1323"/>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名次</w:t>
            </w:r>
          </w:p>
        </w:tc>
        <w:tc>
          <w:tcPr>
            <w:tcW w:w="1323" w:type="dxa"/>
            <w:shd w:val="clear" w:color="auto" w:fill="auto"/>
            <w:noWrap w:val="0"/>
            <w:vAlign w:val="top"/>
          </w:tcPr>
          <w:p>
            <w:pPr>
              <w:spacing w:line="360" w:lineRule="auto"/>
              <w:ind w:firstLine="480" w:firstLineChars="200"/>
              <w:rPr>
                <w:rFonts w:ascii="宋体" w:hAnsi="宋体"/>
                <w:sz w:val="24"/>
                <w:szCs w:val="24"/>
              </w:rPr>
            </w:pPr>
            <w:r>
              <w:rPr>
                <w:rFonts w:hint="eastAsia" w:ascii="宋体" w:hAnsi="宋体"/>
                <w:sz w:val="24"/>
                <w:szCs w:val="24"/>
              </w:rPr>
              <w:t>一</w:t>
            </w:r>
          </w:p>
        </w:tc>
        <w:tc>
          <w:tcPr>
            <w:tcW w:w="1323" w:type="dxa"/>
            <w:shd w:val="clear" w:color="auto" w:fill="auto"/>
            <w:noWrap w:val="0"/>
            <w:vAlign w:val="top"/>
          </w:tcPr>
          <w:p>
            <w:pPr>
              <w:spacing w:line="360" w:lineRule="auto"/>
              <w:ind w:firstLine="480" w:firstLineChars="200"/>
              <w:rPr>
                <w:rFonts w:ascii="宋体" w:hAnsi="宋体"/>
                <w:sz w:val="24"/>
                <w:szCs w:val="24"/>
              </w:rPr>
            </w:pPr>
            <w:r>
              <w:rPr>
                <w:rFonts w:hint="eastAsia" w:ascii="宋体" w:hAnsi="宋体"/>
                <w:sz w:val="24"/>
                <w:szCs w:val="24"/>
              </w:rPr>
              <w:t>二</w:t>
            </w:r>
          </w:p>
        </w:tc>
        <w:tc>
          <w:tcPr>
            <w:tcW w:w="1304" w:type="dxa"/>
            <w:shd w:val="clear" w:color="auto" w:fill="auto"/>
            <w:noWrap w:val="0"/>
            <w:vAlign w:val="top"/>
          </w:tcPr>
          <w:p>
            <w:pPr>
              <w:spacing w:line="360" w:lineRule="auto"/>
              <w:ind w:firstLine="480" w:firstLineChars="200"/>
              <w:rPr>
                <w:rFonts w:ascii="宋体" w:hAnsi="宋体"/>
                <w:sz w:val="24"/>
                <w:szCs w:val="24"/>
              </w:rPr>
            </w:pPr>
            <w:r>
              <w:rPr>
                <w:rFonts w:hint="eastAsia" w:ascii="宋体" w:hAnsi="宋体"/>
                <w:sz w:val="24"/>
                <w:szCs w:val="24"/>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shd w:val="clear" w:color="auto" w:fill="auto"/>
            <w:noWrap w:val="0"/>
            <w:vAlign w:val="top"/>
          </w:tcPr>
          <w:p>
            <w:pPr>
              <w:spacing w:line="360" w:lineRule="auto"/>
              <w:ind w:firstLine="480" w:firstLineChars="200"/>
              <w:rPr>
                <w:rFonts w:ascii="宋体" w:hAnsi="宋体"/>
                <w:sz w:val="24"/>
                <w:szCs w:val="24"/>
              </w:rPr>
            </w:pPr>
            <w:r>
              <w:rPr>
                <w:rFonts w:hint="eastAsia" w:ascii="宋体" w:hAnsi="宋体"/>
                <w:sz w:val="24"/>
                <w:szCs w:val="24"/>
              </w:rPr>
              <w:t>男</w:t>
            </w:r>
          </w:p>
        </w:tc>
        <w:tc>
          <w:tcPr>
            <w:tcW w:w="1323"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10000元</w:t>
            </w:r>
          </w:p>
        </w:tc>
        <w:tc>
          <w:tcPr>
            <w:tcW w:w="1323"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5000元</w:t>
            </w:r>
          </w:p>
        </w:tc>
        <w:tc>
          <w:tcPr>
            <w:tcW w:w="1304"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2" w:type="dxa"/>
            <w:shd w:val="clear" w:color="auto" w:fill="auto"/>
            <w:noWrap w:val="0"/>
            <w:vAlign w:val="top"/>
          </w:tcPr>
          <w:p>
            <w:pPr>
              <w:spacing w:line="360" w:lineRule="auto"/>
              <w:ind w:firstLine="480" w:firstLineChars="200"/>
              <w:rPr>
                <w:rFonts w:ascii="宋体" w:hAnsi="宋体"/>
                <w:sz w:val="24"/>
                <w:szCs w:val="24"/>
              </w:rPr>
            </w:pPr>
            <w:r>
              <w:rPr>
                <w:rFonts w:hint="eastAsia" w:ascii="宋体" w:hAnsi="宋体"/>
                <w:sz w:val="24"/>
                <w:szCs w:val="24"/>
              </w:rPr>
              <w:t>女</w:t>
            </w:r>
          </w:p>
        </w:tc>
        <w:tc>
          <w:tcPr>
            <w:tcW w:w="1323"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10000元</w:t>
            </w:r>
          </w:p>
        </w:tc>
        <w:tc>
          <w:tcPr>
            <w:tcW w:w="1323"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5000元</w:t>
            </w:r>
          </w:p>
        </w:tc>
        <w:tc>
          <w:tcPr>
            <w:tcW w:w="1304" w:type="dxa"/>
            <w:shd w:val="clear" w:color="auto" w:fill="auto"/>
            <w:noWrap w:val="0"/>
            <w:vAlign w:val="top"/>
          </w:tcPr>
          <w:p>
            <w:pPr>
              <w:spacing w:line="360" w:lineRule="auto"/>
              <w:rPr>
                <w:rFonts w:ascii="宋体" w:hAnsi="宋体"/>
                <w:sz w:val="24"/>
                <w:szCs w:val="24"/>
              </w:rPr>
            </w:pPr>
            <w:r>
              <w:rPr>
                <w:rFonts w:hint="eastAsia" w:ascii="宋体" w:hAnsi="宋体"/>
                <w:sz w:val="24"/>
                <w:szCs w:val="24"/>
              </w:rPr>
              <w:t>3000元</w:t>
            </w:r>
          </w:p>
        </w:tc>
      </w:tr>
    </w:tbl>
    <w:p>
      <w:pPr>
        <w:spacing w:line="360" w:lineRule="auto"/>
        <w:rPr>
          <w:rFonts w:ascii="宋体" w:hAnsi="宋体"/>
          <w:sz w:val="24"/>
          <w:szCs w:val="24"/>
        </w:rPr>
      </w:pPr>
    </w:p>
    <w:p>
      <w:pPr>
        <w:spacing w:line="360" w:lineRule="auto"/>
        <w:ind w:firstLine="480" w:firstLineChars="200"/>
        <w:rPr>
          <w:rFonts w:ascii="宋体" w:hAnsi="宋体"/>
          <w:sz w:val="24"/>
          <w:szCs w:val="24"/>
        </w:rPr>
      </w:pPr>
      <w:r>
        <w:rPr>
          <w:rFonts w:hint="eastAsia" w:ascii="宋体" w:hAnsi="宋体"/>
          <w:sz w:val="24"/>
          <w:szCs w:val="24"/>
        </w:rPr>
        <w:t>（2）缤纷跑项目：每人一份完赛礼品</w:t>
      </w:r>
    </w:p>
    <w:p>
      <w:pPr>
        <w:spacing w:line="360" w:lineRule="auto"/>
        <w:ind w:firstLine="480" w:firstLineChars="200"/>
        <w:rPr>
          <w:rFonts w:ascii="宋体" w:hAnsi="宋体"/>
          <w:sz w:val="24"/>
          <w:szCs w:val="24"/>
        </w:rPr>
      </w:pPr>
      <w:r>
        <w:rPr>
          <w:rFonts w:hint="eastAsia" w:ascii="宋体" w:hAnsi="宋体"/>
          <w:sz w:val="24"/>
          <w:szCs w:val="24"/>
        </w:rPr>
        <w:t>（3）保险：本次比赛成交单位为所有参赛者和工作人员投保人身意外险。</w:t>
      </w:r>
    </w:p>
    <w:p>
      <w:pPr>
        <w:spacing w:line="360" w:lineRule="auto"/>
        <w:ind w:firstLine="458" w:firstLineChars="191"/>
        <w:rPr>
          <w:rFonts w:hint="eastAsia" w:ascii="宋体" w:hAnsi="宋体" w:cs="Arial"/>
          <w:sz w:val="24"/>
          <w:szCs w:val="24"/>
        </w:rPr>
      </w:pPr>
      <w:r>
        <w:rPr>
          <w:rFonts w:hint="eastAsia" w:ascii="宋体" w:hAnsi="宋体" w:cs="Arial"/>
          <w:sz w:val="24"/>
          <w:szCs w:val="24"/>
        </w:rPr>
        <w:t>★</w:t>
      </w:r>
      <w:r>
        <w:rPr>
          <w:rFonts w:hint="eastAsia" w:ascii="宋体" w:hAnsi="宋体" w:cs="宋体"/>
          <w:kern w:val="0"/>
          <w:sz w:val="24"/>
          <w:szCs w:val="24"/>
        </w:rPr>
        <w:t>磋商</w:t>
      </w:r>
      <w:r>
        <w:rPr>
          <w:rFonts w:ascii="宋体" w:hAnsi="宋体" w:cs="宋体"/>
          <w:kern w:val="0"/>
          <w:sz w:val="24"/>
          <w:szCs w:val="24"/>
        </w:rPr>
        <w:t>时供应商须进行现场讲述，</w:t>
      </w:r>
      <w:r>
        <w:rPr>
          <w:rFonts w:ascii="宋体" w:hAnsi="宋体" w:cs="Arial"/>
          <w:sz w:val="24"/>
          <w:szCs w:val="24"/>
        </w:rPr>
        <w:t>供应商须</w:t>
      </w:r>
      <w:r>
        <w:rPr>
          <w:rFonts w:hint="eastAsia" w:ascii="宋体" w:hAnsi="宋体" w:cs="Arial"/>
          <w:sz w:val="24"/>
          <w:szCs w:val="24"/>
        </w:rPr>
        <w:t>针对本项目出具组织策划方案并</w:t>
      </w:r>
      <w:r>
        <w:rPr>
          <w:rFonts w:ascii="宋体" w:hAnsi="宋体" w:cs="Arial"/>
          <w:sz w:val="24"/>
          <w:szCs w:val="24"/>
        </w:rPr>
        <w:t>进行讲述</w:t>
      </w:r>
      <w:r>
        <w:rPr>
          <w:rFonts w:hint="eastAsia" w:ascii="宋体" w:hAnsi="宋体" w:cs="Arial"/>
          <w:sz w:val="24"/>
          <w:szCs w:val="24"/>
        </w:rPr>
        <w:t>，</w:t>
      </w:r>
      <w:r>
        <w:rPr>
          <w:rFonts w:ascii="宋体" w:hAnsi="宋体" w:cs="Arial"/>
          <w:sz w:val="24"/>
          <w:szCs w:val="24"/>
        </w:rPr>
        <w:t>时间不得超过</w:t>
      </w:r>
      <w:r>
        <w:rPr>
          <w:rFonts w:hint="eastAsia" w:ascii="宋体" w:hAnsi="宋体" w:cs="Arial"/>
          <w:sz w:val="24"/>
          <w:szCs w:val="24"/>
        </w:rPr>
        <w:t>15分钟，</w:t>
      </w:r>
      <w:r>
        <w:rPr>
          <w:rFonts w:ascii="宋体" w:hAnsi="宋体" w:cs="宋体"/>
          <w:kern w:val="0"/>
          <w:sz w:val="24"/>
          <w:szCs w:val="24"/>
        </w:rPr>
        <w:t>评标委员会将根据供应商现场讲述情况进行评分，供应商须将讲述内容</w:t>
      </w:r>
      <w:r>
        <w:rPr>
          <w:rFonts w:hint="eastAsia" w:ascii="宋体" w:hAnsi="宋体" w:cs="宋体"/>
          <w:kern w:val="0"/>
          <w:sz w:val="24"/>
          <w:szCs w:val="24"/>
        </w:rPr>
        <w:t>附</w:t>
      </w:r>
      <w:r>
        <w:rPr>
          <w:rFonts w:ascii="宋体" w:hAnsi="宋体" w:cs="宋体"/>
          <w:kern w:val="0"/>
          <w:sz w:val="24"/>
          <w:szCs w:val="24"/>
        </w:rPr>
        <w:t>于</w:t>
      </w:r>
      <w:r>
        <w:rPr>
          <w:rFonts w:hint="eastAsia" w:ascii="宋体" w:hAnsi="宋体" w:cs="宋体"/>
          <w:kern w:val="0"/>
          <w:sz w:val="24"/>
          <w:szCs w:val="24"/>
        </w:rPr>
        <w:t>响应</w:t>
      </w:r>
      <w:r>
        <w:rPr>
          <w:rFonts w:ascii="宋体" w:hAnsi="宋体" w:cs="宋体"/>
          <w:kern w:val="0"/>
          <w:sz w:val="24"/>
          <w:szCs w:val="24"/>
        </w:rPr>
        <w:t>文件中</w:t>
      </w:r>
      <w:r>
        <w:rPr>
          <w:rFonts w:hint="eastAsia" w:ascii="宋体" w:hAnsi="宋体" w:cs="宋体"/>
          <w:kern w:val="0"/>
          <w:sz w:val="24"/>
          <w:szCs w:val="24"/>
        </w:rPr>
        <w:t>。</w:t>
      </w:r>
    </w:p>
    <w:p>
      <w:pPr>
        <w:spacing w:line="360" w:lineRule="auto"/>
        <w:rPr>
          <w:rFonts w:hint="eastAsia" w:ascii="宋体" w:hAnsi="宋体"/>
          <w:b/>
          <w:sz w:val="24"/>
        </w:rPr>
        <w:sectPr>
          <w:pgSz w:w="11907" w:h="16840"/>
          <w:pgMar w:top="1440" w:right="1797" w:bottom="1440" w:left="1797" w:header="794" w:footer="720" w:gutter="0"/>
          <w:cols w:space="720" w:num="1"/>
          <w:docGrid w:linePitch="312" w:charSpace="0"/>
        </w:sect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22FB4"/>
    <w:multiLevelType w:val="multilevel"/>
    <w:tmpl w:val="5B522FB4"/>
    <w:lvl w:ilvl="0" w:tentative="0">
      <w:start w:val="1"/>
      <w:numFmt w:val="japaneseCounting"/>
      <w:lvlText w:val="%1、"/>
      <w:lvlJc w:val="left"/>
      <w:pPr>
        <w:ind w:left="720" w:hanging="720"/>
      </w:pPr>
      <w:rPr>
        <w:rFonts w:hint="eastAsia" w:cs="Times New Roman"/>
      </w:rPr>
    </w:lvl>
    <w:lvl w:ilvl="1" w:tentative="0">
      <w:start w:val="1"/>
      <w:numFmt w:val="lowerLetter"/>
      <w:lvlText w:val="%2)"/>
      <w:lvlJc w:val="left"/>
      <w:pPr>
        <w:ind w:left="960" w:hanging="480"/>
      </w:pPr>
      <w:rPr>
        <w:rFonts w:cs="Times New Roman"/>
      </w:rPr>
    </w:lvl>
    <w:lvl w:ilvl="2" w:tentative="0">
      <w:start w:val="1"/>
      <w:numFmt w:val="lowerRoman"/>
      <w:lvlText w:val="%3."/>
      <w:lvlJc w:val="right"/>
      <w:pPr>
        <w:ind w:left="1440" w:hanging="480"/>
      </w:pPr>
      <w:rPr>
        <w:rFonts w:cs="Times New Roman"/>
      </w:rPr>
    </w:lvl>
    <w:lvl w:ilvl="3" w:tentative="0">
      <w:start w:val="1"/>
      <w:numFmt w:val="decimal"/>
      <w:lvlText w:val="%4."/>
      <w:lvlJc w:val="left"/>
      <w:pPr>
        <w:ind w:left="1920" w:hanging="480"/>
      </w:pPr>
      <w:rPr>
        <w:rFonts w:cs="Times New Roman"/>
      </w:rPr>
    </w:lvl>
    <w:lvl w:ilvl="4" w:tentative="0">
      <w:start w:val="1"/>
      <w:numFmt w:val="lowerLetter"/>
      <w:lvlText w:val="%5)"/>
      <w:lvlJc w:val="left"/>
      <w:pPr>
        <w:ind w:left="2400" w:hanging="480"/>
      </w:pPr>
      <w:rPr>
        <w:rFonts w:cs="Times New Roman"/>
      </w:rPr>
    </w:lvl>
    <w:lvl w:ilvl="5" w:tentative="0">
      <w:start w:val="1"/>
      <w:numFmt w:val="lowerRoman"/>
      <w:lvlText w:val="%6."/>
      <w:lvlJc w:val="right"/>
      <w:pPr>
        <w:ind w:left="2880" w:hanging="480"/>
      </w:pPr>
      <w:rPr>
        <w:rFonts w:cs="Times New Roman"/>
      </w:rPr>
    </w:lvl>
    <w:lvl w:ilvl="6" w:tentative="0">
      <w:start w:val="1"/>
      <w:numFmt w:val="decimal"/>
      <w:lvlText w:val="%7."/>
      <w:lvlJc w:val="left"/>
      <w:pPr>
        <w:ind w:left="3360" w:hanging="480"/>
      </w:pPr>
      <w:rPr>
        <w:rFonts w:cs="Times New Roman"/>
      </w:rPr>
    </w:lvl>
    <w:lvl w:ilvl="7" w:tentative="0">
      <w:start w:val="1"/>
      <w:numFmt w:val="lowerLetter"/>
      <w:lvlText w:val="%8)"/>
      <w:lvlJc w:val="left"/>
      <w:pPr>
        <w:ind w:left="3840" w:hanging="480"/>
      </w:pPr>
      <w:rPr>
        <w:rFonts w:cs="Times New Roman"/>
      </w:rPr>
    </w:lvl>
    <w:lvl w:ilvl="8" w:tentative="0">
      <w:start w:val="1"/>
      <w:numFmt w:val="lowerRoman"/>
      <w:lvlText w:val="%9."/>
      <w:lvlJc w:val="right"/>
      <w:pPr>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E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 w:type="paragraph" w:customStyle="1" w:styleId="5">
    <w:name w:val="列出段落1"/>
    <w:basedOn w:val="1"/>
    <w:qFormat/>
    <w:uiPriority w:val="0"/>
    <w:pPr>
      <w:ind w:firstLine="420" w:firstLineChars="200"/>
    </w:pPr>
    <w:rPr>
      <w:rFonts w:ascii="Calibri" w:hAnsi="Calibri" w:cs="黑体"/>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2019-08-29T08:44:38Z</dcterms:created>
  <dc:creator>Administrator</dc:creator>
  <cp:lastModifiedBy>YXH</cp:lastModifiedBy>
  <dcterms:modified xsi:type="dcterms:W3CDTF">2019-08-29T08:44:42Z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