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8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4713"/>
        <w:gridCol w:w="786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47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技术要求</w:t>
            </w:r>
          </w:p>
        </w:tc>
        <w:tc>
          <w:tcPr>
            <w:tcW w:w="78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6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实时荧光定量PCR仪</w:t>
            </w:r>
          </w:p>
        </w:tc>
        <w:tc>
          <w:tcPr>
            <w:tcW w:w="4713" w:type="dxa"/>
          </w:tcPr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1.</w:t>
            </w:r>
            <w:r>
              <w:rPr>
                <w:color w:val="0D0D0D"/>
              </w:rPr>
              <w:t>装机指标：区分1000拷贝和2000拷贝模板浓度的差异。</w:t>
            </w:r>
          </w:p>
          <w:p>
            <w:pPr>
              <w:spacing w:line="0" w:lineRule="atLeast"/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2.</w:t>
            </w:r>
            <w:r>
              <w:rPr>
                <w:color w:val="0D0D0D"/>
              </w:rPr>
              <w:t xml:space="preserve">反应时间：40个循环反应：≤60分钟 (96孔标准检测) ；≤40分钟 (384孔标准检测) 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3.</w:t>
            </w:r>
            <w:r>
              <w:rPr>
                <w:color w:val="0D0D0D"/>
              </w:rPr>
              <w:t>线性范围：1-10</w:t>
            </w:r>
            <w:r>
              <w:rPr>
                <w:color w:val="0D0D0D"/>
                <w:vertAlign w:val="superscript"/>
              </w:rPr>
              <w:t>10</w:t>
            </w:r>
            <w:r>
              <w:rPr>
                <w:color w:val="0D0D0D"/>
              </w:rPr>
              <w:t>个拷贝</w:t>
            </w:r>
            <w:r>
              <w:rPr>
                <w:rFonts w:hint="eastAsia"/>
                <w:color w:val="0D0D0D"/>
              </w:rPr>
              <w:t>，</w:t>
            </w:r>
            <w:r>
              <w:rPr>
                <w:color w:val="0D0D0D"/>
              </w:rPr>
              <w:t>可检测单拷贝基因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color w:val="0D0D0D"/>
              </w:rPr>
              <w:t>*</w:t>
            </w:r>
            <w:r>
              <w:rPr>
                <w:rFonts w:hint="eastAsia"/>
                <w:color w:val="0D0D0D"/>
              </w:rPr>
              <w:t>4.</w:t>
            </w:r>
            <w:r>
              <w:rPr>
                <w:color w:val="0D0D0D"/>
              </w:rPr>
              <w:t>模块规格：支持96孔模块与384孔模块</w:t>
            </w:r>
            <w:r>
              <w:rPr>
                <w:rFonts w:hint="eastAsia"/>
                <w:color w:val="0D0D0D"/>
              </w:rPr>
              <w:t>互换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5.</w:t>
            </w:r>
            <w:r>
              <w:rPr>
                <w:color w:val="0D0D0D"/>
              </w:rPr>
              <w:t>重复性：样品检测CV≤0.15% (50nmol/l荧光浓度)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6.</w:t>
            </w:r>
            <w:r>
              <w:rPr>
                <w:color w:val="0D0D0D"/>
              </w:rPr>
              <w:t>精密度≤1.5倍拷贝数差异，置信度≥99.8%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7.</w:t>
            </w:r>
            <w:r>
              <w:rPr>
                <w:color w:val="0D0D0D"/>
              </w:rPr>
              <w:t>无需ROX等被动染料校正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*8.</w:t>
            </w:r>
            <w:r>
              <w:rPr>
                <w:color w:val="0D0D0D"/>
              </w:rPr>
              <w:t>温控模块：采用银质半导体温控模块</w:t>
            </w:r>
            <w:r>
              <w:rPr>
                <w:rFonts w:hint="eastAsia"/>
                <w:color w:val="0D0D0D"/>
              </w:rPr>
              <w:t>，</w:t>
            </w:r>
            <w:r>
              <w:rPr>
                <w:color w:val="0D0D0D"/>
              </w:rPr>
              <w:t>一体化成型，不由独立的多个小型模块组合而成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*9.</w:t>
            </w:r>
            <w:r>
              <w:rPr>
                <w:color w:val="0D0D0D"/>
              </w:rPr>
              <w:t>模块平均温控速率</w:t>
            </w:r>
            <w:r>
              <w:rPr>
                <w:rFonts w:hint="eastAsia" w:ascii="宋体" w:hAnsi="宋体"/>
                <w:color w:val="0D0D0D"/>
              </w:rPr>
              <w:t>≥</w:t>
            </w:r>
            <w:r>
              <w:rPr>
                <w:color w:val="0D0D0D"/>
              </w:rPr>
              <w:t>6.</w:t>
            </w:r>
            <w:r>
              <w:rPr>
                <w:rFonts w:hint="eastAsia"/>
                <w:color w:val="0D0D0D"/>
              </w:rPr>
              <w:t>7</w:t>
            </w:r>
            <w:r>
              <w:rPr>
                <w:color w:val="0D0D0D"/>
              </w:rPr>
              <w:t xml:space="preserve">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/s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10.</w:t>
            </w:r>
            <w:r>
              <w:rPr>
                <w:color w:val="0D0D0D"/>
              </w:rPr>
              <w:t>样本平均温控速率</w:t>
            </w:r>
            <w:r>
              <w:rPr>
                <w:rFonts w:hint="eastAsia" w:ascii="宋体" w:hAnsi="宋体"/>
                <w:color w:val="0D0D0D"/>
              </w:rPr>
              <w:t>≥</w:t>
            </w:r>
            <w:r>
              <w:rPr>
                <w:color w:val="0D0D0D"/>
              </w:rPr>
              <w:t>4.</w:t>
            </w:r>
            <w:r>
              <w:rPr>
                <w:rFonts w:hint="eastAsia"/>
                <w:color w:val="0D0D0D"/>
              </w:rPr>
              <w:t>7</w:t>
            </w:r>
            <w:r>
              <w:rPr>
                <w:color w:val="0D0D0D"/>
              </w:rPr>
              <w:t xml:space="preserve">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/s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11.</w:t>
            </w:r>
            <w:r>
              <w:rPr>
                <w:color w:val="0D0D0D"/>
              </w:rPr>
              <w:t>温度准确性</w:t>
            </w:r>
            <w:r>
              <w:rPr>
                <w:rFonts w:hint="eastAsia" w:ascii="宋体" w:hAnsi="宋体"/>
                <w:color w:val="0D0D0D"/>
              </w:rPr>
              <w:t>≤</w:t>
            </w:r>
            <w:r>
              <w:rPr>
                <w:color w:val="0D0D0D"/>
              </w:rPr>
              <w:t xml:space="preserve">0.1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color w:val="0D0D0D"/>
              </w:rPr>
              <w:t>*</w:t>
            </w:r>
            <w:r>
              <w:rPr>
                <w:rFonts w:hint="eastAsia"/>
                <w:color w:val="0D0D0D"/>
              </w:rPr>
              <w:t>12.</w:t>
            </w:r>
            <w:r>
              <w:rPr>
                <w:color w:val="0D0D0D"/>
              </w:rPr>
              <w:t>温度均一性</w:t>
            </w:r>
            <w:r>
              <w:rPr>
                <w:rFonts w:hint="eastAsia" w:ascii="宋体" w:hAnsi="宋体"/>
                <w:color w:val="0D0D0D"/>
              </w:rPr>
              <w:t>≤</w:t>
            </w:r>
            <w:r>
              <w:rPr>
                <w:color w:val="0D0D0D"/>
              </w:rPr>
              <w:sym w:font="Symbol" w:char="F0B1"/>
            </w:r>
            <w:r>
              <w:rPr>
                <w:color w:val="0D0D0D"/>
              </w:rPr>
              <w:t>0.1</w:t>
            </w:r>
            <w:r>
              <w:rPr>
                <w:rFonts w:hint="eastAsia"/>
                <w:color w:val="0D0D0D"/>
              </w:rPr>
              <w:t>5</w:t>
            </w:r>
            <w:r>
              <w:rPr>
                <w:color w:val="0D0D0D"/>
              </w:rPr>
              <w:t xml:space="preserve">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13.支持</w:t>
            </w:r>
            <w:r>
              <w:rPr>
                <w:color w:val="0D0D0D"/>
              </w:rPr>
              <w:t>高分辨率熔解曲线 HRM，发表不少于1500篇文献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*14.</w:t>
            </w:r>
            <w:r>
              <w:rPr>
                <w:color w:val="0D0D0D"/>
              </w:rPr>
              <w:t>熔解曲线温度分辨率</w:t>
            </w:r>
            <w:r>
              <w:rPr>
                <w:rFonts w:hint="eastAsia" w:ascii="宋体" w:hAnsi="宋体"/>
                <w:color w:val="0D0D0D"/>
              </w:rPr>
              <w:t>≤</w:t>
            </w:r>
            <w:r>
              <w:rPr>
                <w:color w:val="0D0D0D"/>
              </w:rPr>
              <w:t>0.0</w:t>
            </w:r>
            <w:r>
              <w:rPr>
                <w:rFonts w:hint="eastAsia"/>
                <w:color w:val="0D0D0D"/>
              </w:rPr>
              <w:t>2</w:t>
            </w:r>
            <w:r>
              <w:rPr>
                <w:color w:val="0D0D0D"/>
              </w:rPr>
              <w:t xml:space="preserve">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</w:p>
          <w:p>
            <w:pPr>
              <w:spacing w:line="0" w:lineRule="atLeast"/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15.</w:t>
            </w:r>
            <w:r>
              <w:rPr>
                <w:color w:val="0D0D0D"/>
              </w:rPr>
              <w:t>熔解曲线数据采集频率：每摄氏度采集最多可达100个数据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16.</w:t>
            </w:r>
            <w:r>
              <w:rPr>
                <w:color w:val="0D0D0D"/>
              </w:rPr>
              <w:t>高分辨率熔解曲线反应时间：&lt;10分钟（65-95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，整板每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采集25次数据时，可提供实际软件截图证明）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17.</w:t>
            </w:r>
            <w:r>
              <w:rPr>
                <w:color w:val="0D0D0D"/>
              </w:rPr>
              <w:t>熔解曲线反应时间：&lt;5分钟（65-95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，整板每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  <w:r>
              <w:rPr>
                <w:color w:val="0D0D0D"/>
              </w:rPr>
              <w:t>采集25次数据时，可提供实际软件截图证明）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18.</w:t>
            </w:r>
            <w:r>
              <w:rPr>
                <w:color w:val="0D0D0D"/>
              </w:rPr>
              <w:t>样本容量：96孔板为10－100ul，384孔板为3－20ul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color w:val="0D0D0D"/>
              </w:rPr>
              <w:t>*</w:t>
            </w:r>
            <w:r>
              <w:rPr>
                <w:rFonts w:hint="eastAsia"/>
                <w:color w:val="0D0D0D"/>
              </w:rPr>
              <w:t>19.</w:t>
            </w:r>
            <w:r>
              <w:rPr>
                <w:color w:val="0D0D0D"/>
              </w:rPr>
              <w:t>光源：高强度白色</w:t>
            </w:r>
            <w:r>
              <w:rPr>
                <w:rFonts w:hint="eastAsia"/>
                <w:color w:val="0D0D0D"/>
              </w:rPr>
              <w:t>LED</w:t>
            </w:r>
            <w:r>
              <w:rPr>
                <w:color w:val="0D0D0D"/>
              </w:rPr>
              <w:t>光源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20.</w:t>
            </w:r>
            <w:r>
              <w:rPr>
                <w:color w:val="0D0D0D"/>
              </w:rPr>
              <w:t>激发波长：39</w:t>
            </w:r>
            <w:r>
              <w:rPr>
                <w:rFonts w:hint="eastAsia"/>
                <w:color w:val="0D0D0D"/>
              </w:rPr>
              <w:t>5</w:t>
            </w:r>
            <w:r>
              <w:rPr>
                <w:color w:val="0D0D0D"/>
              </w:rPr>
              <w:t>-</w:t>
            </w:r>
            <w:r>
              <w:rPr>
                <w:rFonts w:hint="eastAsia"/>
                <w:color w:val="0D0D0D"/>
              </w:rPr>
              <w:t>69</w:t>
            </w:r>
            <w:r>
              <w:rPr>
                <w:color w:val="0D0D0D"/>
              </w:rPr>
              <w:t>0 nm，连续不间断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21.</w:t>
            </w:r>
            <w:r>
              <w:rPr>
                <w:rFonts w:ascii="Arial" w:hAnsi="Arial" w:cs="Arial"/>
              </w:rPr>
              <w:t>检测通道</w:t>
            </w:r>
            <w:r>
              <w:rPr>
                <w:rFonts w:hint="eastAsia" w:ascii="Arial" w:hAnsi="Arial" w:cs="Arial"/>
              </w:rPr>
              <w:t>数</w:t>
            </w:r>
            <w:r>
              <w:rPr>
                <w:rFonts w:ascii="Arial" w:hAnsi="Arial" w:cs="Arial"/>
              </w:rPr>
              <w:t>：</w:t>
            </w:r>
            <w:r>
              <w:rPr>
                <w:rFonts w:hint="eastAsia" w:ascii="Arial" w:hAnsi="Arial" w:cs="Arial"/>
              </w:rPr>
              <w:t>96孔模块和384孔模块均支持</w:t>
            </w:r>
            <w:r>
              <w:rPr>
                <w:rFonts w:ascii="Arial" w:hAnsi="Arial" w:cs="Arial"/>
              </w:rPr>
              <w:t>6通道</w:t>
            </w:r>
            <w:r>
              <w:rPr>
                <w:rFonts w:hint="eastAsia" w:ascii="Arial" w:hAnsi="Arial" w:cs="Arial"/>
              </w:rPr>
              <w:t>检测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22.</w:t>
            </w:r>
            <w:r>
              <w:rPr>
                <w:color w:val="0D0D0D"/>
              </w:rPr>
              <w:t xml:space="preserve">检测系统：冷CCD，工作温度 10 </w:t>
            </w:r>
            <w:r>
              <w:rPr>
                <w:rFonts w:ascii="Cambria Math" w:hAnsi="Cambria Math" w:cs="Cambria Math"/>
                <w:color w:val="0D0D0D"/>
              </w:rPr>
              <w:t>℃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*23.</w:t>
            </w:r>
            <w:r>
              <w:rPr>
                <w:color w:val="0D0D0D"/>
              </w:rPr>
              <w:t>激发滤光片与检测滤光片可自由组合，提供</w:t>
            </w:r>
            <w:r>
              <w:rPr>
                <w:rFonts w:hint="eastAsia" w:ascii="宋体" w:hAnsi="宋体"/>
                <w:color w:val="0D0D0D"/>
              </w:rPr>
              <w:t>≥</w:t>
            </w:r>
            <w:r>
              <w:rPr>
                <w:rFonts w:hint="eastAsia"/>
                <w:color w:val="0D0D0D"/>
              </w:rPr>
              <w:t>19</w:t>
            </w:r>
            <w:r>
              <w:rPr>
                <w:color w:val="0D0D0D"/>
              </w:rPr>
              <w:t>种不同的组合的检测模式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24.</w:t>
            </w:r>
            <w:r>
              <w:rPr>
                <w:color w:val="0D0D0D"/>
              </w:rPr>
              <w:t>光路系统：五棱镜加长光路有效消除光学边缘效应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25.</w:t>
            </w:r>
            <w:r>
              <w:rPr>
                <w:color w:val="0D0D0D"/>
              </w:rPr>
              <w:t>全固定光路设计，无移动机械部件：激发光源与检测系统在工作中无需移动，保证系统稳定性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26.</w:t>
            </w:r>
            <w:r>
              <w:rPr>
                <w:color w:val="0D0D0D"/>
              </w:rPr>
              <w:t>所有样本同时检测：支持，所有样本同时激发并采集数据，孔间无时间差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27.</w:t>
            </w:r>
            <w:r>
              <w:rPr>
                <w:color w:val="0D0D0D"/>
              </w:rPr>
              <w:t>免维护：支持，无需定期校正光路</w:t>
            </w:r>
          </w:p>
          <w:p>
            <w:pPr>
              <w:spacing w:line="0" w:lineRule="atLeast"/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28.</w:t>
            </w:r>
            <w:r>
              <w:rPr>
                <w:color w:val="0D0D0D"/>
              </w:rPr>
              <w:t>仪器配置</w:t>
            </w:r>
            <w:r>
              <w:rPr>
                <w:rFonts w:hint="eastAsia"/>
                <w:color w:val="0D0D0D"/>
              </w:rPr>
              <w:t>：</w:t>
            </w:r>
            <w:r>
              <w:rPr>
                <w:color w:val="0D0D0D"/>
              </w:rPr>
              <w:t>主机 1台，96孔模块1块</w:t>
            </w:r>
            <w:r>
              <w:rPr>
                <w:rFonts w:hint="eastAsia"/>
                <w:color w:val="0D0D0D"/>
              </w:rPr>
              <w:t>，384模块1块，</w:t>
            </w:r>
            <w:r>
              <w:rPr>
                <w:color w:val="0D0D0D"/>
              </w:rPr>
              <w:t>操作手册 1本</w:t>
            </w:r>
            <w:r>
              <w:rPr>
                <w:rFonts w:hint="eastAsia"/>
                <w:color w:val="0D0D0D"/>
              </w:rPr>
              <w:t>，</w:t>
            </w:r>
            <w:r>
              <w:rPr>
                <w:color w:val="0D0D0D"/>
              </w:rPr>
              <w:t>软件安装光盘 1张</w:t>
            </w:r>
            <w:r>
              <w:rPr>
                <w:rFonts w:hint="eastAsia"/>
                <w:color w:val="0D0D0D"/>
              </w:rPr>
              <w:t>，</w:t>
            </w:r>
            <w:r>
              <w:rPr>
                <w:color w:val="0D0D0D"/>
              </w:rPr>
              <w:t>台式电脑</w:t>
            </w:r>
            <w:r>
              <w:rPr>
                <w:rFonts w:hint="eastAsia"/>
                <w:color w:val="0D0D0D"/>
              </w:rPr>
              <w:t>一套。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78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</w:t>
            </w:r>
          </w:p>
        </w:tc>
        <w:tc>
          <w:tcPr>
            <w:tcW w:w="6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全自动核酸提取纯化系统</w:t>
            </w:r>
          </w:p>
        </w:tc>
        <w:tc>
          <w:tcPr>
            <w:tcW w:w="47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1.用途：可对血液，组织，微生物，病毒等进行DNA/RNA、蛋白质和细胞的全自动提取纯化。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工作原理：通过磁棒在不同反应板/管中的运动吸附和转移和样品中核酸或蛋白等目标分子结合的磁珠，从而纯化核酸/蛋白/细菌等目标分子；整个纯化过程转移磁株而非液体，所有的纯化和处理步骤均在同一微孔管中进行，在处理过程中不需要分</w:t>
            </w:r>
            <w:bookmarkStart w:id="0" w:name="_GoBack"/>
            <w:bookmarkEnd w:id="0"/>
            <w:r>
              <w:rPr>
                <w:rFonts w:hint="eastAsia"/>
              </w:rPr>
              <w:t>液或吸液。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3.*储存程序：100个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4.*样品处理数：1-32个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5.*温控范围：室温~70℃，独立液晶屏显示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6.处理体积：50-1000μL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7.整板处理容器：96深微孔板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8.单个样品处理容器：可拆卸式6联管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9.操作界面：液晶屏，可显示程序运行时间及过程等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10.具有紫外灯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11.配套试剂耗材：试剂开放，可使用各种类型的配套试剂盒，手动添加与预装试剂盒多种规格，整板试剂盒和单条可拆卸式试剂条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12*操作软件：基于PC的软件，通过USB接口进行程序输入与输出</w:t>
            </w:r>
          </w:p>
        </w:tc>
        <w:tc>
          <w:tcPr>
            <w:tcW w:w="78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台</w:t>
            </w:r>
          </w:p>
        </w:tc>
        <w:tc>
          <w:tcPr>
            <w:tcW w:w="68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EB"/>
    <w:rsid w:val="00517FBC"/>
    <w:rsid w:val="00615F48"/>
    <w:rsid w:val="006C40F3"/>
    <w:rsid w:val="00BC6AEB"/>
    <w:rsid w:val="00C13A59"/>
    <w:rsid w:val="06AD3603"/>
    <w:rsid w:val="07D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F. Hoffmann-La Roche, Ltd.</Company>
  <Pages>1</Pages>
  <Words>135</Words>
  <Characters>773</Characters>
  <Lines>6</Lines>
  <Paragraphs>1</Paragraphs>
  <TotalTime>3</TotalTime>
  <ScaleCrop>false</ScaleCrop>
  <LinksUpToDate>false</LinksUpToDate>
  <CharactersWithSpaces>907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2019-10-09T07:28:00Z</dcterms:created>
  <dc:creator>Xuanyuan, Zheng zheng {DYCA~Beijing}</dc:creator>
  <cp:lastModifiedBy>Administrator</cp:lastModifiedBy>
  <dcterms:modified xsi:type="dcterms:W3CDTF">2019-10-09T08:23:12Z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