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bCs/>
          <w:sz w:val="44"/>
          <w:szCs w:val="44"/>
        </w:rPr>
      </w:pPr>
      <w:bookmarkStart w:id="0" w:name="_Toc1724"/>
      <w:bookmarkStart w:id="1" w:name="_Toc23937"/>
      <w:r>
        <w:rPr>
          <w:rFonts w:hint="eastAsia" w:ascii="宋体" w:hAnsi="宋体" w:cs="宋体"/>
          <w:b/>
          <w:bCs/>
          <w:sz w:val="30"/>
          <w:szCs w:val="30"/>
        </w:rPr>
        <w:t>项目需求书</w:t>
      </w:r>
      <w:bookmarkEnd w:id="0"/>
      <w:bookmarkEnd w:id="1"/>
      <w:bookmarkStart w:id="2" w:name="OLE_LINK12"/>
      <w:bookmarkStart w:id="3" w:name="_Toc27953"/>
    </w:p>
    <w:bookmarkEnd w:id="2"/>
    <w:bookmarkEnd w:id="3"/>
    <w:p>
      <w:pPr>
        <w:spacing w:line="400" w:lineRule="exact"/>
        <w:jc w:val="left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一、项目背景：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河北区月牙河街共十三个居委会，人口9万余人，随着经济的飞速发展，商贩和流动人口不断增多，给社会治安带来极大挑战。为适应社会的发展，强化社区安全防范建设，加强社区治安防范力量，建立起社区网络监控网络系统，可以大大提高社区的防范等级和安全文明系数。充分调动合理利用，保障社区设施、群众的生命财产安全及街区道路有序。使辖区内，街道办、派出所、城管、居委会、物业办等部门，提高工作效率的同时、且有效的防范盗窃，蓄意破坏等违法犯罪事件事件的发生。还便于在不法分子犯案时收集犯罪证据，也同时起到警示防范作用。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包括在月牙河街内所有小区、主要道路、出入口、治安防范重点楼院、重要场所等处安装联网监控摄像机，组成数字化、网络系统，并集成在一个统一的平台上，采用分布式集中管理的控制模式进行管理和控制，实现监控区域和监控范围全覆盖并实现视频监控系统的网络化、数字化、并逐步发展智能化。在街办事处指挥中心、街道、居委会、派出所、综治办、等相关部门随时随地，可在线查看监控实时图像及录像资料，形成统一协调的动态视频指挥系统。</w:t>
      </w:r>
    </w:p>
    <w:p>
      <w:pPr>
        <w:pStyle w:val="2"/>
        <w:spacing w:line="360" w:lineRule="auto"/>
        <w:ind w:firstLine="420" w:firstLineChars="20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月牙河街互联网视频监控项目采用以租代建的模式，本着全覆盖，低投入的原则进行，中标方按照项目需求进行建设，项目建设完成后，月牙河街每年付给中标方租赁使用费，使用过程中中标方须保证设备的正常运行及使用，所有设备的维护、维修、升级等工作都由中标方负责。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本项目涉及月牙河街指挥中心及月牙河街下辖的所有小区及道路的1200余个点位的互联网视频监控系统租赁服务。</w:t>
      </w:r>
    </w:p>
    <w:p>
      <w:pPr>
        <w:spacing w:line="400" w:lineRule="exact"/>
        <w:jc w:val="left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二、服务内容：</w:t>
      </w: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大江里居委会（大江里、大江南里、大江北里、及主干道路；共计：98台）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1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1.高度3.5m，杆体材质为镀锌钢管，厚度≥4mm，底座厚度≥7mm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2.立杆分单头、双头、四头配置，数量依据现场点位分布设计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900mm×600mm×750mm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1、2个千兆电口，8个千兆单模单纤光口以太网交换机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超5类室外防水网线，300米/轴，0.5mm无氧铜，PVC护套，阻燃等级CM，黑色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RVVP2*1，采用99.99%高纯度OFC无氧铜丝绞合导体，PVC绝缘，PE防水护套软电线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丹江里居委会（丹江里、文江里、灵江里、及主干道路共计：114台）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79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1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1.高度3.5m，杆体材质为镀锌钢管，厚度≥4mm，底座厚度≥7mm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2.立杆分单头、双头、四头配置，数量依据现场点位分布设计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3、可支持最大接入总带宽512Mbps 1080p格式的视频图像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4、支持8个SATA盘位；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、支持1/8、1/4、1/2、1、2、4、8、16、32、64、128、256等倍速回放录像，支持录像回放的剪辑和回放截图功能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1、2个千兆电口，8个千兆单模单纤光口以太网交换机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1800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含为完成本项目所发生的胀管胀塞、热缩管、电工包布、水晶头、接线端子排、电源跳线、空气开关冷压端子、油漆、电源插头、标签标识等全部辅料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2"/>
        <w:rPr>
          <w:rFonts w:hint="eastAsia" w:ascii="宋体" w:hAnsi="宋体" w:cs="宋体"/>
        </w:rPr>
      </w:pP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涪江北里委会（涪江北里、涪江南里及主干道路，共计：86台）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62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1.高度3.5m，杆体材质为镀锌钢管，厚度≥4mm，底座厚度≥7mm 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2.立杆分单头、双头、4头配置，数量依据现场点位设计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2400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2"/>
        <w:rPr>
          <w:rFonts w:hint="eastAsia" w:ascii="宋体" w:hAnsi="宋体" w:cs="宋体"/>
        </w:rPr>
      </w:pP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环江北里居委会（环江里、靖辰公寓、天江里及主干道路，共计：69台）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69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1.高度3.5m，杆体材质为镀锌钢管，厚度≥4mm，底座厚度≥7mm 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2.立杆分单头、双头、四头配置，数量依据现场点位分布勘察深化设计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超5类室内网线，305米/轴，0.5mm无氧铜，PVC护套，阻燃等级CM，黑色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室外防水，尺寸为400×500×160mm室外挂箱，箱内含导轨、空气开关，五孔六位插排等，室外挂箱带防水外檐、挂耳、U型固定卡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2100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2"/>
        <w:rPr>
          <w:rFonts w:hint="eastAsia" w:ascii="宋体" w:hAnsi="宋体" w:cs="宋体"/>
        </w:rPr>
      </w:pP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金沙江里居委会（金沙江里、靖辰南里及主干道路，共计：69台）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69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1.高度3.5m，杆体材质为镀锌钢管，厚度≥4mm，底座厚度≥7mm 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2300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2"/>
        <w:rPr>
          <w:rFonts w:hint="eastAsia" w:ascii="宋体" w:hAnsi="宋体" w:cs="宋体"/>
        </w:rPr>
      </w:pP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锦江北里居委会（锦江北里、锦江里、锦江南里及主干道路，共计：109台）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109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1.高度3.5m，杆体材质为镀锌钢管，厚度≥4mm，底座厚度≥7mm 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2500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2"/>
        <w:rPr>
          <w:rFonts w:hint="eastAsia" w:ascii="宋体" w:hAnsi="宋体" w:cs="宋体"/>
        </w:rPr>
      </w:pP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靖江东里居委会（靖江东里、义江里及主干道路，共计：115台）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1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1.高度3.5m，杆体材质为镀锌钢管，厚度≥4mm，底座厚度≥7mm 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2500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2"/>
        <w:rPr>
          <w:rFonts w:hint="eastAsia" w:ascii="宋体" w:hAnsi="宋体" w:cs="宋体"/>
        </w:rPr>
      </w:pP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靖江西里居委会（靖江西里、靖江南里、金沙江路及主干道路，共计：80台）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1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1.高度3.5m，杆体材质为镀锌钢管，厚度≥4mm，底座厚度≥7mm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超5类室内网线，300米/轴，0.5mm无氧铜，PVC护套，阻燃等级CM，灰色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1800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2"/>
        <w:rPr>
          <w:rFonts w:hint="eastAsia" w:ascii="宋体" w:hAnsi="宋体" w:cs="宋体"/>
        </w:rPr>
      </w:pPr>
    </w:p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开江南里居委会（开江南里、开江里、银江北里、印江南里及主干道路，共计：130台）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89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1.高度3.5m，杆体材质为镀锌钢管，厚度≥4mm，底座厚度≥7mm2.立杆分单头、双头、四头配置，数量依据现场点位设计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3500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满江里居委会（满江里、满江北里、开江里及主干道路，共计：93台）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4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69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1.高度3.5m，杆体材质为镀锌钢管，厚度≥4mm，底座厚度≥7mm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highlight w:val="none"/>
              </w:rPr>
              <w:t>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highlight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highlight w:val="none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highlight w:val="no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highlight w:val="none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highlight w:val="no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highlight w:val="none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highlight w:val="no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  <w:highlight w:val="none"/>
              </w:rPr>
              <w:t>、支持</w:t>
            </w:r>
            <w:r>
              <w:rPr>
                <w:rFonts w:hint="eastAsia" w:ascii="宋体" w:hAnsi="宋体" w:eastAsia="宋体" w:cs="宋体"/>
                <w:kern w:val="0"/>
              </w:rPr>
              <w:t>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4500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琴江公寓居委会（琴江公寓、上江花园及主干道路，共计：78台）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9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1.高度3.5m，杆体材质为镀锌钢管，厚度≥4mm，底座厚度≥7mm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4500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泉江里居委会（泉江里、文江家园、泉江美庭苑及主干道路，共计：78台）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4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2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78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1.高度3.5m，杆体材质为镀锌钢管，厚度≥4mm，底座厚度≥7mm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4500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项</w:t>
            </w:r>
          </w:p>
        </w:tc>
      </w:tr>
    </w:tbl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月牙河北里居委会（月牙河北里、乌江南里、乌江北里、乌江里及主干道路，共计：115台）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4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2、最低照度彩色：0.01lux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3、镜头焦距:2.8mm，3.6mm，8mm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主码流60Hz：1280x1080@30fps辅码流704x576@30fps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6、镜头光圈：F2.1/F2.1/F2.0/F2.06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7、视频压缩标准:H.264 / H.264H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400万彩色红外网络摄像机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1、400万1/3”CMOS 网络摄像机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2、最低照度彩色：0.002lux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3、镜头焦距：3.6mm/6mm/8mm/12mm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4、具有夜视功能。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主码流最高2560x1440@25fps，辅码流704x576@25fps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6、镜头光圈：F1.5/F1.5/F2.06/F2.06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7、视频压缩标准:H.265 / H.264 / MJPEG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8、存储功能:支持NAS(NFS,SMB/CIFS)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9、采用POE供电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10、防护等级:IP67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摄像机安装支架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壁装支架/适用于筒形摄像机机横杆或立杆室外安装，符合现场安装环境要求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监控立杆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1.高度3.5m，杆体材质为镀锌钢管，厚度≥4mm，底座厚度≥7mm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2.立杆分单头、双头、四头配置，数量依据现场点位设计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3.每套摄像机杆配套基础，要求摄像机杆安装稳固，安装基础底部做接地极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600mm×800mm×1200mm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硬盘录像机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1、机架式存储，嵌入式处理器，嵌入式软硬件设计；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2、视具体情况支持16-64路高清接入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3、可支持最大接入总带宽512Mbps 4K格式的视频图像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4、视具体情况支持4-8个SATA盘位；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、支持缩略图,拖动回放时间进度条，在回放控制条上显示当前拖动时间点的缩略图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、支持接入ONVIF协议、RTSP协议、GB/T28181协议的设备，可一键激活并添加局域网内IPC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</w:rPr>
              <w:t>、支持1/8、1/4、1/2、1、2、4、8、16、32倍速回放录像，支持录像回放的剪辑和回放截图功能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0"/>
              </w:rPr>
              <w:t>、支持8T容量的SATA接口硬盘；支持硬盘热插拔和休眠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AV硬盘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4TB/64MB(6Gb/秒 NCQ)/5900RPM/SATA3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1、24口千兆全网管二层交换机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2、8个千兆光口,支持通过console口管理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3、交换容量256Gbps,包转发率40Mpps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4、工作温度：0℃～40℃，支持220v交流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5、支持VLAN,流量控制，ACL，QOS，支持SNMP V1/V2c/V3网管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6、支持独立的console管理串口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交换机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1、1个千兆单模单纤光口，8个千兆POE电口以太网交换机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、交换容量48Gbps,包转发率40Mpps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、工作温度：0℃～40℃，支持220v交流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视频网线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超5类室内网线，300米/轴，0.5mm无氧铜，PVC护套，阻燃等级CM，黑色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17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室外设备箱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室外防水，尺寸为400×500×160mm室外挂箱，箱内含导轨、空气开关，五孔六位插排等，室外挂箱带防水外檐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室外光纤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1.室外铠装4芯单模光缆，架空或地埋穿管敷设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2.包含光纤连接设备，光纤熔接盒、光纤跳线、光纤熔接等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4500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设备安装、立杆施工、破路及恢复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投标人负责安装视频监控杆体及监控设备时所产生的全部费用，包含人工挖地槽、无筋混凝土设备基础、人工回填土及在施工过程中所连带发生的相关工程，投标人还须承担由于工程造成的绿化、花砖和道路破坏后的恢复工作，恢复效果需要满足市容委、市交委相关规定要求，杆体整体需要具备防雷接地功能并满足相关标准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月牙河街互联网视频监控核心机房：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互联网视频监控平台服务器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1、嵌入式Linux一体机，30*24小时稳定运行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2、支持多址模式及700M码流的“进存转” 支持绑定模式及1000M码流转发和384M本地存储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3、支持双机热备和N+M备份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4、支持20个堆叠和上下5级级联部署 支持光栅、在线/离线GIS等多种地图模式。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</w:rPr>
              <w:t>支持ONVIF、GB/T28181标准协议的设备接入 支持IVS-B/PC等智能设备接入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6、前液晶板系统服务状态显示和系统基本参数设置 支持B/S、C/S客户端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7、支持iphone、ipad、android等移动端应用 支持二次开发，提供平台SDK开发包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9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optical line terminal(光线路终端）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1、上行接口：10GE光，GE光/电业务接口：10G GPON，10G EPON，EPON，GPON，P2P FE光口，P2P GE光口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 xml:space="preserve">2、电源参数    -48V直流输入工作电压范围: -38.4 V~ -72 V支持双电源保护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3、支持Static route/RIP/OSPF/MPLS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BITS/E1/STM-1/Ethernet 时钟同步/1588v2/1PPS+ToD等时钟同步方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 xml:space="preserve">4、运行环境    温度：-25℃～+55℃湿度：5%～95%  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嵌入式电源系统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1、支持环境监控，可通过干接点、串口或网络接口实现远程管理；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2、电源模块支持热插拔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</w:rPr>
              <w:t>3、可支持最大接入总带宽512Mbps 1080p格式的视频图像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4、整流模块工作温度范围：-40～+75℃；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</w:rPr>
              <w:t>、85 ～300Vac交流电压输入范围</w:t>
            </w:r>
            <w:r>
              <w:rPr>
                <w:rFonts w:hint="eastAsia" w:ascii="宋体" w:hAnsi="宋体" w:eastAsia="宋体" w:cs="宋体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</w:rPr>
              <w:t>、走线方式，前进迁出易于维护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机柜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600mmX800mm，1000mm，2000mm，42U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电源线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RVVP3*1.5，采用99.99%高纯度OFC无氧铜丝绞合导体，PVC绝缘，PE防水护套软电线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光纤配线架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eastAsia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容量96芯，430*300*255,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2000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含为完成本项目所发生的螺钉螺母、垫片、热缩管、电工包布、水晶头、接线端子排、电源跳线、空气开关冷压端子、油漆、电源插头、标签标识等全部辅料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系统集成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视频监控系统设备、网络安装调试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</w:tbl>
    <w:p>
      <w:pPr>
        <w:pStyle w:val="3"/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月牙河街指挥中心：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67"/>
        <w:gridCol w:w="4908"/>
        <w:gridCol w:w="76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序号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设备名称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技术参数要求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数量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LCD拼接单元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1.尺寸:55英寸*9,双边拼缝5.3mm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2.屏幕比例:16:9     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3.亮度:500cd/m2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4.背光模式：LED背光源                                             5.分辨率:1920*1080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6.响应速度:8ms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7.色彩饱和度：92%                                     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8.可视角度：178度水平/垂直视角"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9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LCD拼接单元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1.尺寸:46英寸*6,双边拼缝5.3mm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2.屏幕比例:16:9     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3.亮度:500cd/m2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4.背光模式：LED背光源                                             5.分辨率:1920*1080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6.响应速度:8ms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 xml:space="preserve">7.色彩饱和度：92%                                     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8.可视角度：178度水平/垂直视角"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15路解码器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1.输出接口支持3840x2160,2560x1600，1920x1080,1280x1024,1280x720,1024x768六种显示分辨率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2.H.265/ H.264/ MPEG4/ MPEG2 /MJPEG/SVAC标准网络视频流解码，支持各种码流混合解码显示144个通道同时解码，支持通道任意开窗、漫游、图层叠加功能，支持预案轮巡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3.支持1/4/9/16/36画面分割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4.支持主动解码和被动解码两种解码模式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5.支持通过串口控制屏幕开关，亮度，饱和度，对比度调节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6.支持远程录像文件的解码输出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7.支持跨浏览器的WEB 3.0，同时对WEB上的配置进行调整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8.支持Onvif、General协议接入，支持国标GB28181接入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9.支持底色选择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10.支持2个10M/100M/1000M自适应以太网接口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11.采用标准网络协议和标准压缩算法，在各种平台上实现互联互通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9路解码器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1.输出接口支持3840x2160,2560x1600，1920x1080,1280x1024,1280x720,1024x768六种显示分辨率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2.H.265/ H.264/ MPEG4/ MPEG2 /MJPEG/SVAC标准网络视频流解码，支持各种码流混合解码显示144个通道同时解码，支持通道任意开窗、漫游、图层叠加功能，支持预案轮巡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3.支持1/4/9/16/36画面分割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4.支持主动解码和被动解码两种解码模式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5.支持通过串口控制屏幕开关，亮度，饱和度，对比度调节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6.支持远程录像文件的解码输出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7.支持跨浏览器的WEB 3.0，同时对WEB上的配置进行调整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8.支持Onvif、General协议接入，支持国标GB28181接入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9.支持底色选择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10.支持2个10M/100M/1000M自适应以太网接口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11.采用标准网络协议和标准压缩算法，在各种平台上实现互联互通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5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液晶单元基座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1.整体铝型材结构，一次成型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2.哑光黑颜色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3.高度根据现场需要可调整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6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大屏幕控制软件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1.具有完善的管理登录机制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</w:rPr>
              <w:t>.可视化窗口界面管理操作，操作使用便捷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</w:rPr>
              <w:t>.可对幕墙的行数列数进行管理设置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0"/>
              </w:rPr>
              <w:t>.可进行任意图像拼接、图像分解等功能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7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封闭隔断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轻钢龙骨、石膏板、批腻子、乳胶漆等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47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8</w:t>
            </w:r>
          </w:p>
        </w:tc>
        <w:tc>
          <w:tcPr>
            <w:tcW w:w="1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拼接屏控制电脑</w:t>
            </w:r>
          </w:p>
        </w:tc>
        <w:tc>
          <w:tcPr>
            <w:tcW w:w="490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CUP:intel Core i3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主板:Intel H81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扩展槽：两个PCI-E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内存：4G DDR4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硬盘：500G，sata2，7200rpm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显卡：2G显存，包含1路DVI和1路VGA输出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网卡：1000M以太网卡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显示器：22寸宽屏显示器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电源：300W</w:t>
            </w:r>
          </w:p>
        </w:tc>
        <w:tc>
          <w:tcPr>
            <w:tcW w:w="7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9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系统工程线缆</w:t>
            </w:r>
          </w:p>
        </w:tc>
        <w:tc>
          <w:tcPr>
            <w:tcW w:w="4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DVI电缆，10米，黑色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15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  <w:jc w:val="center"/>
        </w:trPr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10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辅料</w:t>
            </w:r>
          </w:p>
        </w:tc>
        <w:tc>
          <w:tcPr>
            <w:tcW w:w="4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含为完成本项目所发生的螺钉螺母、垫片电工包布、水晶头、接线端子排、电源线、电源插头、标签标识等全部辅料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1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批</w:t>
            </w:r>
          </w:p>
        </w:tc>
      </w:tr>
    </w:tbl>
    <w:p>
      <w:pPr>
        <w:pStyle w:val="4"/>
        <w:outlineLvl w:val="0"/>
        <w:rPr>
          <w:rFonts w:hint="eastAsia" w:ascii="宋体" w:hAnsi="宋体" w:cs="宋体"/>
        </w:rPr>
      </w:pPr>
    </w:p>
    <w:p>
      <w:pPr>
        <w:pStyle w:val="4"/>
        <w:outlineLvl w:val="0"/>
        <w:rPr>
          <w:rFonts w:hint="eastAsia" w:ascii="宋体" w:hAnsi="宋体" w:cs="宋体"/>
        </w:rPr>
      </w:pP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C3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Times New Roman" w:hAnsi="Times New Roman" w:eastAsia="宋体" w:cs="Times New Roman"/>
      <w:b/>
      <w:kern w:val="44"/>
      <w:sz w:val="44"/>
      <w:szCs w:val="4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szCs w:val="24"/>
    </w:rPr>
  </w:style>
  <w:style w:type="paragraph" w:styleId="4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小当家</cp:lastModifiedBy>
  <dcterms:modified xsi:type="dcterms:W3CDTF">2019-11-18T07:51:26Z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