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eastAsia" w:ascii="宋体" w:hAnsi="宋体" w:eastAsia="宋体" w:cs="宋体"/>
          <w:color w:val="auto"/>
          <w:kern w:val="2"/>
          <w:sz w:val="24"/>
          <w:szCs w:val="24"/>
          <w:highlight w:val="none"/>
          <w:lang w:val="en-US" w:eastAsia="zh-CN" w:bidi="ar-SA"/>
        </w:rPr>
      </w:pPr>
      <w:r>
        <w:rPr>
          <w:rFonts w:hint="eastAsia" w:ascii="宋体" w:hAnsi="宋体" w:eastAsia="宋体" w:cs="宋体"/>
          <w:color w:val="auto"/>
          <w:sz w:val="24"/>
          <w:highlight w:val="none"/>
        </w:rPr>
        <w:t>项目名称：</w:t>
      </w:r>
      <w:r>
        <w:rPr>
          <w:rFonts w:hint="eastAsia" w:ascii="宋体" w:hAnsi="宋体" w:eastAsia="宋体" w:cs="宋体"/>
          <w:color w:val="auto"/>
          <w:kern w:val="2"/>
          <w:sz w:val="24"/>
          <w:szCs w:val="24"/>
          <w:highlight w:val="none"/>
          <w:lang w:val="en-US" w:eastAsia="zh-CN" w:bidi="ar-SA"/>
        </w:rPr>
        <w:t>天津市东丽区人民政府军粮城街道办事处津塘公路扫保项目</w:t>
      </w:r>
    </w:p>
    <w:p>
      <w:pPr>
        <w:pStyle w:val="2"/>
        <w:jc w:val="center"/>
        <w:rPr>
          <w:rFonts w:hint="eastAsia" w:ascii="宋体" w:hAnsi="宋体" w:eastAsia="宋体" w:cs="宋体"/>
          <w:color w:val="auto"/>
          <w:sz w:val="24"/>
          <w:highlight w:val="none"/>
        </w:rPr>
      </w:pPr>
      <w:r>
        <w:rPr>
          <w:rFonts w:hint="eastAsia" w:ascii="宋体" w:hAnsi="宋体" w:eastAsia="宋体" w:cs="宋体"/>
          <w:color w:val="auto"/>
          <w:sz w:val="24"/>
          <w:highlight w:val="none"/>
        </w:rPr>
        <w:t>项目编号：XFZB-2020-TJDL-ZF022</w:t>
      </w:r>
    </w:p>
    <w:p>
      <w:pPr>
        <w:pStyle w:val="2"/>
        <w:jc w:val="center"/>
        <w:rPr>
          <w:rFonts w:hint="default"/>
          <w:color w:val="auto"/>
          <w:highlight w:val="none"/>
          <w:lang w:val="en-US"/>
        </w:rPr>
      </w:pPr>
      <w:r>
        <w:rPr>
          <w:rFonts w:hint="eastAsia" w:hAnsi="宋体" w:cs="宋体"/>
          <w:color w:val="auto"/>
          <w:sz w:val="24"/>
          <w:highlight w:val="none"/>
          <w:lang w:val="en-US" w:eastAsia="zh-CN"/>
        </w:rPr>
        <w:t>征求意见公告</w:t>
      </w:r>
    </w:p>
    <w:p>
      <w:pPr>
        <w:spacing w:line="360" w:lineRule="auto"/>
        <w:ind w:firstLine="48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凡符合《中华人民共和国政府采购法》</w:t>
      </w:r>
      <w:r>
        <w:rPr>
          <w:rFonts w:hint="eastAsia" w:ascii="宋体" w:hAnsi="宋体" w:eastAsia="宋体" w:cs="宋体"/>
          <w:color w:val="auto"/>
          <w:sz w:val="24"/>
          <w:szCs w:val="24"/>
          <w:highlight w:val="none"/>
          <w:lang w:eastAsia="zh-CN"/>
        </w:rPr>
        <w:t>等相关</w:t>
      </w:r>
      <w:r>
        <w:rPr>
          <w:rFonts w:hint="eastAsia" w:ascii="宋体" w:hAnsi="宋体" w:eastAsia="宋体" w:cs="宋体"/>
          <w:color w:val="auto"/>
          <w:sz w:val="24"/>
          <w:szCs w:val="24"/>
          <w:highlight w:val="none"/>
        </w:rPr>
        <w:t>规定的</w:t>
      </w:r>
      <w:r>
        <w:rPr>
          <w:rFonts w:hint="eastAsia" w:ascii="宋体" w:hAnsi="宋体" w:eastAsia="宋体" w:cs="宋体"/>
          <w:color w:val="auto"/>
          <w:sz w:val="24"/>
          <w:szCs w:val="24"/>
          <w:highlight w:val="none"/>
          <w:lang w:val="en-US" w:eastAsia="zh-CN"/>
        </w:rPr>
        <w:t>供应商</w:t>
      </w:r>
      <w:r>
        <w:rPr>
          <w:rFonts w:hint="eastAsia" w:ascii="宋体" w:hAnsi="宋体" w:eastAsia="宋体" w:cs="宋体"/>
          <w:color w:val="auto"/>
          <w:sz w:val="24"/>
          <w:szCs w:val="24"/>
          <w:highlight w:val="none"/>
        </w:rPr>
        <w:t>，均可参加投标。提供的服务及涉及的物品应符合国家强制性技术标准。</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textAlignment w:val="auto"/>
        <w:outlineLvl w:val="9"/>
        <w:rPr>
          <w:rFonts w:hint="eastAsia" w:ascii="宋体" w:hAnsi="宋体" w:eastAsia="宋体" w:cs="宋体"/>
          <w:bCs/>
          <w:color w:val="auto"/>
          <w:sz w:val="24"/>
          <w:highlight w:val="none"/>
        </w:rPr>
      </w:pPr>
      <w:r>
        <w:rPr>
          <w:rFonts w:hint="eastAsia" w:ascii="宋体" w:hAnsi="宋体" w:eastAsia="宋体" w:cs="宋体"/>
          <w:color w:val="auto"/>
          <w:sz w:val="24"/>
          <w:szCs w:val="24"/>
          <w:highlight w:val="none"/>
          <w:lang w:val="en-US" w:eastAsia="zh-CN"/>
        </w:rPr>
        <w:t>一、</w:t>
      </w:r>
      <w:r>
        <w:rPr>
          <w:rFonts w:hint="eastAsia" w:ascii="宋体" w:hAnsi="宋体" w:eastAsia="宋体" w:cs="宋体"/>
          <w:bCs/>
          <w:color w:val="auto"/>
          <w:sz w:val="24"/>
          <w:highlight w:val="none"/>
        </w:rPr>
        <w:t>技术要求</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textAlignment w:val="auto"/>
        <w:outlineLvl w:val="9"/>
        <w:rPr>
          <w:rFonts w:hint="eastAsia" w:ascii="宋体" w:hAnsi="宋体" w:eastAsia="宋体" w:cs="宋体"/>
          <w:color w:val="auto"/>
          <w:sz w:val="24"/>
          <w:highlight w:val="none"/>
        </w:rPr>
      </w:pPr>
      <w:r>
        <w:rPr>
          <w:rFonts w:hint="eastAsia" w:ascii="宋体" w:hAnsi="宋体" w:eastAsia="宋体" w:cs="宋体"/>
          <w:color w:val="auto"/>
          <w:sz w:val="24"/>
          <w:highlight w:val="none"/>
        </w:rPr>
        <w:t>（一）</w:t>
      </w:r>
      <w:r>
        <w:rPr>
          <w:rFonts w:hint="eastAsia" w:eastAsia="宋体"/>
          <w:color w:val="auto"/>
          <w:sz w:val="24"/>
          <w:highlight w:val="none"/>
          <w:lang w:eastAsia="zh-CN"/>
        </w:rPr>
        <w:t>供应商</w:t>
      </w:r>
      <w:r>
        <w:rPr>
          <w:color w:val="auto"/>
          <w:sz w:val="24"/>
          <w:highlight w:val="none"/>
        </w:rPr>
        <w:t>须承诺所提供的服务、人员</w:t>
      </w:r>
      <w:r>
        <w:rPr>
          <w:rFonts w:hint="eastAsia"/>
          <w:color w:val="auto"/>
          <w:sz w:val="24"/>
          <w:highlight w:val="none"/>
        </w:rPr>
        <w:t>、</w:t>
      </w:r>
      <w:r>
        <w:rPr>
          <w:color w:val="auto"/>
          <w:sz w:val="24"/>
          <w:highlight w:val="none"/>
        </w:rPr>
        <w:t>设备</w:t>
      </w:r>
      <w:r>
        <w:rPr>
          <w:rFonts w:hint="eastAsia"/>
          <w:color w:val="auto"/>
          <w:sz w:val="24"/>
          <w:highlight w:val="none"/>
        </w:rPr>
        <w:t>及耗材等均</w:t>
      </w:r>
      <w:r>
        <w:rPr>
          <w:color w:val="auto"/>
          <w:sz w:val="24"/>
          <w:highlight w:val="none"/>
        </w:rPr>
        <w:t>符合相关国家强制性规定。</w:t>
      </w:r>
      <w:r>
        <w:rPr>
          <w:rFonts w:hint="eastAsia" w:ascii="宋体" w:hAnsi="宋体" w:eastAsia="宋体" w:cs="宋体"/>
          <w:color w:val="auto"/>
          <w:sz w:val="24"/>
          <w:highlight w:val="none"/>
        </w:rPr>
        <w:t>采购人有权要求供应商出具符合上述规定的证明文件。</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textAlignment w:val="auto"/>
        <w:outlineLvl w:val="9"/>
        <w:rPr>
          <w:color w:val="auto"/>
          <w:sz w:val="24"/>
          <w:highlight w:val="none"/>
        </w:rPr>
      </w:pPr>
      <w:r>
        <w:rPr>
          <w:color w:val="auto"/>
          <w:sz w:val="24"/>
          <w:highlight w:val="none"/>
        </w:rPr>
        <w:t>（</w:t>
      </w:r>
      <w:r>
        <w:rPr>
          <w:rFonts w:hint="eastAsia"/>
          <w:color w:val="auto"/>
          <w:sz w:val="24"/>
          <w:highlight w:val="none"/>
          <w:lang w:eastAsia="zh-CN"/>
        </w:rPr>
        <w:t>二</w:t>
      </w:r>
      <w:r>
        <w:rPr>
          <w:color w:val="auto"/>
          <w:sz w:val="24"/>
          <w:highlight w:val="none"/>
        </w:rPr>
        <w:t>）项目</w:t>
      </w:r>
      <w:r>
        <w:rPr>
          <w:rFonts w:hint="eastAsia"/>
          <w:color w:val="auto"/>
          <w:sz w:val="24"/>
          <w:highlight w:val="none"/>
        </w:rPr>
        <w:t>负责人</w:t>
      </w:r>
      <w:r>
        <w:rPr>
          <w:color w:val="auto"/>
          <w:sz w:val="24"/>
          <w:highlight w:val="none"/>
        </w:rPr>
        <w:t>及其他技术人员须具备国家相关部门颁发的在有效期内的资质证书，项目实施过程中保证持证上岗。</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textAlignment w:val="auto"/>
        <w:outlineLvl w:val="9"/>
        <w:rPr>
          <w:rFonts w:hint="eastAsia" w:ascii="宋体" w:hAnsi="宋体" w:eastAsia="宋体" w:cs="宋体"/>
          <w:color w:val="auto"/>
          <w:sz w:val="24"/>
          <w:szCs w:val="24"/>
          <w:highlight w:val="none"/>
          <w:lang w:val="en-US" w:eastAsia="zh-CN"/>
        </w:rPr>
      </w:pPr>
      <w:r>
        <w:rPr>
          <w:rFonts w:hint="eastAsia"/>
          <w:color w:val="auto"/>
          <w:sz w:val="24"/>
          <w:highlight w:val="none"/>
          <w:lang w:eastAsia="zh-CN"/>
        </w:rPr>
        <w:t>（</w:t>
      </w:r>
      <w:r>
        <w:rPr>
          <w:color w:val="auto"/>
          <w:sz w:val="24"/>
          <w:highlight w:val="none"/>
        </w:rPr>
        <w:t>三）根据《中华人民共和国劳动合同法》及其他法律法规的要求，本项目成交供应商须与实施</w:t>
      </w:r>
      <w:r>
        <w:rPr>
          <w:rFonts w:hint="eastAsia"/>
          <w:color w:val="auto"/>
          <w:sz w:val="24"/>
          <w:highlight w:val="none"/>
          <w:lang w:eastAsia="zh-CN"/>
        </w:rPr>
        <w:t>本项目</w:t>
      </w:r>
      <w:r>
        <w:rPr>
          <w:color w:val="auto"/>
          <w:sz w:val="24"/>
          <w:highlight w:val="none"/>
        </w:rPr>
        <w:t>服务</w:t>
      </w:r>
      <w:r>
        <w:rPr>
          <w:rFonts w:hint="eastAsia"/>
          <w:color w:val="auto"/>
          <w:sz w:val="24"/>
          <w:highlight w:val="none"/>
          <w:lang w:eastAsia="zh-CN"/>
        </w:rPr>
        <w:t>的</w:t>
      </w:r>
      <w:r>
        <w:rPr>
          <w:color w:val="auto"/>
          <w:sz w:val="24"/>
          <w:highlight w:val="none"/>
        </w:rPr>
        <w:t>人员签订</w:t>
      </w:r>
      <w:r>
        <w:rPr>
          <w:rFonts w:hint="eastAsia"/>
          <w:color w:val="auto"/>
          <w:sz w:val="24"/>
          <w:highlight w:val="none"/>
        </w:rPr>
        <w:t>劳动</w:t>
      </w:r>
      <w:r>
        <w:rPr>
          <w:color w:val="auto"/>
          <w:sz w:val="24"/>
          <w:highlight w:val="none"/>
        </w:rPr>
        <w:t>合同</w:t>
      </w:r>
      <w:r>
        <w:rPr>
          <w:rFonts w:hint="eastAsia"/>
          <w:color w:val="auto"/>
          <w:sz w:val="24"/>
          <w:highlight w:val="none"/>
        </w:rPr>
        <w:t>，按国家及天津市相关政策规定，支付工资、加班费和福利费及</w:t>
      </w:r>
      <w:r>
        <w:rPr>
          <w:color w:val="auto"/>
          <w:sz w:val="24"/>
          <w:highlight w:val="none"/>
        </w:rPr>
        <w:t>缴纳社会保险</w:t>
      </w:r>
      <w:r>
        <w:rPr>
          <w:rFonts w:hint="eastAsia"/>
          <w:color w:val="auto"/>
          <w:sz w:val="24"/>
          <w:highlight w:val="none"/>
        </w:rPr>
        <w:t>等</w:t>
      </w:r>
      <w:r>
        <w:rPr>
          <w:color w:val="auto"/>
          <w:sz w:val="24"/>
          <w:highlight w:val="none"/>
        </w:rPr>
        <w:t>。</w:t>
      </w:r>
    </w:p>
    <w:p>
      <w:pPr>
        <w:pStyle w:val="2"/>
        <w:keepNext w:val="0"/>
        <w:keepLines w:val="0"/>
        <w:pageBreakBefore w:val="0"/>
        <w:widowControl w:val="0"/>
        <w:kinsoku/>
        <w:wordWrap/>
        <w:overflowPunct/>
        <w:topLinePunct w:val="0"/>
        <w:bidi w:val="0"/>
        <w:adjustRightInd w:val="0"/>
        <w:snapToGrid w:val="0"/>
        <w:spacing w:line="360" w:lineRule="auto"/>
        <w:ind w:left="0" w:leftChars="0" w:right="0" w:rightChars="0" w:firstLine="480"/>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二、项目需求书</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1、项目作业内容：</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道路人工清扫保洁、道路两侧绿地垃圾、夏季洒水工作、突发性公共污染事件应急处置、迎检任务、考评等活动环卫保障等。</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（1）各条道路的清扫保洁及夏季洒水工作；</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（2）区域范围内的人工清扫和连续性保洁；</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w:t>
      </w:r>
      <w:r>
        <w:rPr>
          <w:rFonts w:hint="eastAsia" w:ascii="宋体" w:hAnsi="宋体"/>
          <w:color w:val="auto"/>
          <w:sz w:val="24"/>
          <w:highlight w:val="none"/>
          <w:lang w:val="en-US" w:eastAsia="zh-CN"/>
        </w:rPr>
        <w:t>3</w:t>
      </w:r>
      <w:r>
        <w:rPr>
          <w:rFonts w:hint="eastAsia" w:ascii="宋体" w:hAnsi="宋体"/>
          <w:color w:val="auto"/>
          <w:sz w:val="24"/>
          <w:highlight w:val="none"/>
        </w:rPr>
        <w:t>）道路两侧果皮箱、垃圾桶的清洗保洁；</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w:t>
      </w:r>
      <w:r>
        <w:rPr>
          <w:rFonts w:hint="eastAsia" w:ascii="宋体" w:hAnsi="宋体"/>
          <w:color w:val="auto"/>
          <w:sz w:val="24"/>
          <w:highlight w:val="none"/>
          <w:lang w:val="en-US" w:eastAsia="zh-CN"/>
        </w:rPr>
        <w:t>4</w:t>
      </w:r>
      <w:r>
        <w:rPr>
          <w:rFonts w:hint="eastAsia" w:ascii="宋体" w:hAnsi="宋体"/>
          <w:color w:val="auto"/>
          <w:sz w:val="24"/>
          <w:highlight w:val="none"/>
        </w:rPr>
        <w:t>）道路两侧墙体、灯杆小广告的清除（随见随清）；</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w:t>
      </w:r>
      <w:r>
        <w:rPr>
          <w:rFonts w:hint="eastAsia" w:ascii="宋体" w:hAnsi="宋体"/>
          <w:color w:val="auto"/>
          <w:sz w:val="24"/>
          <w:highlight w:val="none"/>
          <w:lang w:val="en-US" w:eastAsia="zh-CN"/>
        </w:rPr>
        <w:t>5</w:t>
      </w:r>
      <w:r>
        <w:rPr>
          <w:rFonts w:hint="eastAsia" w:ascii="宋体" w:hAnsi="宋体"/>
          <w:color w:val="auto"/>
          <w:sz w:val="24"/>
          <w:highlight w:val="none"/>
        </w:rPr>
        <w:t>）行道树落叶、树穴、人行道杂草清理；</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w:t>
      </w:r>
      <w:r>
        <w:rPr>
          <w:rFonts w:hint="eastAsia" w:ascii="宋体" w:hAnsi="宋体"/>
          <w:color w:val="auto"/>
          <w:sz w:val="24"/>
          <w:highlight w:val="none"/>
          <w:lang w:val="en-US" w:eastAsia="zh-CN"/>
        </w:rPr>
        <w:t>6</w:t>
      </w:r>
      <w:r>
        <w:rPr>
          <w:rFonts w:hint="eastAsia" w:ascii="宋体" w:hAnsi="宋体"/>
          <w:color w:val="auto"/>
          <w:sz w:val="24"/>
          <w:highlight w:val="none"/>
        </w:rPr>
        <w:t>）区域范围内无主杂物、无责任单位工程土的清理清运；</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w:t>
      </w:r>
      <w:r>
        <w:rPr>
          <w:rFonts w:hint="eastAsia" w:ascii="宋体" w:hAnsi="宋体"/>
          <w:color w:val="auto"/>
          <w:sz w:val="24"/>
          <w:highlight w:val="none"/>
          <w:lang w:val="en-US" w:eastAsia="zh-CN"/>
        </w:rPr>
        <w:t>7</w:t>
      </w:r>
      <w:r>
        <w:rPr>
          <w:rFonts w:hint="eastAsia" w:ascii="宋体" w:hAnsi="宋体"/>
          <w:color w:val="auto"/>
          <w:sz w:val="28"/>
          <w:szCs w:val="28"/>
          <w:highlight w:val="none"/>
        </w:rPr>
        <w:t>）</w:t>
      </w:r>
      <w:r>
        <w:rPr>
          <w:rFonts w:hint="eastAsia" w:ascii="宋体" w:hAnsi="宋体"/>
          <w:color w:val="auto"/>
          <w:sz w:val="24"/>
          <w:highlight w:val="none"/>
        </w:rPr>
        <w:t>每日清理的垃圾杂物等需清运至指定垃圾场地。</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道路人工保洁时间：早上6:00--下午22:00（早晨7:00之前，应达到军粮城街道路清扫保洁作业管理标准）</w:t>
      </w:r>
    </w:p>
    <w:p>
      <w:pPr>
        <w:snapToGrid w:val="0"/>
        <w:spacing w:line="360" w:lineRule="auto"/>
        <w:ind w:firstLine="480" w:firstLineChars="200"/>
        <w:rPr>
          <w:rFonts w:hint="eastAsia"/>
          <w:color w:val="auto"/>
          <w:highlight w:val="none"/>
        </w:rPr>
      </w:pPr>
      <w:r>
        <w:rPr>
          <w:rFonts w:hint="eastAsia" w:ascii="宋体" w:hAnsi="宋体"/>
          <w:color w:val="auto"/>
          <w:sz w:val="24"/>
          <w:highlight w:val="none"/>
          <w:lang w:eastAsia="zh-CN"/>
        </w:rPr>
        <w:t>（</w:t>
      </w:r>
      <w:r>
        <w:rPr>
          <w:rFonts w:hint="eastAsia" w:ascii="宋体" w:hAnsi="宋体"/>
          <w:color w:val="auto"/>
          <w:sz w:val="24"/>
          <w:highlight w:val="none"/>
          <w:lang w:val="en-US" w:eastAsia="zh-CN"/>
        </w:rPr>
        <w:t>8</w:t>
      </w:r>
      <w:r>
        <w:rPr>
          <w:rFonts w:hint="eastAsia" w:ascii="宋体" w:hAnsi="宋体"/>
          <w:color w:val="auto"/>
          <w:sz w:val="24"/>
          <w:highlight w:val="none"/>
          <w:lang w:eastAsia="zh-CN"/>
        </w:rPr>
        <w:t>）</w:t>
      </w:r>
      <w:r>
        <w:rPr>
          <w:rFonts w:hint="eastAsia" w:ascii="宋体" w:hAnsi="宋体"/>
          <w:color w:val="auto"/>
          <w:sz w:val="24"/>
          <w:highlight w:val="none"/>
        </w:rPr>
        <w:t>道路洒水时间5月1日至5月31日，9月1日至9月30日全部主干道每天洒水一次；6月1日至8月31日全部主干道及重点路段每天洒水两次，部分次干道每天洒水一次。</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2、人员、车辆及劳保用品等配备</w:t>
      </w:r>
    </w:p>
    <w:p>
      <w:pPr>
        <w:numPr>
          <w:ilvl w:val="0"/>
          <w:numId w:val="1"/>
        </w:num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人员配备要求</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496"/>
        <w:gridCol w:w="3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2" w:hRule="atLeast"/>
          <w:jc w:val="center"/>
        </w:trPr>
        <w:tc>
          <w:tcPr>
            <w:tcW w:w="3496" w:type="dxa"/>
            <w:noWrap w:val="0"/>
            <w:vAlign w:val="center"/>
          </w:tcPr>
          <w:p>
            <w:pPr>
              <w:jc w:val="center"/>
              <w:textAlignment w:val="center"/>
              <w:rPr>
                <w:rFonts w:hint="eastAsia" w:ascii="宋体" w:hAnsi="宋体" w:cs="宋体"/>
                <w:color w:val="auto"/>
                <w:sz w:val="24"/>
                <w:szCs w:val="24"/>
                <w:highlight w:val="none"/>
              </w:rPr>
            </w:pPr>
            <w:r>
              <w:rPr>
                <w:rFonts w:hint="eastAsia" w:ascii="宋体" w:hAnsi="宋体" w:cs="宋体"/>
                <w:color w:val="auto"/>
                <w:sz w:val="24"/>
                <w:szCs w:val="24"/>
                <w:highlight w:val="none"/>
                <w:lang w:bidi="ar"/>
              </w:rPr>
              <w:t>区域</w:t>
            </w:r>
          </w:p>
        </w:tc>
        <w:tc>
          <w:tcPr>
            <w:tcW w:w="3847" w:type="dxa"/>
            <w:noWrap w:val="0"/>
            <w:vAlign w:val="center"/>
          </w:tcPr>
          <w:p>
            <w:pPr>
              <w:jc w:val="center"/>
              <w:textAlignment w:val="center"/>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bidi="ar"/>
              </w:rPr>
              <w:t>本区域</w:t>
            </w:r>
            <w:r>
              <w:rPr>
                <w:rFonts w:hint="eastAsia" w:ascii="宋体" w:hAnsi="宋体" w:cs="宋体"/>
                <w:color w:val="auto"/>
                <w:sz w:val="24"/>
                <w:szCs w:val="24"/>
                <w:highlight w:val="none"/>
                <w:lang w:val="en-US" w:eastAsia="zh-CN" w:bidi="ar"/>
              </w:rPr>
              <w:t>人员</w:t>
            </w:r>
            <w:r>
              <w:rPr>
                <w:rFonts w:hint="eastAsia" w:ascii="宋体" w:hAnsi="宋体" w:cs="宋体"/>
                <w:color w:val="auto"/>
                <w:sz w:val="24"/>
                <w:szCs w:val="24"/>
                <w:highlight w:val="none"/>
                <w:lang w:bidi="ar"/>
              </w:rPr>
              <w:t>配置</w:t>
            </w:r>
            <w:r>
              <w:rPr>
                <w:rFonts w:hint="eastAsia" w:ascii="宋体" w:hAnsi="宋体" w:cs="宋体"/>
                <w:color w:val="auto"/>
                <w:sz w:val="24"/>
                <w:szCs w:val="24"/>
                <w:highlight w:val="none"/>
                <w:lang w:val="en-US" w:eastAsia="zh-CN" w:bidi="ar"/>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79" w:hRule="atLeast"/>
          <w:jc w:val="center"/>
        </w:trPr>
        <w:tc>
          <w:tcPr>
            <w:tcW w:w="3496" w:type="dxa"/>
            <w:shd w:val="clear" w:color="auto" w:fill="auto"/>
            <w:noWrap w:val="0"/>
            <w:vAlign w:val="center"/>
          </w:tcPr>
          <w:p>
            <w:pPr>
              <w:jc w:val="center"/>
              <w:textAlignment w:val="center"/>
              <w:rPr>
                <w:rFonts w:hint="eastAsia" w:ascii="宋体" w:hAnsi="宋体" w:cs="宋体"/>
                <w:color w:val="auto"/>
                <w:sz w:val="24"/>
                <w:szCs w:val="24"/>
                <w:highlight w:val="none"/>
                <w:lang w:val="en-US" w:eastAsia="zh-CN" w:bidi="ar"/>
              </w:rPr>
            </w:pPr>
            <w:r>
              <w:rPr>
                <w:rFonts w:hint="eastAsia" w:ascii="宋体" w:hAnsi="宋体" w:cs="宋体"/>
                <w:color w:val="auto"/>
                <w:sz w:val="24"/>
                <w:szCs w:val="24"/>
                <w:highlight w:val="none"/>
                <w:lang w:val="en-US" w:eastAsia="zh-CN" w:bidi="ar"/>
              </w:rPr>
              <w:t>津塘公路军粮城段（军粮城大街至汉港线）</w:t>
            </w:r>
          </w:p>
          <w:p>
            <w:pPr>
              <w:jc w:val="center"/>
              <w:textAlignment w:val="center"/>
              <w:rPr>
                <w:rFonts w:hint="default"/>
                <w:color w:val="auto"/>
                <w:highlight w:val="none"/>
                <w:lang w:val="en-US" w:eastAsia="zh-CN"/>
              </w:rPr>
            </w:pPr>
            <w:r>
              <w:rPr>
                <w:rFonts w:hint="eastAsia" w:ascii="宋体" w:hAnsi="宋体" w:cs="宋体"/>
                <w:color w:val="auto"/>
                <w:sz w:val="24"/>
                <w:szCs w:val="24"/>
                <w:highlight w:val="none"/>
                <w:lang w:val="en-US" w:eastAsia="zh-CN" w:bidi="ar"/>
              </w:rPr>
              <w:t>全长3600米，面积152352㎡</w:t>
            </w:r>
          </w:p>
        </w:tc>
        <w:tc>
          <w:tcPr>
            <w:tcW w:w="3847" w:type="dxa"/>
            <w:shd w:val="clear" w:color="000000" w:fill="FFFFFF"/>
            <w:noWrap w:val="0"/>
            <w:vAlign w:val="center"/>
          </w:tcPr>
          <w:p>
            <w:pPr>
              <w:jc w:val="center"/>
              <w:textAlignment w:val="center"/>
              <w:rPr>
                <w:rFonts w:hint="eastAsia"/>
                <w:color w:val="auto"/>
                <w:highlight w:val="none"/>
              </w:rPr>
            </w:pPr>
            <w:r>
              <w:rPr>
                <w:rFonts w:hint="eastAsia"/>
                <w:color w:val="auto"/>
                <w:highlight w:val="none"/>
                <w:lang w:val="en-US" w:eastAsia="zh-CN"/>
              </w:rPr>
              <w:t>共23</w:t>
            </w:r>
            <w:r>
              <w:rPr>
                <w:rFonts w:hint="eastAsia"/>
                <w:color w:val="auto"/>
                <w:highlight w:val="none"/>
              </w:rPr>
              <w:t>人</w:t>
            </w:r>
          </w:p>
          <w:p>
            <w:pPr>
              <w:pStyle w:val="2"/>
              <w:jc w:val="center"/>
              <w:rPr>
                <w:rFonts w:hint="eastAsia"/>
                <w:color w:val="auto"/>
                <w:highlight w:val="none"/>
                <w:lang w:val="en-US" w:eastAsia="zh-CN"/>
              </w:rPr>
            </w:pPr>
            <w:r>
              <w:rPr>
                <w:rFonts w:hint="eastAsia"/>
                <w:color w:val="auto"/>
                <w:highlight w:val="none"/>
                <w:lang w:val="en-US" w:eastAsia="zh-CN"/>
              </w:rPr>
              <w:t>（项目经理：1人</w:t>
            </w:r>
          </w:p>
          <w:p>
            <w:pPr>
              <w:pStyle w:val="2"/>
              <w:jc w:val="center"/>
              <w:rPr>
                <w:rFonts w:hint="eastAsia"/>
                <w:color w:val="auto"/>
                <w:highlight w:val="none"/>
                <w:lang w:val="en-US" w:eastAsia="zh-CN"/>
              </w:rPr>
            </w:pPr>
            <w:r>
              <w:rPr>
                <w:rFonts w:hint="eastAsia"/>
                <w:color w:val="auto"/>
                <w:highlight w:val="none"/>
                <w:lang w:val="en-US" w:eastAsia="zh-CN"/>
              </w:rPr>
              <w:t>扫路车司机：2人</w:t>
            </w:r>
          </w:p>
          <w:p>
            <w:pPr>
              <w:pStyle w:val="2"/>
              <w:jc w:val="center"/>
              <w:rPr>
                <w:rFonts w:hint="eastAsia"/>
                <w:color w:val="auto"/>
                <w:highlight w:val="none"/>
                <w:lang w:val="en-US" w:eastAsia="zh-CN"/>
              </w:rPr>
            </w:pPr>
            <w:r>
              <w:rPr>
                <w:rFonts w:hint="eastAsia"/>
                <w:color w:val="auto"/>
                <w:highlight w:val="none"/>
                <w:lang w:val="en-US" w:eastAsia="zh-CN"/>
              </w:rPr>
              <w:t>保洁人员：20人）</w:t>
            </w:r>
          </w:p>
          <w:p>
            <w:pPr>
              <w:pStyle w:val="2"/>
              <w:jc w:val="center"/>
              <w:rPr>
                <w:rFonts w:hint="default"/>
                <w:color w:val="auto"/>
                <w:highlight w:val="none"/>
                <w:lang w:val="en-US" w:eastAsia="zh-CN"/>
              </w:rPr>
            </w:pPr>
            <w:r>
              <w:rPr>
                <w:rFonts w:hint="eastAsia" w:ascii="宋体" w:hAnsi="宋体" w:eastAsia="宋体" w:cs="宋体"/>
                <w:color w:val="auto"/>
                <w:highlight w:val="none"/>
                <w:lang w:val="en-US" w:eastAsia="zh-CN"/>
              </w:rPr>
              <w:t>★</w:t>
            </w:r>
            <w:r>
              <w:rPr>
                <w:rFonts w:hint="eastAsia"/>
                <w:color w:val="auto"/>
                <w:highlight w:val="none"/>
                <w:lang w:val="en-US" w:eastAsia="zh-CN"/>
              </w:rPr>
              <w:t>以上人员均不接受离退休人员</w:t>
            </w:r>
          </w:p>
        </w:tc>
      </w:tr>
    </w:tbl>
    <w:p>
      <w:pPr>
        <w:pStyle w:val="2"/>
        <w:rPr>
          <w:rFonts w:hint="eastAsia"/>
          <w:color w:val="auto"/>
          <w:highlight w:val="none"/>
        </w:rPr>
      </w:pPr>
    </w:p>
    <w:p>
      <w:pPr>
        <w:snapToGrid w:val="0"/>
        <w:spacing w:line="360" w:lineRule="auto"/>
        <w:ind w:left="420" w:leftChars="200"/>
        <w:rPr>
          <w:rFonts w:hint="eastAsia" w:ascii="宋体" w:hAnsi="宋体"/>
          <w:color w:val="auto"/>
          <w:sz w:val="24"/>
          <w:highlight w:val="none"/>
        </w:rPr>
      </w:pPr>
      <w:r>
        <w:rPr>
          <w:rFonts w:hint="eastAsia" w:ascii="宋体" w:hAnsi="宋体"/>
          <w:color w:val="auto"/>
          <w:sz w:val="24"/>
          <w:highlight w:val="none"/>
        </w:rPr>
        <w:t>(2)确保每人一辆环卫三轮车、扫帚、铁铲；</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(3)特种车辆驾驶人员；</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(4)扫保人员需穿着统一制服或背心上岗（制服或背心需有反光条）</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(5)办公用房需自行解决。</w:t>
      </w:r>
    </w:p>
    <w:p>
      <w:pPr>
        <w:snapToGrid w:val="0"/>
        <w:spacing w:line="360" w:lineRule="auto"/>
        <w:ind w:firstLine="480" w:firstLineChars="200"/>
        <w:rPr>
          <w:rFonts w:hint="default" w:eastAsia="......."/>
          <w:color w:val="auto"/>
          <w:highlight w:val="none"/>
          <w:lang w:val="en-US" w:eastAsia="zh-CN"/>
        </w:rPr>
      </w:pPr>
      <w:r>
        <w:rPr>
          <w:rFonts w:hint="eastAsia" w:ascii="宋体" w:hAnsi="宋体"/>
          <w:color w:val="auto"/>
          <w:sz w:val="24"/>
          <w:highlight w:val="none"/>
          <w:lang w:val="en-US" w:eastAsia="zh-CN"/>
        </w:rPr>
        <w:t>(6)供应商须提供扫路车2辆</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3、承包经费采用全包干形式，包干内容包括人员工资、人员保险、劳保用品、环卫车辆等全部费用，服务期内不得以任何理由增加承包经费、不得转包、分包服务项目。</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4、工作质量要求</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（1）岗位职责：</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1）按规定着装，仪容端正、着装整齐，服从市容环境科的统一调度和工作安排，日常工作时段服从队长、组长的工作安排。</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2）按时上下班，不迟到早退。实行严格的路段交接制。</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3）按要求高标准做好责任区内的清扫保洁工作。</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4）及时纠正责任区内的乱堆乱放、倾倒垃圾行为，对工地运输车、土石方作业车的撒漏行为，做到及时发现、及时制止、及时上报。</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5）按时收集道路果皮箱的生活垃圾并清运至指定地点，并做到定期进行消杀工作。</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6）各类标识标牌、灯杆每周进行洗擦一次，对发现的小广告、布标做到随见随清。</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7）保持地面无杂物、无积水，设施设备上无浮灰，无蜘蛛网。</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8）按时完成上级指派的其它任务。</w:t>
      </w:r>
    </w:p>
    <w:p>
      <w:pPr>
        <w:numPr>
          <w:ilvl w:val="0"/>
          <w:numId w:val="2"/>
        </w:num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道路清扫保洁质量标准：</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应达到建设美丽天津实施环境净化工程确定的“道牙无尘，路无杂物，设施整洁，路见本色”的总体质量标准；落实“路面无土绺，车过无扬尘”和“六无六净”（即：无堆积物、无果皮纸屑、无砖瓦土石、无污泥积水、无泼撒物及呕吐物、无人畜粪便；路面净、道牙净、墙根净、绿带净、树穴净、雨水口净）等清扫保洁作业质量标准。</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（3）感观标准</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1）晴天时，路见本色，路面不发黄，无尘土，无石屑，无污物，无污水，汽车过后无明显尘土飘浮。</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2）雨停后，尽快排水，保持路面清亮，无积水和泥沙淤积，（低洼地应尽快推水），无明显石屑，无污物。路牙石整洁，无泥沙，与路面交接处无尘土积累。</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(4)人工清扫保洁作业规范</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清扫保洁工作人员上岗按照规定统一着装作业，上岗须着装有安全反光标志及工作单位标识，头戴工作帽，注意行人和来往车辆，不扬尘，不扰民，礼貌待人。遵守交通规则的前提下，完成当日规定的清扫保洁任务。着装要干净整洁，无破损，不得利用工作之便捡卖物品、干私活等，要遵纪守法，遵守社会公德。</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（5）人工清扫保洁操作规程</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1）保洁路牙要站在牙下依次顺序作业，并带扫1米宽的路面；小型三轮车（电动车）进行巡回保洁（污物滞留时间15分钟）。 </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2）夏季作业如遇水洗道路积水时，要先推水，后清扫，垃圾污物及时清运，禁止堆放在雨水口边。</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3）遇雨天要带好雨具，做好防雷击、防触电等保护措施，及时将地段积水推净，如遇大雨先将雨水口表面污物扫净，停雨后要及时将雨水推干净，以防风干后造成泥垢尘土污染道路环境。</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 xml:space="preserve"> 4）遇有大风天气要及时收集道路杂物和树木落叶，严禁焚烧树叶和杂物。</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lang w:val="en-US" w:eastAsia="zh-CN"/>
        </w:rPr>
        <w:t>5</w:t>
      </w:r>
      <w:r>
        <w:rPr>
          <w:rFonts w:hint="eastAsia" w:ascii="宋体" w:hAnsi="宋体"/>
          <w:color w:val="auto"/>
          <w:sz w:val="24"/>
          <w:highlight w:val="none"/>
        </w:rPr>
        <w:t>）沿街所设果皮箱要确保基础牢固如发现损坏要及时更换并做到及时清掏和擦拭保洁。</w:t>
      </w:r>
    </w:p>
    <w:p>
      <w:pPr>
        <w:snapToGrid w:val="0"/>
        <w:spacing w:line="360" w:lineRule="auto"/>
        <w:ind w:firstLine="480" w:firstLineChars="200"/>
        <w:rPr>
          <w:rFonts w:hint="eastAsia" w:ascii="宋体" w:hAnsi="宋体"/>
          <w:color w:val="auto"/>
          <w:sz w:val="24"/>
          <w:highlight w:val="none"/>
        </w:rPr>
      </w:pPr>
      <w:r>
        <w:rPr>
          <w:rFonts w:hint="eastAsia" w:ascii="宋体" w:hAnsi="宋体"/>
          <w:color w:val="auto"/>
          <w:sz w:val="24"/>
          <w:highlight w:val="none"/>
        </w:rPr>
        <w:t>以上保洁工作按合同要求听从军粮城街市容环境科监督、管理。确保作业质量和效果。</w:t>
      </w:r>
      <w:bookmarkStart w:id="0" w:name="_GoBack"/>
      <w:bookmarkEnd w:id="0"/>
    </w:p>
    <w:p>
      <w:pPr>
        <w:pStyle w:val="2"/>
        <w:pageBreakBefore w:val="0"/>
        <w:numPr>
          <w:ilvl w:val="0"/>
          <w:numId w:val="0"/>
        </w:numPr>
        <w:kinsoku/>
        <w:wordWrap/>
        <w:overflowPunct/>
        <w:topLinePunct w:val="0"/>
        <w:bidi w:val="0"/>
        <w:snapToGrid/>
        <w:spacing w:line="360" w:lineRule="auto"/>
        <w:ind w:leftChars="0" w:firstLine="480" w:firstLineChars="200"/>
        <w:textAlignment w:val="auto"/>
        <w:rPr>
          <w:rFonts w:hint="default" w:hAnsi="宋体" w:eastAsia="宋体" w:cs="宋体"/>
          <w:color w:val="auto"/>
          <w:highlight w:val="none"/>
          <w:lang w:val="en-US" w:eastAsia="zh-CN"/>
        </w:rPr>
      </w:pPr>
      <w:r>
        <w:rPr>
          <w:rFonts w:hint="eastAsia" w:hAnsi="宋体" w:eastAsia="宋体" w:cs="宋体"/>
          <w:color w:val="auto"/>
          <w:highlight w:val="none"/>
          <w:lang w:val="en-US" w:eastAsia="zh-CN"/>
        </w:rPr>
        <w:t>5.其他要求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200"/>
        <w:textAlignment w:val="auto"/>
        <w:rPr>
          <w:rFonts w:hint="eastAsia" w:hAnsi="宋体" w:eastAsia="宋体" w:cs="宋体"/>
          <w:color w:val="auto"/>
          <w:highlight w:val="none"/>
          <w:lang w:val="en-US" w:eastAsia="zh-CN"/>
        </w:rPr>
      </w:pPr>
      <w:r>
        <w:rPr>
          <w:rFonts w:hint="eastAsia" w:hAnsi="宋体" w:eastAsia="宋体" w:cs="宋体"/>
          <w:color w:val="auto"/>
          <w:highlight w:val="none"/>
          <w:lang w:val="en-US" w:eastAsia="zh-CN"/>
        </w:rPr>
        <w:t>（1）人员保险、福利、车辆维修、车辆保险均由供应商负责。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200"/>
        <w:textAlignment w:val="auto"/>
        <w:rPr>
          <w:rFonts w:hint="eastAsia" w:hAnsi="宋体" w:eastAsia="宋体" w:cs="宋体"/>
          <w:color w:val="auto"/>
          <w:highlight w:val="none"/>
          <w:lang w:val="en-US" w:eastAsia="zh-CN"/>
        </w:rPr>
      </w:pPr>
      <w:r>
        <w:rPr>
          <w:rFonts w:hint="eastAsia" w:hAnsi="宋体" w:eastAsia="宋体" w:cs="宋体"/>
          <w:color w:val="auto"/>
          <w:highlight w:val="none"/>
          <w:lang w:val="en-US" w:eastAsia="zh-CN"/>
        </w:rPr>
        <w:t>（2）如遇上级规划或统筹安排，按照实际需求调整。需终止合同的，供应商应无条件配合采购人终止本项目合同，按照实际服务期进行结算。</w:t>
      </w:r>
    </w:p>
    <w:p>
      <w:pPr>
        <w:pStyle w:val="2"/>
        <w:rPr>
          <w:rFonts w:hint="eastAsia"/>
          <w:color w:val="auto"/>
          <w:highlight w:val="none"/>
          <w:lang w:val="en-US" w:eastAsia="zh-CN"/>
        </w:rPr>
      </w:pPr>
    </w:p>
    <w:p>
      <w:pPr>
        <w:rPr>
          <w:color w:val="auto"/>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7F1B"/>
    <w:multiLevelType w:val="singleLevel"/>
    <w:tmpl w:val="5A387F1B"/>
    <w:lvl w:ilvl="0" w:tentative="0">
      <w:start w:val="2"/>
      <w:numFmt w:val="decimal"/>
      <w:suff w:val="nothing"/>
      <w:lvlText w:val="（%1）"/>
      <w:lvlJc w:val="left"/>
    </w:lvl>
  </w:abstractNum>
  <w:abstractNum w:abstractNumId="1">
    <w:nsid w:val="5A4489F8"/>
    <w:multiLevelType w:val="singleLevel"/>
    <w:tmpl w:val="5A4489F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712FD"/>
    <w:rsid w:val="68D7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2020-01-21T07:40:00Z</dcterms:created>
  <dc:creator>墨迹</dc:creator>
  <cp:lastModifiedBy>墨迹</cp:lastModifiedBy>
  <dcterms:modified xsi:type="dcterms:W3CDTF">2020-01-21T07:42:14Z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