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tabs>
          <w:tab w:val="left" w:pos="425"/>
          <w:tab w:val="left" w:pos="800"/>
          <w:tab w:val="left" w:pos="1100"/>
          <w:tab w:val="left" w:pos="1400"/>
        </w:tabs>
        <w:spacing w:line="360" w:lineRule="auto"/>
        <w:rPr>
          <w:rFonts w:hint="eastAsia" w:ascii="宋体" w:hAnsi="宋体" w:cs="宋体"/>
          <w:b/>
          <w:bCs/>
          <w:color w:val="auto"/>
          <w:sz w:val="24"/>
          <w:szCs w:val="24"/>
          <w:highlight w:val="none"/>
        </w:rPr>
      </w:pPr>
      <w:r>
        <w:rPr>
          <w:rFonts w:hint="eastAsia" w:ascii="宋体" w:hAnsi="宋体" w:cs="宋体"/>
          <w:b/>
          <w:bCs/>
          <w:color w:val="auto"/>
          <w:sz w:val="24"/>
          <w:szCs w:val="24"/>
          <w:highlight w:val="none"/>
          <w:lang w:val="en-US" w:eastAsia="zh-CN"/>
        </w:rPr>
        <w:t>一、</w:t>
      </w:r>
      <w:r>
        <w:rPr>
          <w:rFonts w:hint="eastAsia" w:ascii="宋体" w:hAnsi="宋体" w:cs="宋体"/>
          <w:b/>
          <w:bCs/>
          <w:color w:val="auto"/>
          <w:sz w:val="24"/>
          <w:szCs w:val="24"/>
          <w:highlight w:val="none"/>
        </w:rPr>
        <w:t>活动背景</w:t>
      </w:r>
    </w:p>
    <w:p>
      <w:pPr>
        <w:spacing w:line="360" w:lineRule="auto"/>
        <w:ind w:firstLine="400"/>
        <w:rPr>
          <w:rFonts w:hint="eastAsia" w:ascii="宋体" w:hAnsi="宋体" w:cs="宋体"/>
          <w:color w:val="auto"/>
          <w:sz w:val="24"/>
          <w:szCs w:val="24"/>
          <w:highlight w:val="none"/>
        </w:rPr>
      </w:pPr>
      <w:r>
        <w:rPr>
          <w:rFonts w:hint="eastAsia" w:ascii="宋体" w:hAnsi="宋体" w:cs="宋体"/>
          <w:color w:val="auto"/>
          <w:sz w:val="24"/>
          <w:szCs w:val="24"/>
          <w:highlight w:val="none"/>
        </w:rPr>
        <w:t>为落实</w:t>
      </w:r>
      <w:r>
        <w:rPr>
          <w:rFonts w:hint="eastAsia" w:ascii="宋体" w:hAnsi="宋体" w:cs="宋体"/>
          <w:color w:val="auto"/>
          <w:sz w:val="24"/>
          <w:szCs w:val="24"/>
          <w:highlight w:val="none"/>
          <w:lang w:eastAsia="zh-CN"/>
        </w:rPr>
        <w:t>经开区</w:t>
      </w:r>
      <w:r>
        <w:rPr>
          <w:rFonts w:hint="eastAsia" w:ascii="宋体" w:hAnsi="宋体" w:cs="宋体"/>
          <w:color w:val="auto"/>
          <w:sz w:val="24"/>
          <w:szCs w:val="24"/>
          <w:highlight w:val="none"/>
        </w:rPr>
        <w:t>管委会实现</w:t>
      </w:r>
      <w:r>
        <w:rPr>
          <w:rFonts w:hint="eastAsia" w:ascii="宋体" w:hAnsi="宋体" w:cs="宋体"/>
          <w:color w:val="auto"/>
          <w:sz w:val="24"/>
          <w:szCs w:val="24"/>
          <w:highlight w:val="none"/>
          <w:lang w:eastAsia="zh-CN"/>
        </w:rPr>
        <w:t>经开区</w:t>
      </w:r>
      <w:r>
        <w:rPr>
          <w:rFonts w:hint="eastAsia" w:ascii="宋体" w:hAnsi="宋体" w:cs="宋体"/>
          <w:color w:val="auto"/>
          <w:sz w:val="24"/>
          <w:szCs w:val="24"/>
          <w:highlight w:val="none"/>
        </w:rPr>
        <w:t>转型升级“四个转变、三个成为”的新要求，天津经济技术开发区（“TEDA”）紧抓文化创意产业发展新机遇，丰富天津经济技术开发区文化艺术氛围，将在天津经济技术开发区举办泰达系列艺术展览；此次系列艺术展览立足天津经济技术开发区，联合全国艺术资源，放眼国际艺术视野，以国际化、大众化、年轻化的宗旨带动整个滨海新区的文化艺术氛围，构建以泰达为中心的艺术坐标，更将推动青年艺术家的艺术交流与大众艺术的普及，展示青年艺术家的艺术作品，推动泰达的文化艺术展览，加快文化创意产业资源的聚集和成长，推动</w:t>
      </w:r>
      <w:r>
        <w:rPr>
          <w:rFonts w:hint="eastAsia" w:ascii="宋体" w:hAnsi="宋体" w:cs="宋体"/>
          <w:color w:val="auto"/>
          <w:sz w:val="24"/>
          <w:szCs w:val="24"/>
          <w:highlight w:val="none"/>
          <w:lang w:eastAsia="zh-CN"/>
        </w:rPr>
        <w:t>经开区</w:t>
      </w:r>
      <w:r>
        <w:rPr>
          <w:rFonts w:hint="eastAsia" w:ascii="宋体" w:hAnsi="宋体" w:cs="宋体"/>
          <w:color w:val="auto"/>
          <w:sz w:val="24"/>
          <w:szCs w:val="24"/>
          <w:highlight w:val="none"/>
        </w:rPr>
        <w:t>文化创意产业成为促进区域转型升级的重要抓手，营造"泰达创意"环境。</w:t>
      </w:r>
    </w:p>
    <w:p>
      <w:pPr>
        <w:numPr>
          <w:ilvl w:val="0"/>
          <w:numId w:val="1"/>
        </w:numPr>
        <w:spacing w:line="360" w:lineRule="auto"/>
        <w:rPr>
          <w:rFonts w:hint="eastAsia" w:ascii="宋体" w:hAnsi="宋体" w:cs="宋体"/>
          <w:color w:val="auto"/>
          <w:sz w:val="24"/>
          <w:szCs w:val="24"/>
          <w:highlight w:val="none"/>
        </w:rPr>
      </w:pPr>
      <w:r>
        <w:rPr>
          <w:rFonts w:hint="eastAsia" w:ascii="宋体" w:hAnsi="宋体" w:cs="宋体"/>
          <w:color w:val="auto"/>
          <w:sz w:val="24"/>
          <w:szCs w:val="24"/>
          <w:highlight w:val="none"/>
        </w:rPr>
        <w:t>建立全球青年艺术家交流桥梁</w:t>
      </w:r>
    </w:p>
    <w:p>
      <w:pPr>
        <w:spacing w:line="360" w:lineRule="auto"/>
        <w:ind w:firstLine="480" w:firstLineChars="200"/>
        <w:rPr>
          <w:rFonts w:hint="eastAsia" w:ascii="宋体" w:hAnsi="宋体" w:cs="宋体"/>
          <w:color w:val="auto"/>
          <w:sz w:val="24"/>
          <w:szCs w:val="24"/>
          <w:highlight w:val="none"/>
        </w:rPr>
      </w:pPr>
      <w:r>
        <w:rPr>
          <w:rFonts w:hint="eastAsia" w:ascii="宋体" w:hAnsi="宋体" w:cs="宋体"/>
          <w:color w:val="auto"/>
          <w:sz w:val="24"/>
          <w:szCs w:val="24"/>
          <w:highlight w:val="none"/>
        </w:rPr>
        <w:t>广纳全球青年艺术家参与展览，同时示范让艺术走入生活的可能性，让泰达人开始养成属于自己的生活美学。</w:t>
      </w:r>
    </w:p>
    <w:p>
      <w:pPr>
        <w:numPr>
          <w:ilvl w:val="0"/>
          <w:numId w:val="1"/>
        </w:numPr>
        <w:spacing w:line="360" w:lineRule="auto"/>
        <w:rPr>
          <w:rFonts w:hint="eastAsia" w:ascii="宋体" w:hAnsi="宋体" w:cs="宋体"/>
          <w:color w:val="auto"/>
          <w:sz w:val="24"/>
          <w:szCs w:val="24"/>
          <w:highlight w:val="none"/>
        </w:rPr>
      </w:pPr>
      <w:r>
        <w:rPr>
          <w:rFonts w:hint="eastAsia" w:ascii="宋体" w:hAnsi="宋体" w:cs="宋体"/>
          <w:color w:val="auto"/>
          <w:sz w:val="24"/>
          <w:szCs w:val="24"/>
          <w:highlight w:val="none"/>
        </w:rPr>
        <w:t>发展在地创意产业</w:t>
      </w:r>
    </w:p>
    <w:p>
      <w:pPr>
        <w:spacing w:line="360" w:lineRule="auto"/>
        <w:ind w:firstLine="480" w:firstLineChars="200"/>
        <w:rPr>
          <w:rFonts w:hint="eastAsia" w:ascii="宋体" w:hAnsi="宋体" w:cs="宋体"/>
          <w:color w:val="auto"/>
          <w:sz w:val="24"/>
          <w:szCs w:val="24"/>
          <w:highlight w:val="none"/>
        </w:rPr>
      </w:pPr>
      <w:r>
        <w:rPr>
          <w:rFonts w:hint="eastAsia" w:ascii="宋体" w:hAnsi="宋体" w:cs="宋体"/>
          <w:color w:val="auto"/>
          <w:sz w:val="24"/>
          <w:szCs w:val="24"/>
          <w:highlight w:val="none"/>
        </w:rPr>
        <w:t>透过各种艺企合作、讲座、专业交流等活动，协助泰达人发展在地文创产业。</w:t>
      </w:r>
    </w:p>
    <w:p>
      <w:pPr>
        <w:numPr>
          <w:ilvl w:val="0"/>
          <w:numId w:val="1"/>
        </w:numPr>
        <w:spacing w:line="360" w:lineRule="auto"/>
        <w:rPr>
          <w:rFonts w:hint="eastAsia" w:ascii="宋体" w:hAnsi="宋体" w:cs="宋体"/>
          <w:color w:val="auto"/>
          <w:sz w:val="24"/>
          <w:szCs w:val="24"/>
          <w:highlight w:val="none"/>
        </w:rPr>
      </w:pPr>
      <w:r>
        <w:rPr>
          <w:rFonts w:hint="eastAsia" w:ascii="宋体" w:hAnsi="宋体" w:cs="宋体"/>
          <w:color w:val="auto"/>
          <w:sz w:val="24"/>
          <w:szCs w:val="24"/>
          <w:highlight w:val="none"/>
        </w:rPr>
        <w:t>孵化艺术人才，打造智慧城市</w:t>
      </w:r>
    </w:p>
    <w:p>
      <w:pPr>
        <w:spacing w:line="360" w:lineRule="auto"/>
        <w:ind w:firstLine="480" w:firstLineChars="200"/>
        <w:rPr>
          <w:rFonts w:hint="eastAsia" w:ascii="宋体" w:hAnsi="宋体" w:cs="宋体"/>
          <w:color w:val="auto"/>
          <w:sz w:val="24"/>
          <w:szCs w:val="24"/>
          <w:highlight w:val="none"/>
        </w:rPr>
      </w:pPr>
      <w:r>
        <w:rPr>
          <w:rFonts w:hint="eastAsia" w:ascii="宋体" w:hAnsi="宋体" w:cs="宋体"/>
          <w:color w:val="auto"/>
          <w:sz w:val="24"/>
          <w:szCs w:val="24"/>
          <w:highlight w:val="none"/>
        </w:rPr>
        <w:t>透过艺术作品和创意作品的宣传展示，带动创意产业的发展，孵化创意人才的培养。进一步提升城市活力，孵化城市创意，打造智慧化、现代化、科技性、生态环保的宜居城市。</w:t>
      </w:r>
    </w:p>
    <w:p>
      <w:pPr>
        <w:numPr>
          <w:ilvl w:val="0"/>
          <w:numId w:val="0"/>
        </w:numPr>
        <w:tabs>
          <w:tab w:val="left" w:pos="425"/>
          <w:tab w:val="left" w:pos="800"/>
          <w:tab w:val="left" w:pos="1100"/>
          <w:tab w:val="left" w:pos="1400"/>
        </w:tabs>
        <w:spacing w:line="360" w:lineRule="auto"/>
        <w:rPr>
          <w:rFonts w:hint="eastAsia" w:ascii="宋体" w:hAnsi="宋体" w:cs="宋体"/>
          <w:b/>
          <w:bCs/>
          <w:color w:val="auto"/>
          <w:sz w:val="24"/>
          <w:szCs w:val="24"/>
          <w:highlight w:val="none"/>
        </w:rPr>
      </w:pPr>
      <w:r>
        <w:rPr>
          <w:rFonts w:hint="eastAsia" w:ascii="宋体" w:hAnsi="宋体" w:cs="宋体"/>
          <w:b/>
          <w:bCs/>
          <w:color w:val="auto"/>
          <w:sz w:val="24"/>
          <w:szCs w:val="24"/>
          <w:highlight w:val="none"/>
          <w:lang w:val="en-US" w:eastAsia="zh-CN"/>
        </w:rPr>
        <w:t>二、</w:t>
      </w:r>
      <w:r>
        <w:rPr>
          <w:rFonts w:hint="eastAsia" w:ascii="宋体" w:hAnsi="宋体" w:cs="宋体"/>
          <w:b/>
          <w:bCs/>
          <w:color w:val="auto"/>
          <w:sz w:val="24"/>
          <w:szCs w:val="24"/>
          <w:highlight w:val="none"/>
        </w:rPr>
        <w:t>“泰达系列艺术展览”活动主旨及目的</w:t>
      </w:r>
    </w:p>
    <w:p>
      <w:pPr>
        <w:numPr>
          <w:ilvl w:val="0"/>
          <w:numId w:val="2"/>
        </w:numPr>
        <w:spacing w:line="360" w:lineRule="auto"/>
        <w:rPr>
          <w:rFonts w:hint="eastAsia" w:ascii="宋体" w:hAnsi="宋体" w:cs="宋体"/>
          <w:color w:val="auto"/>
          <w:sz w:val="24"/>
          <w:szCs w:val="24"/>
          <w:highlight w:val="none"/>
        </w:rPr>
      </w:pPr>
      <w:r>
        <w:rPr>
          <w:rFonts w:hint="eastAsia" w:ascii="宋体" w:hAnsi="宋体" w:cs="宋体"/>
          <w:color w:val="auto"/>
          <w:sz w:val="24"/>
          <w:szCs w:val="24"/>
          <w:highlight w:val="none"/>
        </w:rPr>
        <w:t>活动主旨：</w:t>
      </w:r>
    </w:p>
    <w:p>
      <w:pPr>
        <w:spacing w:line="360" w:lineRule="auto"/>
        <w:ind w:firstLine="480" w:firstLineChars="200"/>
        <w:rPr>
          <w:rFonts w:hint="eastAsia" w:ascii="宋体" w:hAnsi="宋体" w:cs="宋体"/>
          <w:color w:val="auto"/>
          <w:sz w:val="24"/>
          <w:szCs w:val="24"/>
          <w:highlight w:val="none"/>
        </w:rPr>
      </w:pPr>
      <w:r>
        <w:rPr>
          <w:rFonts w:hint="eastAsia" w:ascii="宋体" w:hAnsi="宋体" w:cs="宋体"/>
          <w:color w:val="auto"/>
          <w:sz w:val="24"/>
          <w:szCs w:val="24"/>
          <w:highlight w:val="none"/>
        </w:rPr>
        <w:t>为落实</w:t>
      </w:r>
      <w:r>
        <w:rPr>
          <w:rFonts w:hint="eastAsia" w:ascii="宋体" w:hAnsi="宋体" w:cs="宋体"/>
          <w:color w:val="auto"/>
          <w:sz w:val="24"/>
          <w:szCs w:val="24"/>
          <w:highlight w:val="none"/>
          <w:lang w:eastAsia="zh-CN"/>
        </w:rPr>
        <w:t>经开区</w:t>
      </w:r>
      <w:r>
        <w:rPr>
          <w:rFonts w:hint="eastAsia" w:ascii="宋体" w:hAnsi="宋体" w:cs="宋体"/>
          <w:color w:val="auto"/>
          <w:sz w:val="24"/>
          <w:szCs w:val="24"/>
          <w:highlight w:val="none"/>
        </w:rPr>
        <w:t>管委会实现</w:t>
      </w:r>
      <w:r>
        <w:rPr>
          <w:rFonts w:hint="eastAsia" w:ascii="宋体" w:hAnsi="宋体" w:cs="宋体"/>
          <w:color w:val="auto"/>
          <w:sz w:val="24"/>
          <w:szCs w:val="24"/>
          <w:highlight w:val="none"/>
          <w:lang w:eastAsia="zh-CN"/>
        </w:rPr>
        <w:t>经开区</w:t>
      </w:r>
      <w:r>
        <w:rPr>
          <w:rFonts w:hint="eastAsia" w:ascii="宋体" w:hAnsi="宋体" w:cs="宋体"/>
          <w:color w:val="auto"/>
          <w:sz w:val="24"/>
          <w:szCs w:val="24"/>
          <w:highlight w:val="none"/>
        </w:rPr>
        <w:t>转型升级“四个转变、三个成为”的新要求，天津经济技术开发区（“TEDA”）紧抓文化创意产业发展新机遇，联合国内外艺术资源，加快文化创意产业资源的聚集和成长，推动</w:t>
      </w:r>
      <w:r>
        <w:rPr>
          <w:rFonts w:hint="eastAsia" w:ascii="宋体" w:hAnsi="宋体" w:cs="宋体"/>
          <w:color w:val="auto"/>
          <w:sz w:val="24"/>
          <w:szCs w:val="24"/>
          <w:highlight w:val="none"/>
          <w:lang w:eastAsia="zh-CN"/>
        </w:rPr>
        <w:t>经开区</w:t>
      </w:r>
      <w:r>
        <w:rPr>
          <w:rFonts w:hint="eastAsia" w:ascii="宋体" w:hAnsi="宋体" w:cs="宋体"/>
          <w:color w:val="auto"/>
          <w:sz w:val="24"/>
          <w:szCs w:val="24"/>
          <w:highlight w:val="none"/>
        </w:rPr>
        <w:t>文化创意产业成为促进区域转型升级的重要抓手，营造"泰达创意"环境。</w:t>
      </w:r>
    </w:p>
    <w:p>
      <w:pPr>
        <w:numPr>
          <w:ilvl w:val="0"/>
          <w:numId w:val="2"/>
        </w:numPr>
        <w:spacing w:line="360" w:lineRule="auto"/>
        <w:rPr>
          <w:rFonts w:hint="eastAsia" w:ascii="宋体" w:hAnsi="宋体" w:cs="宋体"/>
          <w:color w:val="auto"/>
          <w:sz w:val="24"/>
          <w:szCs w:val="24"/>
          <w:highlight w:val="none"/>
        </w:rPr>
      </w:pPr>
      <w:r>
        <w:rPr>
          <w:rFonts w:hint="eastAsia" w:ascii="宋体" w:hAnsi="宋体" w:cs="宋体"/>
          <w:color w:val="auto"/>
          <w:sz w:val="24"/>
          <w:szCs w:val="24"/>
          <w:highlight w:val="none"/>
        </w:rPr>
        <w:t>活动目的：</w:t>
      </w:r>
    </w:p>
    <w:p>
      <w:pPr>
        <w:spacing w:line="360" w:lineRule="auto"/>
        <w:ind w:firstLine="480"/>
        <w:rPr>
          <w:rFonts w:hint="eastAsia" w:ascii="宋体" w:hAnsi="宋体" w:cs="宋体"/>
          <w:color w:val="auto"/>
          <w:sz w:val="24"/>
          <w:szCs w:val="24"/>
          <w:highlight w:val="none"/>
        </w:rPr>
      </w:pPr>
      <w:r>
        <w:rPr>
          <w:rFonts w:hint="eastAsia" w:ascii="宋体" w:hAnsi="宋体" w:cs="宋体"/>
          <w:color w:val="auto"/>
          <w:sz w:val="24"/>
          <w:szCs w:val="24"/>
          <w:highlight w:val="none"/>
        </w:rPr>
        <w:t>通过举办“泰达系列艺术展览”有效的吸引全球青年艺术人才参与，积聚文化创意人才，搭建企业与高校、文创机构交流平台，提升本地艺术人才水平，扩大</w:t>
      </w:r>
      <w:r>
        <w:rPr>
          <w:rFonts w:hint="eastAsia" w:ascii="宋体" w:hAnsi="宋体" w:cs="宋体"/>
          <w:color w:val="auto"/>
          <w:sz w:val="24"/>
          <w:szCs w:val="24"/>
          <w:highlight w:val="none"/>
          <w:lang w:eastAsia="zh-CN"/>
        </w:rPr>
        <w:t>经开区</w:t>
      </w:r>
      <w:r>
        <w:rPr>
          <w:rFonts w:hint="eastAsia" w:ascii="宋体" w:hAnsi="宋体" w:cs="宋体"/>
          <w:color w:val="auto"/>
          <w:sz w:val="24"/>
          <w:szCs w:val="24"/>
          <w:highlight w:val="none"/>
        </w:rPr>
        <w:t>对外影响，并通过展览把青年艺术家推向国际舞台，为</w:t>
      </w:r>
      <w:r>
        <w:rPr>
          <w:rFonts w:hint="eastAsia" w:ascii="宋体" w:hAnsi="宋体" w:cs="宋体"/>
          <w:color w:val="auto"/>
          <w:sz w:val="24"/>
          <w:szCs w:val="24"/>
          <w:highlight w:val="none"/>
          <w:lang w:eastAsia="zh-CN"/>
        </w:rPr>
        <w:t>经开区</w:t>
      </w:r>
      <w:r>
        <w:rPr>
          <w:rFonts w:hint="eastAsia" w:ascii="宋体" w:hAnsi="宋体" w:cs="宋体"/>
          <w:color w:val="auto"/>
          <w:sz w:val="24"/>
          <w:szCs w:val="24"/>
          <w:highlight w:val="none"/>
        </w:rPr>
        <w:t>转型升级提供人才和成果积累。</w:t>
      </w:r>
    </w:p>
    <w:p>
      <w:pPr>
        <w:numPr>
          <w:ilvl w:val="0"/>
          <w:numId w:val="3"/>
        </w:numPr>
        <w:tabs>
          <w:tab w:val="left" w:pos="425"/>
          <w:tab w:val="left" w:pos="800"/>
          <w:tab w:val="left" w:pos="1100"/>
          <w:tab w:val="left" w:pos="1400"/>
        </w:tabs>
        <w:spacing w:line="360" w:lineRule="auto"/>
        <w:rPr>
          <w:rFonts w:hint="eastAsia" w:ascii="宋体" w:hAnsi="宋体" w:cs="宋体"/>
          <w:b/>
          <w:bCs/>
          <w:color w:val="auto"/>
          <w:sz w:val="24"/>
          <w:szCs w:val="24"/>
          <w:highlight w:val="none"/>
        </w:rPr>
      </w:pPr>
      <w:r>
        <w:rPr>
          <w:rFonts w:hint="eastAsia" w:ascii="宋体" w:hAnsi="宋体" w:cs="宋体"/>
          <w:b/>
          <w:bCs/>
          <w:color w:val="auto"/>
          <w:sz w:val="24"/>
          <w:szCs w:val="24"/>
          <w:highlight w:val="none"/>
        </w:rPr>
        <w:t>“泰达系列艺术展览”活动主题及时间</w:t>
      </w:r>
    </w:p>
    <w:p>
      <w:pPr>
        <w:tabs>
          <w:tab w:val="left" w:pos="74"/>
          <w:tab w:val="left" w:pos="374"/>
          <w:tab w:val="left" w:pos="1400"/>
        </w:tabs>
        <w:spacing w:line="360" w:lineRule="auto"/>
        <w:rPr>
          <w:rFonts w:hint="eastAsia" w:ascii="宋体" w:hAnsi="宋体" w:cs="宋体"/>
          <w:color w:val="auto"/>
          <w:sz w:val="24"/>
          <w:szCs w:val="24"/>
          <w:highlight w:val="none"/>
        </w:rPr>
      </w:pPr>
      <w:r>
        <w:rPr>
          <w:rFonts w:hint="eastAsia" w:ascii="宋体" w:hAnsi="宋体" w:cs="宋体"/>
          <w:color w:val="auto"/>
          <w:sz w:val="24"/>
          <w:szCs w:val="24"/>
          <w:highlight w:val="none"/>
        </w:rPr>
        <w:t>活动主题：</w:t>
      </w:r>
    </w:p>
    <w:p>
      <w:pPr>
        <w:widowControl/>
        <w:autoSpaceDE w:val="0"/>
        <w:autoSpaceDN w:val="0"/>
        <w:adjustRightInd w:val="0"/>
        <w:spacing w:line="360" w:lineRule="auto"/>
        <w:ind w:firstLine="480"/>
        <w:jc w:val="left"/>
        <w:rPr>
          <w:rFonts w:hint="eastAsia" w:ascii="宋体" w:hAnsi="宋体" w:cs="宋体"/>
          <w:color w:val="auto"/>
          <w:kern w:val="0"/>
          <w:sz w:val="24"/>
          <w:szCs w:val="24"/>
          <w:highlight w:val="none"/>
        </w:rPr>
      </w:pPr>
      <w:r>
        <w:rPr>
          <w:rFonts w:hint="eastAsia" w:ascii="宋体" w:hAnsi="宋体" w:cs="宋体"/>
          <w:color w:val="auto"/>
          <w:kern w:val="0"/>
          <w:sz w:val="24"/>
          <w:szCs w:val="24"/>
          <w:highlight w:val="none"/>
        </w:rPr>
        <w:t>以“发声”为主题的</w:t>
      </w:r>
      <w:r>
        <w:rPr>
          <w:rFonts w:hint="eastAsia" w:ascii="宋体" w:hAnsi="宋体" w:cs="宋体"/>
          <w:b/>
          <w:color w:val="auto"/>
          <w:kern w:val="0"/>
          <w:sz w:val="24"/>
          <w:szCs w:val="24"/>
          <w:highlight w:val="none"/>
        </w:rPr>
        <w:t>泰达系列艺术展览</w:t>
      </w:r>
      <w:r>
        <w:rPr>
          <w:rFonts w:hint="eastAsia" w:ascii="宋体" w:hAnsi="宋体" w:cs="宋体"/>
          <w:color w:val="auto"/>
          <w:kern w:val="0"/>
          <w:sz w:val="24"/>
          <w:szCs w:val="24"/>
          <w:highlight w:val="none"/>
        </w:rPr>
        <w:t>。</w:t>
      </w:r>
      <w:r>
        <w:rPr>
          <w:rFonts w:hint="eastAsia" w:ascii="宋体" w:hAnsi="宋体" w:cs="宋体"/>
          <w:color w:val="auto"/>
          <w:sz w:val="24"/>
          <w:szCs w:val="24"/>
          <w:highlight w:val="none"/>
        </w:rPr>
        <w:t>为泰达人提供【艺术孵化、智慧城市】的样本，提升城市活力，打造专属于泰达的社群幸福感。</w:t>
      </w:r>
    </w:p>
    <w:p>
      <w:pPr>
        <w:widowControl/>
        <w:autoSpaceDE w:val="0"/>
        <w:autoSpaceDN w:val="0"/>
        <w:adjustRightInd w:val="0"/>
        <w:spacing w:line="360" w:lineRule="auto"/>
        <w:ind w:firstLine="480"/>
        <w:jc w:val="left"/>
        <w:rPr>
          <w:rFonts w:hint="eastAsia" w:ascii="宋体" w:hAnsi="宋体" w:cs="宋体"/>
          <w:color w:val="auto"/>
          <w:kern w:val="0"/>
          <w:sz w:val="24"/>
          <w:szCs w:val="24"/>
          <w:highlight w:val="none"/>
        </w:rPr>
      </w:pPr>
      <w:r>
        <w:rPr>
          <w:rFonts w:hint="eastAsia" w:ascii="宋体" w:hAnsi="宋体" w:cs="宋体"/>
          <w:color w:val="auto"/>
          <w:kern w:val="0"/>
          <w:sz w:val="24"/>
          <w:szCs w:val="24"/>
          <w:highlight w:val="none"/>
        </w:rPr>
        <w:t>此次系列展览将立足于滨海新区，放眼国际艺术视野，以国际化、大众化、年轻化的宗旨带动整个泰达的文化艺术氛围，构建以泰达为中心的艺术坐标,更将推动青年艺术家的艺术交流与大众艺术的普及，展示青年艺术家的艺术作品，推动泰达的文化艺术展览。</w:t>
      </w:r>
    </w:p>
    <w:p>
      <w:pPr>
        <w:spacing w:line="360" w:lineRule="auto"/>
        <w:ind w:firstLine="480"/>
        <w:rPr>
          <w:rFonts w:hint="eastAsia" w:ascii="宋体" w:hAnsi="宋体" w:cs="宋体"/>
          <w:color w:val="auto"/>
          <w:sz w:val="24"/>
          <w:szCs w:val="24"/>
          <w:highlight w:val="none"/>
        </w:rPr>
      </w:pPr>
      <w:r>
        <w:rPr>
          <w:rFonts w:hint="eastAsia" w:ascii="宋体" w:hAnsi="宋体" w:cs="宋体"/>
          <w:color w:val="auto"/>
          <w:sz w:val="24"/>
          <w:szCs w:val="24"/>
          <w:highlight w:val="none"/>
        </w:rPr>
        <w:t>以“发声”为主题，意在让青年艺术家有一个展示自己的机会，同为而立之年的泰达也要在全国乃至世界艺术市场上有一个响亮的发声。用一种青年艺术家独立的视角和思考方式，反思当下艺术现状，并以更积极的方式来展现当代青年的睿智与活力，正是青年泰达应该有的本色。发声，本质上是青年艺术家对于自我的肯定，通过艺术的方式发声，在当下看来更具深意。泰达此刻的发声必定要响彻全球。</w:t>
      </w:r>
    </w:p>
    <w:p>
      <w:pPr>
        <w:spacing w:line="360" w:lineRule="auto"/>
        <w:ind w:firstLine="480"/>
      </w:pPr>
      <w:bookmarkStart w:id="0" w:name="_GoBack"/>
      <w:bookmarkEnd w:id="0"/>
      <w:r>
        <w:rPr>
          <w:rFonts w:hint="eastAsia" w:ascii="宋体" w:hAnsi="宋体" w:cs="宋体"/>
          <w:color w:val="auto"/>
          <w:sz w:val="24"/>
          <w:szCs w:val="24"/>
          <w:highlight w:val="none"/>
        </w:rPr>
        <w:t>系列展览以开放的姿态与大众生活相结合,围绕展览相继展开学术研讨、VIP艺术之夜、公众艺术教育等活动项目,加强巩固艺术展览在滨海新区群众中的话题热度和关注度,培育滨海新区的艺术品收藏市场的形成。将优秀艺术家及作品推向国内外艺术市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62744"/>
    <w:multiLevelType w:val="singleLevel"/>
    <w:tmpl w:val="59562744"/>
    <w:lvl w:ilvl="0" w:tentative="0">
      <w:start w:val="1"/>
      <w:numFmt w:val="decimal"/>
      <w:suff w:val="nothing"/>
      <w:lvlText w:val="（%1）"/>
      <w:lvlJc w:val="left"/>
      <w:pPr>
        <w:ind w:left="0" w:firstLine="420"/>
      </w:pPr>
      <w:rPr>
        <w:rFonts w:hint="default"/>
      </w:rPr>
    </w:lvl>
  </w:abstractNum>
  <w:abstractNum w:abstractNumId="1">
    <w:nsid w:val="59562769"/>
    <w:multiLevelType w:val="singleLevel"/>
    <w:tmpl w:val="59562769"/>
    <w:lvl w:ilvl="0" w:tentative="0">
      <w:start w:val="1"/>
      <w:numFmt w:val="decimal"/>
      <w:suff w:val="nothing"/>
      <w:lvlText w:val="（%1）"/>
      <w:lvlJc w:val="left"/>
      <w:pPr>
        <w:ind w:left="0" w:firstLine="420"/>
      </w:pPr>
      <w:rPr>
        <w:rFonts w:hint="default"/>
      </w:rPr>
    </w:lvl>
  </w:abstractNum>
  <w:abstractNum w:abstractNumId="2">
    <w:nsid w:val="5956278A"/>
    <w:multiLevelType w:val="singleLevel"/>
    <w:tmpl w:val="5956278A"/>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50F"/>
    <w:rsid w:val="00DC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2020-03-27T14:47:00Z</dcterms:created>
  <dc:creator>雨点儿</dc:creator>
  <cp:lastModifiedBy>雨点儿</cp:lastModifiedBy>
  <dcterms:modified xsi:type="dcterms:W3CDTF">2020-03-27T14:47:55Z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