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framePr w:wrap="auto" w:vAnchor="margin" w:hAnchor="text" w:yAlign="inline"/>
        <w:adjustRightInd w:val="0"/>
        <w:snapToGrid w:val="0"/>
        <w:spacing w:line="480" w:lineRule="exact"/>
        <w:ind w:firstLine="361" w:firstLineChars="150"/>
        <w:rPr>
          <w:rFonts w:hint="eastAsia" w:ascii="Arial" w:hAnsi="Arial" w:eastAsiaTheme="minorEastAsia"/>
          <w:b/>
          <w:color w:val="auto"/>
          <w:sz w:val="24"/>
          <w:szCs w:val="24"/>
        </w:rPr>
      </w:pPr>
      <w:bookmarkStart w:id="0" w:name="_GoBack"/>
      <w:bookmarkEnd w:id="0"/>
      <w:r>
        <w:rPr>
          <w:rFonts w:hint="eastAsia" w:ascii="Arial" w:hAnsi="宋体" w:eastAsia="宋体" w:cs="宋体"/>
          <w:b/>
          <w:bCs/>
          <w:color w:val="auto"/>
          <w:sz w:val="24"/>
          <w:szCs w:val="24"/>
        </w:rPr>
        <w:t>（一）</w:t>
      </w:r>
      <w:r>
        <w:rPr>
          <w:rFonts w:hint="eastAsia" w:ascii="Arial" w:hAnsi="Arial"/>
          <w:b/>
          <w:color w:val="auto"/>
          <w:sz w:val="24"/>
          <w:szCs w:val="24"/>
        </w:rPr>
        <w:t>技术</w:t>
      </w:r>
      <w:r>
        <w:rPr>
          <w:rFonts w:hint="eastAsia" w:ascii="Arial" w:hAnsi="Arial" w:eastAsiaTheme="minorEastAsia"/>
          <w:b/>
          <w:color w:val="auto"/>
          <w:sz w:val="24"/>
          <w:szCs w:val="24"/>
        </w:rPr>
        <w:t>要求</w:t>
      </w:r>
    </w:p>
    <w:p>
      <w:pPr>
        <w:pStyle w:val="5"/>
        <w:framePr w:wrap="auto" w:vAnchor="margin" w:hAnchor="text" w:yAlign="inline"/>
        <w:adjustRightInd w:val="0"/>
        <w:snapToGrid w:val="0"/>
        <w:spacing w:line="480" w:lineRule="exact"/>
        <w:ind w:firstLine="360" w:firstLineChars="150"/>
        <w:rPr>
          <w:rFonts w:hint="eastAsia" w:ascii="Arial" w:hAnsi="宋体" w:cs="宋体" w:eastAsiaTheme="minorEastAsia"/>
          <w:b/>
          <w:bCs/>
          <w:color w:val="auto"/>
          <w:sz w:val="24"/>
          <w:szCs w:val="24"/>
        </w:rPr>
      </w:pPr>
      <w:r>
        <w:rPr>
          <w:rFonts w:hint="eastAsia" w:ascii="Arial" w:hAnsi="Arial" w:eastAsiaTheme="minorEastAsia"/>
          <w:color w:val="auto"/>
          <w:sz w:val="24"/>
          <w:szCs w:val="24"/>
        </w:rPr>
        <w:t>1、</w:t>
      </w:r>
      <w:r>
        <w:rPr>
          <w:rFonts w:hint="eastAsia" w:ascii="宋体" w:hAnsi="宋体" w:eastAsia="宋体" w:cs="宋体"/>
          <w:b/>
          <w:bCs/>
          <w:color w:val="auto"/>
        </w:rPr>
        <w:t>项目</w:t>
      </w:r>
      <w:r>
        <w:rPr>
          <w:rFonts w:hint="eastAsia" w:ascii="宋体" w:hAnsi="宋体" w:cs="宋体" w:eastAsiaTheme="minorEastAsia"/>
          <w:b/>
          <w:bCs/>
          <w:color w:val="auto"/>
        </w:rPr>
        <w:t>需求一览表</w:t>
      </w:r>
    </w:p>
    <w:tbl>
      <w:tblPr>
        <w:tblStyle w:val="7"/>
        <w:tblW w:w="8493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2977"/>
        <w:gridCol w:w="851"/>
        <w:gridCol w:w="992"/>
        <w:gridCol w:w="29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exac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before="110"/>
              <w:ind w:right="-13"/>
              <w:jc w:val="center"/>
              <w:rPr>
                <w:rFonts w:ascii="宋体" w:hAnsi="宋体" w:cs="宋体"/>
                <w:b/>
                <w:bCs/>
                <w:color w:val="auto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</w:rPr>
              <w:t>序号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before="110"/>
              <w:jc w:val="center"/>
              <w:rPr>
                <w:rFonts w:ascii="宋体" w:hAnsi="宋体" w:cs="宋体"/>
                <w:b/>
                <w:bCs/>
                <w:color w:val="auto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</w:rPr>
              <w:t>项目内容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before="110"/>
              <w:ind w:right="-22"/>
              <w:jc w:val="center"/>
              <w:rPr>
                <w:rFonts w:ascii="宋体" w:hAnsi="宋体" w:cs="宋体"/>
                <w:b/>
                <w:bCs/>
                <w:color w:val="auto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</w:rPr>
              <w:t>单位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before="110"/>
              <w:jc w:val="center"/>
              <w:rPr>
                <w:rFonts w:ascii="宋体" w:hAnsi="宋体" w:cs="宋体"/>
                <w:b/>
                <w:bCs/>
                <w:color w:val="auto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</w:rPr>
              <w:t>数量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before="110"/>
              <w:jc w:val="center"/>
              <w:rPr>
                <w:rFonts w:ascii="宋体" w:hAnsi="宋体" w:cs="宋体"/>
                <w:b/>
                <w:bCs/>
                <w:color w:val="auto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7" w:hRule="exact"/>
          <w:jc w:val="center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/>
                <w:color w:val="auto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before="166"/>
              <w:ind w:left="45" w:right="50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z w:val="24"/>
                <w:szCs w:val="24"/>
              </w:rPr>
              <w:t>宫颈癌 人乳头瘤病毒</w:t>
            </w:r>
            <w:r>
              <w:rPr>
                <w:rFonts w:ascii="宋体" w:hAnsi="宋体" w:cs="宋体"/>
                <w:color w:val="auto"/>
                <w:spacing w:val="-1"/>
                <w:sz w:val="24"/>
                <w:szCs w:val="24"/>
              </w:rPr>
              <w:t>（HPV）基因筛查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jc w:val="center"/>
              <w:rPr>
                <w:rFonts w:ascii="宋体" w:hAnsi="宋体" w:cs="宋体"/>
                <w:color w:val="auto"/>
                <w:spacing w:val="-1"/>
                <w:sz w:val="24"/>
                <w:szCs w:val="24"/>
              </w:rPr>
            </w:pPr>
            <w:r>
              <w:rPr>
                <w:rFonts w:ascii="宋体" w:hAnsi="宋体" w:cs="宋体"/>
                <w:color w:val="auto"/>
                <w:spacing w:val="-1"/>
                <w:sz w:val="24"/>
                <w:szCs w:val="24"/>
              </w:rPr>
              <w:t>例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ascii="宋体"/>
                <w:color w:val="auto"/>
                <w:sz w:val="24"/>
                <w:szCs w:val="24"/>
              </w:rPr>
              <w:t>8000</w:t>
            </w:r>
          </w:p>
        </w:tc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6"/>
              <w:ind w:right="67"/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非妊娠期、未切除宫颈的30-65周岁妇女（以身份证上显示的出生日期为准）</w:t>
            </w:r>
          </w:p>
        </w:tc>
      </w:tr>
    </w:tbl>
    <w:p>
      <w:pPr>
        <w:adjustRightInd w:val="0"/>
        <w:snapToGrid w:val="0"/>
        <w:spacing w:line="360" w:lineRule="auto"/>
        <w:ind w:firstLine="240" w:firstLineChars="1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▲2、检测内容：人乳头瘤病毒病毒（HPV）的精准分型，能报告HPV 感染的具体型别，数量不少于16种（HPV16、18、31、33、35、39、45、51、52、56、58、59、66、68、6、11）；</w:t>
      </w:r>
    </w:p>
    <w:p>
      <w:pPr>
        <w:adjustRightInd w:val="0"/>
        <w:snapToGrid w:val="0"/>
        <w:spacing w:line="360" w:lineRule="auto"/>
        <w:ind w:firstLine="240" w:firstLineChars="1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▲3、样本类型：宫颈脱落细胞，要求细胞保存液获得CFDA批准（需提供CFDA 注册证/备案证）；</w:t>
      </w:r>
    </w:p>
    <w:p>
      <w:pPr>
        <w:adjustRightInd w:val="0"/>
        <w:snapToGrid w:val="0"/>
        <w:spacing w:line="360" w:lineRule="auto"/>
        <w:ind w:firstLine="240" w:firstLineChars="1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▲4、采用检测设备、分析软件、检测试剂盒需具备CFDA批准可用于临床检测（提供检测设备、分析软件、检测试剂盒的 CFDA 注册证）；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5、投标人能提供专门的数据库平台，管理检测数据，及阳性患者临床数据，并生成统计报表；</w:t>
      </w:r>
    </w:p>
    <w:p>
      <w:pPr>
        <w:adjustRightInd w:val="0"/>
        <w:snapToGrid w:val="0"/>
        <w:spacing w:line="360" w:lineRule="auto"/>
        <w:rPr>
          <w:rFonts w:ascii="Arial" w:hAnsi="Arial"/>
          <w:b/>
          <w:color w:val="auto"/>
          <w:sz w:val="24"/>
          <w:szCs w:val="24"/>
        </w:rPr>
      </w:pPr>
      <w:r>
        <w:rPr>
          <w:rFonts w:hint="eastAsia" w:ascii="Arial" w:hAnsi="Arial"/>
          <w:b/>
          <w:color w:val="auto"/>
          <w:sz w:val="24"/>
          <w:szCs w:val="24"/>
        </w:rPr>
        <w:t>（二）服务要求</w:t>
      </w:r>
    </w:p>
    <w:p>
      <w:pPr>
        <w:adjustRightInd w:val="0"/>
        <w:snapToGrid w:val="0"/>
        <w:spacing w:line="440" w:lineRule="exact"/>
        <w:ind w:firstLine="480" w:firstLineChars="2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1、严格按照采购人要求进度开展工作，并配备相关技术人员。</w:t>
      </w:r>
    </w:p>
    <w:p>
      <w:pPr>
        <w:adjustRightInd w:val="0"/>
        <w:snapToGrid w:val="0"/>
        <w:spacing w:line="440" w:lineRule="exact"/>
        <w:ind w:firstLine="480" w:firstLineChars="2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2、投标人提供服务流程，检测项目的技术方案及质控方案；</w:t>
      </w:r>
    </w:p>
    <w:p>
      <w:pPr>
        <w:pStyle w:val="2"/>
        <w:spacing w:after="0" w:line="440" w:lineRule="exact"/>
        <w:ind w:firstLine="480" w:firstLineChars="2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3、投标人</w:t>
      </w:r>
      <w:r>
        <w:rPr>
          <w:rFonts w:ascii="Arial" w:hAnsi="Arial"/>
          <w:color w:val="auto"/>
          <w:sz w:val="24"/>
          <w:szCs w:val="24"/>
        </w:rPr>
        <w:t>技术能力：投标人近三年</w:t>
      </w:r>
      <w:r>
        <w:rPr>
          <w:rFonts w:hint="eastAsia" w:ascii="Arial" w:hAnsi="Arial"/>
          <w:color w:val="auto"/>
          <w:sz w:val="24"/>
          <w:szCs w:val="24"/>
        </w:rPr>
        <w:t>（2</w:t>
      </w:r>
      <w:r>
        <w:rPr>
          <w:rFonts w:ascii="Arial" w:hAnsi="Arial"/>
          <w:color w:val="auto"/>
          <w:sz w:val="24"/>
          <w:szCs w:val="24"/>
        </w:rPr>
        <w:t>017</w:t>
      </w:r>
      <w:r>
        <w:rPr>
          <w:rFonts w:hint="eastAsia" w:ascii="Arial" w:hAnsi="Arial"/>
          <w:color w:val="auto"/>
          <w:sz w:val="24"/>
          <w:szCs w:val="24"/>
        </w:rPr>
        <w:t>、2</w:t>
      </w:r>
      <w:r>
        <w:rPr>
          <w:rFonts w:ascii="Arial" w:hAnsi="Arial"/>
          <w:color w:val="auto"/>
          <w:sz w:val="24"/>
          <w:szCs w:val="24"/>
        </w:rPr>
        <w:t>018</w:t>
      </w:r>
      <w:r>
        <w:rPr>
          <w:rFonts w:hint="eastAsia" w:ascii="Arial" w:hAnsi="Arial"/>
          <w:color w:val="auto"/>
          <w:sz w:val="24"/>
          <w:szCs w:val="24"/>
        </w:rPr>
        <w:t>、</w:t>
      </w:r>
      <w:r>
        <w:rPr>
          <w:rFonts w:ascii="Arial" w:hAnsi="Arial"/>
          <w:color w:val="auto"/>
          <w:sz w:val="24"/>
          <w:szCs w:val="24"/>
        </w:rPr>
        <w:t>2019</w:t>
      </w:r>
      <w:r>
        <w:rPr>
          <w:rFonts w:hint="eastAsia" w:ascii="Arial" w:hAnsi="Arial"/>
          <w:color w:val="auto"/>
          <w:sz w:val="24"/>
          <w:szCs w:val="24"/>
        </w:rPr>
        <w:t>）</w:t>
      </w:r>
      <w:r>
        <w:rPr>
          <w:rFonts w:ascii="Arial" w:hAnsi="Arial"/>
          <w:color w:val="auto"/>
          <w:sz w:val="24"/>
          <w:szCs w:val="24"/>
        </w:rPr>
        <w:t>参与人乳头瘤病毒（HPV）基因分型检测室间质评，并合格通过（提供室间质评合格证书）</w:t>
      </w:r>
      <w:r>
        <w:rPr>
          <w:rFonts w:hint="eastAsia" w:ascii="Arial" w:hAnsi="Arial"/>
          <w:color w:val="auto"/>
          <w:sz w:val="24"/>
          <w:szCs w:val="24"/>
        </w:rPr>
        <w:t>；</w:t>
      </w:r>
    </w:p>
    <w:p>
      <w:pPr>
        <w:pStyle w:val="2"/>
        <w:spacing w:after="0" w:line="440" w:lineRule="exact"/>
        <w:ind w:firstLine="240" w:firstLineChars="1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▲4、报告要求：本项目计划检测服务期为1年，中标人必须在实验室收到标本17个自然日内完成检测并出具检测报告。</w:t>
      </w:r>
    </w:p>
    <w:p>
      <w:pPr>
        <w:adjustRightInd w:val="0"/>
        <w:snapToGrid w:val="0"/>
        <w:spacing w:line="440" w:lineRule="exact"/>
        <w:ind w:firstLine="480" w:firstLineChars="2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5、投标人具备完善的售后服务机构及服务团队，可及时提供完善物流网络、技术支持、售后服务等服务方案内容；</w:t>
      </w:r>
    </w:p>
    <w:p>
      <w:pPr>
        <w:adjustRightInd w:val="0"/>
        <w:snapToGrid w:val="0"/>
        <w:spacing w:line="440" w:lineRule="exact"/>
        <w:ind w:firstLine="480" w:firstLineChars="200"/>
        <w:rPr>
          <w:rFonts w:hint="eastAsia"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6、因投标人的检测服务发生质量问题，造成采购人向患者承担赔偿责任的，采购人有权向中标人追索该损失。</w:t>
      </w:r>
    </w:p>
    <w:p>
      <w:pPr>
        <w:adjustRightInd w:val="0"/>
        <w:snapToGrid w:val="0"/>
        <w:spacing w:line="440" w:lineRule="exact"/>
        <w:ind w:firstLine="480" w:firstLineChars="200"/>
        <w:rPr>
          <w:rFonts w:ascii="Arial" w:hAnsi="Arial"/>
          <w:color w:val="auto"/>
          <w:sz w:val="24"/>
          <w:szCs w:val="24"/>
        </w:rPr>
      </w:pPr>
      <w:r>
        <w:rPr>
          <w:rFonts w:hint="eastAsia" w:ascii="Arial" w:hAnsi="Arial"/>
          <w:color w:val="auto"/>
          <w:sz w:val="24"/>
          <w:szCs w:val="24"/>
        </w:rPr>
        <w:t>7、特别要求：交货时要求投标人就所投产品的合法供货渠道进行说明，经核实如投标人提供非法渠道的商品视为欺诈，为维护采购人的合法权益，投标人要承担商品价格双倍的赔偿；同时，依据现行的国家法律法规追究其他责任，并连带追究所投产品生产企业的责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after="120"/>
    </w:pPr>
  </w:style>
  <w:style w:type="paragraph" w:customStyle="1" w:styleId="5">
    <w:name w:val="列出段落2"/>
    <w:qFormat/>
    <w:uiPriority w:val="0"/>
    <w:pPr>
      <w:framePr w:wrap="around" w:vAnchor="margin" w:hAnchor="text" w:y="1"/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">
    <w:name w:val="Table Paragraph"/>
    <w:basedOn w:val="1"/>
    <w:qFormat/>
    <w:uiPriority w:val="1"/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2020-04-29T07:09:32Z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