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b/>
          <w:sz w:val="36"/>
          <w:szCs w:val="36"/>
        </w:rPr>
      </w:pPr>
      <w:r>
        <w:rPr>
          <w:rStyle w:val="5"/>
          <w:b/>
          <w:sz w:val="36"/>
          <w:szCs w:val="36"/>
        </w:rPr>
        <w:t>项目需求书</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项目名称：东丽区卫国道（于明庄）地块土地整理成本审计</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本项目仅限于中小微企业</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项目预算控制价：91万</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一、项目背景</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天津市地下铁道集团有限公司实施整理的东丽区卫国道（于明庄）地块位于东丽区，土地整理储备面积约54.9公顷，整理成本约25亿元。</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二、项目需求</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（一）审计范围</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与项目整理储备成本有关的全部协议、合同、明细账簿、记账凭证、相关地块整理文件、成果等。</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（二）审计报告编制</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审计报告编制必须符合财政部 国土资源部 中国人民银行 银监会关于规范土地储备和资金管理等相关问题的通知》（财综〔2016〕4号）、《天津市人民政府办公厅转发市国土房管局市财政局关于规范我市土地整理储备成本管理规定的通知》（津政办发〔2017〕41号）及《市财政局市国土房管局关于我市土地出让金缴库和拨付有关问题的通知》（津财综〔2017〕48号）文件等相关法律、法规和各种技术规范、标准要求。</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（三）人员配置要求</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5"/>
          <w:rFonts w:hint="eastAsia" w:ascii="宋体" w:hAnsi="宋体"/>
          <w:sz w:val="24"/>
          <w:szCs w:val="24"/>
        </w:rPr>
      </w:pPr>
      <w:r>
        <w:rPr>
          <w:rStyle w:val="5"/>
          <w:rFonts w:hint="eastAsia" w:ascii="宋体" w:hAnsi="宋体"/>
          <w:sz w:val="24"/>
          <w:szCs w:val="24"/>
        </w:rPr>
        <w:t>1．项目负责人1人，应为注册会计师，主持招标范围内全部工作，应当具有丰富的土地整理成本审计经验。</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color w:val="auto"/>
          <w:highlight w:val="none"/>
        </w:rPr>
      </w:pPr>
      <w:r>
        <w:rPr>
          <w:rStyle w:val="5"/>
          <w:rFonts w:hint="eastAsia" w:ascii="宋体" w:hAnsi="宋体"/>
          <w:sz w:val="24"/>
          <w:szCs w:val="24"/>
        </w:rPr>
        <w:t>2．项目专职审计人员2人，负责本项目招标范围内的审计工作，应当具有丰富的审计经验。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45683"/>
    <w:rsid w:val="58745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rPr>
      <w:kern w:val="0"/>
      <w:sz w:val="20"/>
    </w:rPr>
  </w:style>
  <w:style w:type="character" w:customStyle="1" w:styleId="5">
    <w:name w:val="NormalCharacter"/>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2020-05-06T08:45:00Z</dcterms:created>
  <dc:creator>pc</dc:creator>
  <cp:lastModifiedBy>pc</cp:lastModifiedBy>
  <dcterms:modified xsi:type="dcterms:W3CDTF">2020-05-06T08:45:31Z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