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 w:firstLineChars="200"/>
        <w:rPr>
          <w:rFonts w:ascii="宋体" w:hAnsi="宋体"/>
          <w:color w:val="auto"/>
          <w:sz w:val="24"/>
          <w:highlight w:val="none"/>
        </w:rPr>
      </w:pPr>
      <w:r>
        <w:rPr>
          <w:rFonts w:hint="eastAsia" w:ascii="宋体" w:hAnsi="宋体"/>
          <w:color w:val="auto"/>
          <w:sz w:val="24"/>
        </w:rPr>
        <w:t>东丽区残疾人意外伤害保险为四期参保，分别为6月30日、9月30日、12月31日、3月31日，保险金额以实际参</w:t>
      </w:r>
      <w:r>
        <w:rPr>
          <w:rFonts w:hint="eastAsia" w:ascii="宋体" w:hAnsi="宋体"/>
          <w:color w:val="auto"/>
          <w:sz w:val="24"/>
          <w:highlight w:val="none"/>
        </w:rPr>
        <w:t>保人数结算。2020年总人数约为2万人、2021年总人数约2.1万人、2022年总人数约2.2万</w:t>
      </w:r>
      <w:bookmarkStart w:id="0" w:name="_GoBack"/>
      <w:bookmarkEnd w:id="0"/>
      <w:r>
        <w:rPr>
          <w:rFonts w:hint="eastAsia" w:ascii="宋体" w:hAnsi="宋体"/>
          <w:color w:val="auto"/>
          <w:sz w:val="24"/>
          <w:highlight w:val="none"/>
        </w:rPr>
        <w:t>人。</w:t>
      </w:r>
    </w:p>
    <w:p>
      <w:pPr>
        <w:spacing w:line="360" w:lineRule="auto"/>
        <w:ind w:firstLine="480" w:firstLineChars="200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  <w:highlight w:val="none"/>
        </w:rPr>
        <w:t>包括：意外身故、意外残疾、意外医疗及</w:t>
      </w:r>
      <w:r>
        <w:rPr>
          <w:rFonts w:hint="eastAsia" w:ascii="宋体" w:hAnsi="宋体"/>
          <w:color w:val="auto"/>
          <w:sz w:val="24"/>
          <w:highlight w:val="none"/>
          <w:lang w:val="en-US" w:eastAsia="zh-CN"/>
        </w:rPr>
        <w:t>意外</w:t>
      </w:r>
      <w:r>
        <w:rPr>
          <w:rFonts w:hint="eastAsia" w:ascii="宋体" w:hAnsi="宋体"/>
          <w:color w:val="auto"/>
          <w:sz w:val="24"/>
          <w:highlight w:val="none"/>
        </w:rPr>
        <w:t>和</w:t>
      </w:r>
      <w:r>
        <w:rPr>
          <w:rFonts w:hint="eastAsia" w:ascii="宋体" w:hAnsi="宋体"/>
          <w:color w:val="auto"/>
          <w:sz w:val="24"/>
        </w:rPr>
        <w:t>疾病住院补贴。</w:t>
      </w:r>
    </w:p>
    <w:tbl>
      <w:tblPr>
        <w:tblStyle w:val="3"/>
        <w:tblpPr w:leftFromText="180" w:rightFromText="180" w:vertAnchor="text" w:horzAnchor="margin" w:tblpY="97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977"/>
        <w:gridCol w:w="1984"/>
        <w:gridCol w:w="2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color w:val="auto"/>
                <w:sz w:val="24"/>
              </w:rPr>
              <w:t>保障</w:t>
            </w:r>
          </w:p>
          <w:p>
            <w:pPr>
              <w:spacing w:line="360" w:lineRule="auto"/>
              <w:jc w:val="center"/>
              <w:rPr>
                <w:rFonts w:ascii="宋体" w:hAnsi="宋体"/>
                <w:b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color w:val="auto"/>
                <w:sz w:val="24"/>
              </w:rPr>
              <w:t>项目</w:t>
            </w:r>
          </w:p>
        </w:tc>
        <w:tc>
          <w:tcPr>
            <w:tcW w:w="297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color w:val="auto"/>
                <w:sz w:val="24"/>
              </w:rPr>
              <w:t>保障</w:t>
            </w:r>
          </w:p>
          <w:p>
            <w:pPr>
              <w:spacing w:line="360" w:lineRule="auto"/>
              <w:jc w:val="center"/>
              <w:rPr>
                <w:rFonts w:ascii="宋体" w:hAnsi="宋体"/>
                <w:b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color w:val="auto"/>
                <w:sz w:val="24"/>
              </w:rPr>
              <w:t>责任</w:t>
            </w:r>
          </w:p>
        </w:tc>
        <w:tc>
          <w:tcPr>
            <w:tcW w:w="198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color w:val="auto"/>
                <w:sz w:val="24"/>
              </w:rPr>
              <w:t>给付</w:t>
            </w:r>
          </w:p>
          <w:p>
            <w:pPr>
              <w:spacing w:line="360" w:lineRule="auto"/>
              <w:jc w:val="center"/>
              <w:rPr>
                <w:rFonts w:ascii="宋体" w:hAnsi="宋体"/>
                <w:b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color w:val="auto"/>
                <w:sz w:val="24"/>
              </w:rPr>
              <w:t>比例</w:t>
            </w:r>
          </w:p>
        </w:tc>
        <w:tc>
          <w:tcPr>
            <w:tcW w:w="255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color w:val="auto"/>
                <w:sz w:val="24"/>
              </w:rPr>
              <w:t>保障金额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124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意外</w:t>
            </w:r>
          </w:p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身故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</w:rPr>
              <w:t>因意外事故造成的身故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</w:rPr>
              <w:t>100%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</w:rPr>
              <w:t>80000元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9" w:hRule="atLeast"/>
        </w:trPr>
        <w:tc>
          <w:tcPr>
            <w:tcW w:w="124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意外</w:t>
            </w:r>
          </w:p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残疾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</w:rPr>
              <w:t>因意外事故造成的</w:t>
            </w:r>
          </w:p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</w:rPr>
              <w:t>新的残疾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ind w:firstLine="240" w:firstLineChars="10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</w:rPr>
              <w:t>按照《人身保险伤残评定标准（行业标准）》给付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</w:rPr>
              <w:t>最高</w:t>
            </w:r>
          </w:p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</w:rPr>
              <w:t>80000元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2" w:hRule="atLeast"/>
        </w:trPr>
        <w:tc>
          <w:tcPr>
            <w:tcW w:w="124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意外</w:t>
            </w:r>
          </w:p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医疗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</w:rPr>
              <w:t xml:space="preserve">  因意外事故造成的合理医疗费用（社保报销范围内包含门诊与住院、含大韩庄医院和一级医院）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</w:rPr>
              <w:t>被保险人已从当地社会基本医疗、公费医疗或其他途径获得补偿或给付，保险公司对剩余未获得补偿或给付的部分按照免赔额0元，赔付比例100%给付；被保险人未从当地社会基本医疗、公费医疗或其他途径获得补偿或给付，保险公司按照免赔额100元，赔付比例90%给付；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</w:rPr>
              <w:t>最高25000元(大韩庄医院和一级医院最多给付1000元)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8" w:hRule="atLeast"/>
        </w:trPr>
        <w:tc>
          <w:tcPr>
            <w:tcW w:w="124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住院</w:t>
            </w:r>
          </w:p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补贴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</w:rPr>
              <w:t xml:space="preserve">  因意外事故或疾病造成的住院（无观察期，原伤残住院不纳入赔付范围）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</w:rPr>
              <w:t>100元/天（以180天为限）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</w:rPr>
              <w:t>18000元</w:t>
            </w:r>
          </w:p>
        </w:tc>
      </w:tr>
    </w:tbl>
    <w:p>
      <w:pPr>
        <w:spacing w:line="360" w:lineRule="auto"/>
        <w:ind w:firstLine="480" w:firstLineChars="200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将大韩庄医院和一级医院纳入意外医疗理赔范围，每次最多赔付1000元。</w:t>
      </w:r>
    </w:p>
    <w:p>
      <w:pPr>
        <w:spacing w:line="360" w:lineRule="auto"/>
        <w:ind w:firstLine="480" w:firstLineChars="200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（二）要求赔付时间</w:t>
      </w:r>
    </w:p>
    <w:p>
      <w:pPr>
        <w:spacing w:line="360" w:lineRule="auto"/>
        <w:ind w:firstLine="480" w:firstLineChars="200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1.申报时间期限不少于两年；</w:t>
      </w:r>
    </w:p>
    <w:p>
      <w:pPr>
        <w:spacing w:line="360" w:lineRule="auto"/>
        <w:ind w:firstLine="480" w:firstLineChars="200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2.对收到的材料进行现场初审，材料齐全的应当按照正常理赔时效受理，并出具索赔回执；材料不齐全的应于当天明确告知需补充的全部材料，对索赔材料审核后未予回复的，视为材料已提交齐全；</w:t>
      </w:r>
    </w:p>
    <w:p>
      <w:pPr>
        <w:spacing w:line="360" w:lineRule="auto"/>
        <w:ind w:firstLine="480" w:firstLineChars="200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3.对索赔材料齐全的案件，根据索赔金额按照时限要求，在受理后三个工作日内做出核定；拒赔案件应当在核定作出后三个工作日内出具正式的拒赔通知书；</w:t>
      </w:r>
    </w:p>
    <w:p>
      <w:pPr>
        <w:spacing w:line="360" w:lineRule="auto"/>
        <w:ind w:firstLine="480" w:firstLineChars="200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4.对核定完成的案件，承保公司应当在20个工作日内赔付到被保险人赔付结算账户。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F0AF4"/>
    <w:rsid w:val="587F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  <w:rPr>
      <w:rFonts w:ascii="Times New Roman" w:hAnsi="Times New Roman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2020-05-11T09:40:00Z</dcterms:created>
  <dc:creator>A～歌初寒、夜未央</dc:creator>
  <cp:lastModifiedBy>A～歌初寒、夜未央</cp:lastModifiedBy>
  <dcterms:modified xsi:type="dcterms:W3CDTF">2020-05-11T09:41:07Z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