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zh-CN" w:eastAsia="zh-CN"/>
        </w:rPr>
        <w:t>项目需求书</w:t>
      </w:r>
    </w:p>
    <w:p>
      <w:pPr>
        <w:pStyle w:val="17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  <w:t>查体对象</w:t>
      </w:r>
    </w:p>
    <w:p>
      <w:pPr>
        <w:pStyle w:val="17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  <w:t>困难企业职工供给侧结构性改革中的困难企业，去产能任务重的企业，关停并转等企业以及受疫情影响较大的批发零售、住宿餐饮、物流运输、文化旅游等相关企业造成生活相对困难的职工。</w:t>
      </w:r>
    </w:p>
    <w:p>
      <w:pPr>
        <w:pStyle w:val="17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  <w:t>困难职工 1.全总建档困难职工； 2.不属于全总建档困难职工，但符合本区制定的困难职工标准，由所在区总工会认定并实施帮扶的困难职工。</w:t>
      </w:r>
    </w:p>
    <w:p>
      <w:pPr>
        <w:pStyle w:val="17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</w:rPr>
        <w:t>农民工与用工单位建立了较为稳定劳动关系的入会农民工，重点向市容、环卫等脏苦累险重一线工作岗位倾斜。查体职工必须是在岗在册职工。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color w:val="03040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项目需求：</w:t>
      </w:r>
    </w:p>
    <w:p>
      <w:pPr>
        <w:pStyle w:val="5"/>
        <w:ind w:firstLine="480" w:firstLineChars="200"/>
        <w:rPr>
          <w:rFonts w:hint="eastAsia" w:ascii="微软雅黑" w:hAnsi="微软雅黑" w:eastAsia="微软雅黑" w:cs="微软雅黑"/>
          <w:color w:val="03040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服务期限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自签订合同之日起至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2020年11月30日止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color w:val="03040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服务项目费用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体检费用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不高于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470元/人标准，预计为4000人（具体人数可能上下浮动）。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color w:val="03040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CN"/>
        </w:rPr>
        <w:t>★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中标医院需提供以下查体项目：（1）临床科室： 内科（心率、心律、心界、心脏杂音、肺、血压、肝脏、脾脏、肠鸣音）外科（皮肤、甲状腺、脊柱、浅表淋巴结、四肢关节）眼科（眼睑、结膜、角膜、眼底）耳鼻喉（外耳道、鼓膜、鼻腔、咽喉部、扁桃体、鼻中隔）口腔科（腭、口腔黏膜、齿龈、齿）妇科（外阴、阴道、宫颈、子宫、附件、宫颈刮片、乳腺）心电图（12导心电图自动分析仪）。（2）X线：胸部DR(心、肺、膈、肋骨、胸膜)彩色多普勒 腹部（肝脏、胆囊、胰腺、脾脏、肾脏）盆腔（男士：前列腺 女士：子宫、附件）血液检查 血生化 肝功能检查（谷丙转氨酶、谷草转氨酶）肾功能（尿酸、肌酐、尿素氮）；血脂检查(总胆固醇、甘油三脂、高（低)密度脂蛋白胆固醇；糖尿病检查（血糖）防癌两项（甲胎蛋白、癌胚抗原）；血流变（全血粘度、血浆粘度、红细胞变形、血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highlight w:val="none"/>
        </w:rPr>
        <w:t>沉、纤维蛋白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highlight w:val="none"/>
          <w:lang w:val="en-US" w:eastAsia="zh-CN"/>
        </w:rPr>
        <w:t>原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highlight w:val="none"/>
        </w:rPr>
        <w:t>等）。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color w:val="03040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CN"/>
        </w:rPr>
        <w:t>★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color w:val="030405"/>
          <w:sz w:val="24"/>
          <w:szCs w:val="24"/>
        </w:rPr>
        <w:t>）中标医院需提供的其他服务 1、中标医院需对区总工会提供的困难企业职工、困难职工和农民工名单中的对象提供优质的身体检查服务，需安排车到职工所在单位接送职工，并负责提供早餐。 2、中标医院要制定疫情期间查体方案，细化工作举措，重点做好疫情防控和环境卫生消毒工作，确保体检的医疗安全；合理安排体检流程，配备导检人员。 3、中标医院要对健康体检的报告负责，若在规定体检项目和应有技术水平范围内，因工作失误或医疗器械造成体检质量问题的，中标医院应付全责并无条件给予当事人适当补救措施。 4、对有争议的标本以及中标医院责任引起的误差标本，中标医院免费复查。 5、中标医院在双方约定的具体时间内对规定项目实施医疗检查和检测；经双方确定完成工作后的14个工作日内出具个人体检报告和团体体检结果汇总表。</w:t>
      </w:r>
    </w:p>
    <w:p>
      <w:pPr>
        <w:pStyle w:val="2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30405"/>
          <w:sz w:val="24"/>
          <w:szCs w:val="24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CN"/>
        </w:rPr>
        <w:t>★号条款为实质性条款，出现负偏离响应将认定为无效响应文件。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.....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B19B1"/>
    <w:rsid w:val="49D16F7C"/>
    <w:rsid w:val="64E57B0D"/>
    <w:rsid w:val="6EBB1F92"/>
    <w:rsid w:val="726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uiPriority w:val="99"/>
    <w:rPr>
      <w:sz w:val="32"/>
    </w:rPr>
  </w:style>
  <w:style w:type="paragraph" w:styleId="3">
    <w:name w:val="Intense Quote"/>
    <w:next w:val="1"/>
    <w:qFormat/>
    <w:uiPriority w:val="0"/>
    <w:pPr>
      <w:wordWrap w:val="0"/>
      <w:spacing w:before="360" w:after="360"/>
      <w:ind w:left="950" w:right="950"/>
      <w:jc w:val="center"/>
    </w:pPr>
    <w:rPr>
      <w:rFonts w:ascii="宋体" w:hAnsi="宋体" w:eastAsia="Times New Roman" w:cs="Times New Roman"/>
      <w:i/>
      <w:sz w:val="21"/>
      <w:lang w:val="en-US" w:eastAsia="zh-CN" w:bidi="ar-SA"/>
    </w:rPr>
  </w:style>
  <w:style w:type="paragraph" w:styleId="5">
    <w:name w:val="annotation text"/>
    <w:basedOn w:val="1"/>
    <w:unhideWhenUsed/>
    <w:uiPriority w:val="99"/>
    <w:pPr>
      <w:jc w:val="left"/>
    </w:pPr>
  </w:style>
  <w:style w:type="paragraph" w:styleId="6">
    <w:name w:val="toc 9"/>
    <w:basedOn w:val="1"/>
    <w:next w:val="1"/>
    <w:qFormat/>
    <w:uiPriority w:val="0"/>
    <w:pPr>
      <w:wordWrap w:val="0"/>
      <w:ind w:left="2975"/>
    </w:pPr>
  </w:style>
  <w:style w:type="character" w:styleId="9">
    <w:name w:val="FollowedHyperlink"/>
    <w:basedOn w:val="8"/>
    <w:qFormat/>
    <w:uiPriority w:val="0"/>
    <w:rPr>
      <w:rFonts w:hint="eastAsia" w:ascii="宋体" w:hAnsi="宋体" w:eastAsia="宋体" w:cs="宋体"/>
      <w:color w:val="0031C1"/>
      <w:sz w:val="18"/>
      <w:szCs w:val="18"/>
      <w:u w:val="none"/>
    </w:rPr>
  </w:style>
  <w:style w:type="character" w:styleId="10">
    <w:name w:val="Hyperlink"/>
    <w:basedOn w:val="8"/>
    <w:qFormat/>
    <w:uiPriority w:val="0"/>
    <w:rPr>
      <w:rFonts w:hint="eastAsia" w:ascii="宋体" w:hAnsi="宋体" w:eastAsia="宋体" w:cs="宋体"/>
      <w:color w:val="0031C1"/>
      <w:sz w:val="18"/>
      <w:szCs w:val="18"/>
      <w:u w:val="none"/>
    </w:rPr>
  </w:style>
  <w:style w:type="character" w:customStyle="1" w:styleId="11">
    <w:name w:val="fielderror"/>
    <w:basedOn w:val="8"/>
    <w:qFormat/>
    <w:uiPriority w:val="0"/>
    <w:rPr>
      <w:color w:val="800000"/>
    </w:rPr>
  </w:style>
  <w:style w:type="character" w:customStyle="1" w:styleId="12">
    <w:name w:val="required"/>
    <w:basedOn w:val="8"/>
    <w:uiPriority w:val="0"/>
    <w:rPr>
      <w:color w:val="FF0000"/>
    </w:rPr>
  </w:style>
  <w:style w:type="character" w:customStyle="1" w:styleId="13">
    <w:name w:val="tab1"/>
    <w:basedOn w:val="8"/>
    <w:uiPriority w:val="0"/>
  </w:style>
  <w:style w:type="character" w:customStyle="1" w:styleId="14">
    <w:name w:val="tab2"/>
    <w:basedOn w:val="8"/>
    <w:uiPriority w:val="0"/>
    <w:rPr>
      <w:color w:val="333366"/>
    </w:rPr>
  </w:style>
  <w:style w:type="character" w:customStyle="1" w:styleId="15">
    <w:name w:val="active6"/>
    <w:basedOn w:val="8"/>
    <w:uiPriority w:val="0"/>
    <w:rPr>
      <w:color w:val="FFFFFF"/>
    </w:rPr>
  </w:style>
  <w:style w:type="character" w:customStyle="1" w:styleId="16">
    <w:name w:val="hilite6"/>
    <w:basedOn w:val="8"/>
    <w:qFormat/>
    <w:uiPriority w:val="0"/>
    <w:rPr>
      <w:color w:val="000000"/>
    </w:rPr>
  </w:style>
  <w:style w:type="paragraph" w:customStyle="1" w:styleId="17">
    <w:name w:val="Default"/>
    <w:next w:val="6"/>
    <w:qFormat/>
    <w:uiPriority w:val="99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于洋</cp:lastModifiedBy>
  <dcterms:modified xsi:type="dcterms:W3CDTF">2020-07-23T03:39:25Z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