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firstLine="562" w:firstLineChars="200"/>
        <w:jc w:val="center"/>
        <w:rPr>
          <w:rFonts w:hint="eastAsia" w:ascii="Times New Roman" w:hAnsi="Times New Roman" w:eastAsia="宋体" w:cs="Times New Roman"/>
          <w:b/>
          <w:bCs/>
          <w:color w:val="auto"/>
          <w:kern w:val="2"/>
          <w:sz w:val="28"/>
          <w:szCs w:val="28"/>
        </w:rPr>
      </w:pPr>
      <w:r>
        <w:rPr>
          <w:rFonts w:hint="eastAsia" w:ascii="Times New Roman" w:hAnsi="Times New Roman" w:eastAsia="宋体" w:cs="Times New Roman"/>
          <w:b/>
          <w:bCs/>
          <w:color w:val="auto"/>
          <w:kern w:val="2"/>
          <w:sz w:val="28"/>
          <w:szCs w:val="28"/>
        </w:rPr>
        <w:t>项目需求书</w:t>
      </w:r>
    </w:p>
    <w:p>
      <w:pPr>
        <w:spacing w:line="360" w:lineRule="auto"/>
        <w:rPr>
          <w:rFonts w:ascii="宋体" w:hAnsi="宋体" w:cs="Arial"/>
          <w:sz w:val="24"/>
        </w:rPr>
      </w:pPr>
      <w:r>
        <w:rPr>
          <w:rFonts w:hint="eastAsia" w:ascii="宋体" w:hAnsi="宋体" w:cs="Arial"/>
          <w:sz w:val="24"/>
        </w:rPr>
        <w:t>一、技术要求</w:t>
      </w:r>
    </w:p>
    <w:p>
      <w:pPr>
        <w:spacing w:line="360" w:lineRule="auto"/>
        <w:ind w:firstLine="480" w:firstLineChars="200"/>
        <w:rPr>
          <w:rFonts w:ascii="宋体" w:hAnsi="宋体" w:cs="Arial"/>
          <w:sz w:val="24"/>
        </w:rPr>
      </w:pPr>
      <w:r>
        <w:rPr>
          <w:rFonts w:hint="eastAsia" w:ascii="宋体" w:hAnsi="宋体" w:cs="Arial"/>
          <w:sz w:val="24"/>
        </w:rPr>
        <w:t>按照《天津市爱国卫生工作条例》、泰达街大环境消毒除害的监测、检查、验收等要求对</w:t>
      </w:r>
      <w:r>
        <w:rPr>
          <w:rFonts w:hint="eastAsia" w:ascii="宋体" w:hAnsi="宋体"/>
          <w:sz w:val="24"/>
          <w:szCs w:val="24"/>
        </w:rPr>
        <w:t>区域内132个居民小区、9个公寓、5个消毒点进行投药灭鼠两次；消毒灭蚊、蝇、蟑螂工作每天至少两次，完成泰达街办事处交办的临时性应急</w:t>
      </w:r>
      <w:r>
        <w:rPr>
          <w:rFonts w:hint="eastAsia" w:ascii="宋体" w:hAnsi="宋体"/>
          <w:sz w:val="24"/>
          <w:szCs w:val="24"/>
          <w:lang w:eastAsia="zh-CN"/>
        </w:rPr>
        <w:t>病媒</w:t>
      </w:r>
      <w:r>
        <w:rPr>
          <w:rFonts w:hint="eastAsia" w:ascii="宋体" w:hAnsi="宋体"/>
          <w:sz w:val="24"/>
          <w:szCs w:val="24"/>
        </w:rPr>
        <w:t>生物消杀任务</w:t>
      </w:r>
      <w:r>
        <w:rPr>
          <w:rFonts w:hint="eastAsia" w:ascii="宋体" w:hAnsi="宋体" w:cs="Arial"/>
          <w:sz w:val="24"/>
        </w:rPr>
        <w:t>及大型活动</w:t>
      </w:r>
      <w:r>
        <w:rPr>
          <w:rFonts w:hint="eastAsia" w:ascii="宋体" w:hAnsi="宋体" w:cs="Arial"/>
          <w:sz w:val="24"/>
          <w:lang w:eastAsia="zh-CN"/>
        </w:rPr>
        <w:t>病媒</w:t>
      </w:r>
      <w:r>
        <w:rPr>
          <w:rFonts w:hint="eastAsia" w:ascii="宋体" w:hAnsi="宋体" w:cs="Arial"/>
          <w:sz w:val="24"/>
        </w:rPr>
        <w:t>消杀任务。此外还须完成爱国卫生月宣传活动及其它专项宣传活动的资料印制和发放工作，同时每季度须在各小区发放张贴宣传材料。</w:t>
      </w:r>
    </w:p>
    <w:p>
      <w:pPr>
        <w:spacing w:line="360" w:lineRule="auto"/>
        <w:ind w:firstLine="480" w:firstLineChars="200"/>
        <w:rPr>
          <w:rFonts w:ascii="宋体" w:hAnsi="宋体"/>
          <w:sz w:val="24"/>
          <w:szCs w:val="24"/>
        </w:rPr>
      </w:pPr>
      <w:r>
        <w:rPr>
          <w:rFonts w:hint="eastAsia" w:ascii="宋体" w:hAnsi="宋体"/>
          <w:sz w:val="24"/>
          <w:szCs w:val="24"/>
        </w:rPr>
        <w:t>第一包：生活区86个居民区、2个消毒点，能完成临时性应急消杀任务（含原中心商务区11.4平方公里）。</w:t>
      </w:r>
    </w:p>
    <w:p>
      <w:pPr>
        <w:spacing w:line="360" w:lineRule="auto"/>
        <w:ind w:firstLine="480" w:firstLineChars="200"/>
        <w:rPr>
          <w:rFonts w:ascii="宋体" w:hAnsi="宋体" w:cs="Arial"/>
          <w:sz w:val="24"/>
        </w:rPr>
      </w:pPr>
      <w:r>
        <w:rPr>
          <w:rFonts w:hint="eastAsia" w:ascii="宋体" w:hAnsi="宋体"/>
          <w:sz w:val="24"/>
          <w:szCs w:val="24"/>
        </w:rPr>
        <w:t>第二包：工业区：46个居民区、9个公寓，3个消毒点，能完成临时性应急消杀任务（含开发区西区）。</w:t>
      </w:r>
    </w:p>
    <w:p>
      <w:pPr>
        <w:spacing w:line="360" w:lineRule="auto"/>
        <w:ind w:firstLine="480" w:firstLineChars="200"/>
        <w:rPr>
          <w:rFonts w:ascii="宋体" w:hAnsi="宋体" w:cs="Arial"/>
          <w:sz w:val="24"/>
        </w:rPr>
      </w:pPr>
      <w:r>
        <w:rPr>
          <w:rFonts w:hint="eastAsia" w:ascii="宋体" w:hAnsi="宋体" w:cs="Arial"/>
          <w:sz w:val="24"/>
        </w:rPr>
        <w:t>本项目服务期限为一年，采购人就项目实施情况随时进行检查，检查合格，继续履行合同。如检查不合格或因采购人项目需求原因，采购人均可终止合同且不承担</w:t>
      </w:r>
      <w:r>
        <w:rPr>
          <w:rFonts w:hint="eastAsia" w:ascii="宋体" w:hAnsi="宋体" w:cs="Arial"/>
          <w:sz w:val="24"/>
          <w:lang w:val="en-US" w:eastAsia="zh-CN"/>
        </w:rPr>
        <w:t>供应商</w:t>
      </w:r>
      <w:r>
        <w:rPr>
          <w:rFonts w:hint="eastAsia" w:ascii="宋体" w:hAnsi="宋体" w:cs="Arial"/>
          <w:sz w:val="24"/>
        </w:rPr>
        <w:t>任何损失及责任。</w:t>
      </w:r>
    </w:p>
    <w:p>
      <w:pPr>
        <w:spacing w:line="360" w:lineRule="auto"/>
        <w:ind w:firstLine="480" w:firstLineChars="200"/>
        <w:rPr>
          <w:rFonts w:ascii="宋体" w:hAnsi="宋体" w:cs="Arial"/>
          <w:sz w:val="24"/>
        </w:rPr>
      </w:pPr>
      <w:r>
        <w:rPr>
          <w:rFonts w:hint="eastAsia" w:ascii="宋体" w:hAnsi="宋体" w:cs="Arial"/>
          <w:sz w:val="24"/>
        </w:rPr>
        <w:t>对投标供应商的要求：</w:t>
      </w:r>
    </w:p>
    <w:p>
      <w:pPr>
        <w:spacing w:line="360" w:lineRule="auto"/>
        <w:ind w:firstLine="480" w:firstLineChars="200"/>
        <w:rPr>
          <w:rFonts w:ascii="宋体" w:hAnsi="宋体" w:cs="Arial"/>
          <w:sz w:val="24"/>
        </w:rPr>
      </w:pPr>
      <w:r>
        <w:rPr>
          <w:rFonts w:hint="eastAsia" w:ascii="宋体" w:hAnsi="宋体" w:cs="Arial"/>
          <w:sz w:val="24"/>
          <w:szCs w:val="24"/>
        </w:rPr>
        <w:t>1、具有独立承担民事责任的能力的法人且经营范围中包括消毒、除害相关内容；</w:t>
      </w:r>
    </w:p>
    <w:p>
      <w:pPr>
        <w:spacing w:line="360" w:lineRule="auto"/>
        <w:ind w:firstLine="480" w:firstLineChars="200"/>
        <w:rPr>
          <w:rFonts w:ascii="宋体" w:hAnsi="宋体" w:cs="Arial"/>
          <w:sz w:val="24"/>
        </w:rPr>
      </w:pPr>
      <w:r>
        <w:rPr>
          <w:rFonts w:hint="eastAsia" w:ascii="宋体" w:hAnsi="宋体" w:cs="Arial"/>
          <w:sz w:val="24"/>
        </w:rPr>
        <w:t>2、有经过培训的专业消毒、除害的技术人员，并有稳定的管理和工作人员；</w:t>
      </w:r>
    </w:p>
    <w:p>
      <w:pPr>
        <w:spacing w:line="360" w:lineRule="auto"/>
        <w:ind w:firstLine="480" w:firstLineChars="200"/>
        <w:rPr>
          <w:rFonts w:ascii="宋体" w:hAnsi="宋体" w:cs="Arial"/>
          <w:sz w:val="24"/>
        </w:rPr>
      </w:pPr>
      <w:r>
        <w:rPr>
          <w:rFonts w:hint="eastAsia" w:ascii="宋体" w:hAnsi="宋体" w:cs="Arial"/>
          <w:sz w:val="24"/>
        </w:rPr>
        <w:t>3、具有专业消毒、除害器具及交通运输设备；</w:t>
      </w:r>
    </w:p>
    <w:p>
      <w:pPr>
        <w:spacing w:line="360" w:lineRule="auto"/>
        <w:ind w:firstLine="480" w:firstLineChars="200"/>
        <w:rPr>
          <w:rFonts w:ascii="宋体" w:hAnsi="宋体" w:cs="Arial"/>
          <w:sz w:val="24"/>
        </w:rPr>
      </w:pPr>
      <w:r>
        <w:rPr>
          <w:rFonts w:hint="eastAsia" w:ascii="宋体" w:hAnsi="宋体" w:cs="Arial"/>
          <w:sz w:val="24"/>
        </w:rPr>
        <w:t>4、具有从事消毒、除害工作的实际经验；</w:t>
      </w:r>
    </w:p>
    <w:p>
      <w:pPr>
        <w:spacing w:line="360" w:lineRule="auto"/>
        <w:jc w:val="center"/>
        <w:rPr>
          <w:rFonts w:ascii="宋体" w:hAnsi="宋体" w:cs="Arial"/>
          <w:b/>
          <w:bCs/>
          <w:sz w:val="24"/>
          <w:szCs w:val="24"/>
        </w:rPr>
      </w:pPr>
      <w:r>
        <w:rPr>
          <w:rFonts w:hint="eastAsia" w:ascii="宋体" w:hAnsi="宋体" w:cs="Arial"/>
          <w:b/>
          <w:sz w:val="24"/>
          <w:szCs w:val="24"/>
        </w:rPr>
        <w:t>（第一包）</w:t>
      </w:r>
      <w:r>
        <w:rPr>
          <w:rFonts w:hint="eastAsia" w:ascii="宋体" w:hAnsi="宋体" w:cs="Arial"/>
          <w:b/>
          <w:bCs/>
          <w:sz w:val="24"/>
          <w:szCs w:val="24"/>
        </w:rPr>
        <w:t>泰达街生活区（含原中心商务区）</w:t>
      </w:r>
      <w:r>
        <w:rPr>
          <w:rFonts w:hint="eastAsia" w:ascii="宋体" w:hAnsi="宋体" w:cs="Arial"/>
          <w:b/>
          <w:sz w:val="24"/>
          <w:szCs w:val="24"/>
        </w:rPr>
        <w:t>消毒除害地点明细</w:t>
      </w:r>
    </w:p>
    <w:p>
      <w:pPr>
        <w:spacing w:line="360" w:lineRule="auto"/>
        <w:ind w:firstLine="435"/>
        <w:jc w:val="center"/>
        <w:rPr>
          <w:rFonts w:ascii="宋体" w:hAnsi="宋体" w:cs="Arial"/>
          <w:sz w:val="24"/>
          <w:szCs w:val="24"/>
        </w:rPr>
      </w:pPr>
      <w:r>
        <w:rPr>
          <w:rFonts w:hint="eastAsia" w:ascii="宋体" w:hAnsi="宋体" w:cs="Arial"/>
          <w:sz w:val="24"/>
          <w:szCs w:val="24"/>
        </w:rPr>
        <w:t>居民小区名称（86个）</w:t>
      </w:r>
    </w:p>
    <w:tbl>
      <w:tblPr>
        <w:tblStyle w:val="2"/>
        <w:tblW w:w="8336" w:type="dxa"/>
        <w:tblInd w:w="-20" w:type="dxa"/>
        <w:tblLayout w:type="fixed"/>
        <w:tblCellMar>
          <w:top w:w="15" w:type="dxa"/>
          <w:left w:w="15" w:type="dxa"/>
          <w:bottom w:w="15" w:type="dxa"/>
          <w:right w:w="15" w:type="dxa"/>
        </w:tblCellMar>
      </w:tblPr>
      <w:tblGrid>
        <w:gridCol w:w="1668"/>
        <w:gridCol w:w="1667"/>
        <w:gridCol w:w="1667"/>
        <w:gridCol w:w="1667"/>
        <w:gridCol w:w="1667"/>
      </w:tblGrid>
      <w:tr>
        <w:tblPrEx>
          <w:tblCellMar>
            <w:top w:w="15" w:type="dxa"/>
            <w:left w:w="15" w:type="dxa"/>
            <w:bottom w:w="15" w:type="dxa"/>
            <w:right w:w="15" w:type="dxa"/>
          </w:tblCellMar>
        </w:tblPrEx>
        <w:trPr>
          <w:trHeight w:val="72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阳光新园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瑞园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格林园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郑华公寓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万通华府二期（檀华园）</w:t>
            </w:r>
          </w:p>
        </w:tc>
      </w:tr>
      <w:tr>
        <w:tblPrEx>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白云公寓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美华大厦</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万通华府三期（樟华园）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万通华府四期（桂华园）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柏翠园</w:t>
            </w:r>
          </w:p>
        </w:tc>
      </w:tr>
      <w:tr>
        <w:tblPrEx>
          <w:tblCellMar>
            <w:top w:w="15" w:type="dxa"/>
            <w:left w:w="15" w:type="dxa"/>
            <w:bottom w:w="15" w:type="dxa"/>
            <w:right w:w="15" w:type="dxa"/>
          </w:tblCellMar>
        </w:tblPrEx>
        <w:trPr>
          <w:trHeight w:val="72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明珠园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昱泉园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润福园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豪威园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尊品庭苑</w:t>
            </w:r>
          </w:p>
        </w:tc>
      </w:tr>
      <w:tr>
        <w:tblPrEx>
          <w:tblCellMar>
            <w:top w:w="15" w:type="dxa"/>
            <w:left w:w="15" w:type="dxa"/>
            <w:bottom w:w="15" w:type="dxa"/>
            <w:right w:w="15" w:type="dxa"/>
          </w:tblCellMar>
        </w:tblPrEx>
        <w:trPr>
          <w:trHeight w:val="72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银河小区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沁园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清馨园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贝肯山一期（莫缇园）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展望园</w:t>
            </w:r>
          </w:p>
        </w:tc>
      </w:tr>
      <w:tr>
        <w:tblPrEx>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索亚万丽</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贝肯山二期（斯茹园）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博美园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铂雅轩</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佰席</w:t>
            </w:r>
          </w:p>
        </w:tc>
      </w:tr>
      <w:tr>
        <w:tblPrEx>
          <w:tblCellMar>
            <w:top w:w="15" w:type="dxa"/>
            <w:left w:w="15" w:type="dxa"/>
            <w:bottom w:w="15" w:type="dxa"/>
            <w:right w:w="15" w:type="dxa"/>
          </w:tblCellMar>
        </w:tblPrEx>
        <w:trPr>
          <w:trHeight w:val="48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加孚园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格调林泉</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御景园邸</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恂园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花语轩</w:t>
            </w:r>
          </w:p>
        </w:tc>
      </w:tr>
      <w:tr>
        <w:tblPrEx>
          <w:tblCellMar>
            <w:top w:w="15" w:type="dxa"/>
            <w:left w:w="15" w:type="dxa"/>
            <w:bottom w:w="15" w:type="dxa"/>
            <w:right w:w="15" w:type="dxa"/>
          </w:tblCellMar>
        </w:tblPrEx>
        <w:trPr>
          <w:trHeight w:val="48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正大别墅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恂园西里</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鸿泰花园别墅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花语东轩</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华纳豪园</w:t>
            </w:r>
          </w:p>
        </w:tc>
      </w:tr>
      <w:tr>
        <w:tblPrEx>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晓园新村</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嘉德园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贻欣园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恂园里</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世富嘉园</w:t>
            </w:r>
          </w:p>
        </w:tc>
      </w:tr>
      <w:tr>
        <w:tblPrEx>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佳缘公寓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万联别墅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恂园南里</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泰达新天地</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悦蓝轩</w:t>
            </w:r>
          </w:p>
        </w:tc>
      </w:tr>
      <w:tr>
        <w:tblPrEx>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鸿泰公寓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翠园别墅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船舶宿舍</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泰达时代</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悦蓝东轩</w:t>
            </w:r>
          </w:p>
        </w:tc>
      </w:tr>
      <w:tr>
        <w:tblPrEx>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滨海新城</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贻成晓园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华辉小区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银座公寓</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和润园</w:t>
            </w:r>
          </w:p>
        </w:tc>
      </w:tr>
      <w:tr>
        <w:tblPrEx>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芳林泰达园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东方名居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世纪新村</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雅都天元居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博润家园</w:t>
            </w:r>
          </w:p>
        </w:tc>
      </w:tr>
      <w:tr>
        <w:tblPrEx>
          <w:tblCellMar>
            <w:top w:w="15" w:type="dxa"/>
            <w:left w:w="15" w:type="dxa"/>
            <w:bottom w:w="15" w:type="dxa"/>
            <w:right w:w="15" w:type="dxa"/>
          </w:tblCellMar>
        </w:tblPrEx>
        <w:trPr>
          <w:trHeight w:val="286"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海望园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荣鑫园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康翠园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云锦蓝庭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阳光南园</w:t>
            </w:r>
          </w:p>
        </w:tc>
      </w:tr>
      <w:tr>
        <w:tblPrEx>
          <w:tblCellMar>
            <w:top w:w="15" w:type="dxa"/>
            <w:left w:w="15" w:type="dxa"/>
            <w:bottom w:w="15" w:type="dxa"/>
            <w:right w:w="15" w:type="dxa"/>
          </w:tblCellMar>
        </w:tblPrEx>
        <w:trPr>
          <w:trHeight w:val="72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恬园别墅</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阳光花园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银河大厦</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万通华府一期（楠华园）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天成一品一期（天成轩）</w:t>
            </w:r>
          </w:p>
        </w:tc>
      </w:tr>
      <w:tr>
        <w:tblPrEx>
          <w:tblCellMar>
            <w:top w:w="15" w:type="dxa"/>
            <w:left w:w="15" w:type="dxa"/>
            <w:bottom w:w="15" w:type="dxa"/>
            <w:right w:w="15" w:type="dxa"/>
          </w:tblCellMar>
        </w:tblPrEx>
        <w:trPr>
          <w:trHeight w:val="48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东岸名仕花园</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中国塘观山苑</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r>
              <w:rPr>
                <w:rFonts w:hint="eastAsia" w:ascii="宋体" w:hAnsi="宋体" w:cs="Arial"/>
                <w:sz w:val="24"/>
              </w:rPr>
              <w:t>万海华府南苑</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r>
              <w:rPr>
                <w:rFonts w:hint="eastAsia" w:ascii="宋体" w:hAnsi="宋体" w:cs="Arial"/>
                <w:sz w:val="24"/>
              </w:rPr>
              <w:t>万海华府北苑</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r>
              <w:rPr>
                <w:rFonts w:hint="eastAsia" w:ascii="宋体" w:hAnsi="宋体" w:cs="Arial"/>
                <w:sz w:val="24"/>
              </w:rPr>
              <w:t>新华东里</w:t>
            </w:r>
          </w:p>
        </w:tc>
      </w:tr>
      <w:tr>
        <w:tblPrEx>
          <w:tblCellMar>
            <w:top w:w="15" w:type="dxa"/>
            <w:left w:w="15" w:type="dxa"/>
            <w:bottom w:w="15" w:type="dxa"/>
            <w:right w:w="15" w:type="dxa"/>
          </w:tblCellMar>
        </w:tblPrEx>
        <w:trPr>
          <w:trHeight w:val="48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岳阳里平层</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岳阳里高层</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r>
              <w:rPr>
                <w:rFonts w:hint="eastAsia" w:ascii="宋体" w:hAnsi="宋体" w:cs="Arial"/>
                <w:sz w:val="24"/>
              </w:rPr>
              <w:t>鸿运小区</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r>
              <w:rPr>
                <w:rFonts w:hint="eastAsia" w:ascii="宋体" w:hAnsi="宋体" w:cs="Arial"/>
                <w:sz w:val="24"/>
              </w:rPr>
              <w:t>外运25号楼</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r>
              <w:rPr>
                <w:rFonts w:hint="eastAsia" w:ascii="宋体" w:hAnsi="宋体" w:cs="Arial"/>
                <w:sz w:val="24"/>
              </w:rPr>
              <w:t>水线路96号院</w:t>
            </w:r>
          </w:p>
        </w:tc>
      </w:tr>
      <w:tr>
        <w:tblPrEx>
          <w:tblCellMar>
            <w:top w:w="15" w:type="dxa"/>
            <w:left w:w="15" w:type="dxa"/>
            <w:bottom w:w="15" w:type="dxa"/>
            <w:right w:w="15" w:type="dxa"/>
          </w:tblCellMar>
        </w:tblPrEx>
        <w:trPr>
          <w:trHeight w:val="48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朗月轩</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pacing w:line="360" w:lineRule="auto"/>
              <w:jc w:val="center"/>
              <w:rPr>
                <w:rFonts w:ascii="宋体" w:hAnsi="宋体" w:cs="Arial"/>
                <w:sz w:val="24"/>
                <w:szCs w:val="24"/>
              </w:rPr>
            </w:pPr>
            <w:r>
              <w:rPr>
                <w:rFonts w:hint="eastAsia" w:ascii="宋体" w:hAnsi="宋体" w:cs="Arial"/>
                <w:sz w:val="24"/>
              </w:rPr>
              <w:t>星缘轩</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pacing w:line="360" w:lineRule="auto"/>
              <w:jc w:val="center"/>
              <w:rPr>
                <w:rFonts w:ascii="宋体" w:hAnsi="宋体" w:cs="Arial"/>
                <w:sz w:val="24"/>
                <w:szCs w:val="24"/>
              </w:rPr>
            </w:pPr>
            <w:r>
              <w:rPr>
                <w:rFonts w:hint="eastAsia" w:ascii="宋体" w:hAnsi="宋体" w:cs="Arial"/>
                <w:sz w:val="24"/>
              </w:rPr>
              <w:t>星缘东轩</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pacing w:line="360" w:lineRule="auto"/>
              <w:jc w:val="center"/>
              <w:rPr>
                <w:rFonts w:ascii="宋体" w:hAnsi="宋体" w:cs="Arial"/>
                <w:sz w:val="24"/>
                <w:szCs w:val="24"/>
              </w:rPr>
            </w:pPr>
            <w:r>
              <w:rPr>
                <w:rFonts w:hint="eastAsia" w:ascii="宋体" w:hAnsi="宋体" w:cs="Arial"/>
                <w:sz w:val="24"/>
              </w:rPr>
              <w:t>月韵轩</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r>
              <w:rPr>
                <w:rFonts w:hint="eastAsia" w:ascii="宋体" w:hAnsi="宋体" w:cs="Arial"/>
                <w:sz w:val="24"/>
              </w:rPr>
              <w:t>星月轩</w:t>
            </w:r>
          </w:p>
        </w:tc>
      </w:tr>
      <w:tr>
        <w:tblPrEx>
          <w:tblCellMar>
            <w:top w:w="15" w:type="dxa"/>
            <w:left w:w="15" w:type="dxa"/>
            <w:bottom w:w="15" w:type="dxa"/>
            <w:right w:w="15" w:type="dxa"/>
          </w:tblCellMar>
        </w:tblPrEx>
        <w:trPr>
          <w:trHeight w:val="480" w:hRule="atLeast"/>
        </w:trPr>
        <w:tc>
          <w:tcPr>
            <w:tcW w:w="166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widowControl/>
              <w:jc w:val="center"/>
              <w:textAlignment w:val="center"/>
              <w:rPr>
                <w:rFonts w:ascii="宋体" w:hAnsi="宋体" w:cs="Arial"/>
                <w:sz w:val="24"/>
              </w:rPr>
            </w:pPr>
            <w:r>
              <w:rPr>
                <w:rFonts w:hint="eastAsia" w:ascii="宋体" w:hAnsi="宋体" w:cs="Arial"/>
                <w:sz w:val="24"/>
              </w:rPr>
              <w:t>月荣轩</w:t>
            </w: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pacing w:line="360" w:lineRule="auto"/>
              <w:jc w:val="center"/>
              <w:rPr>
                <w:rFonts w:ascii="宋体" w:hAnsi="宋体" w:cs="Arial"/>
                <w:sz w:val="24"/>
              </w:rPr>
            </w:pP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pacing w:line="360" w:lineRule="auto"/>
              <w:jc w:val="center"/>
              <w:rPr>
                <w:rFonts w:ascii="宋体" w:hAnsi="宋体" w:cs="Arial"/>
                <w:sz w:val="24"/>
              </w:rPr>
            </w:pP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spacing w:line="360" w:lineRule="auto"/>
              <w:jc w:val="center"/>
              <w:rPr>
                <w:rFonts w:ascii="宋体" w:hAnsi="宋体" w:cs="Arial"/>
                <w:sz w:val="24"/>
              </w:rPr>
            </w:pPr>
          </w:p>
        </w:tc>
        <w:tc>
          <w:tcPr>
            <w:tcW w:w="166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jc w:val="center"/>
              <w:rPr>
                <w:rFonts w:ascii="宋体" w:hAnsi="宋体" w:cs="Arial"/>
                <w:sz w:val="24"/>
              </w:rPr>
            </w:pPr>
          </w:p>
        </w:tc>
      </w:tr>
    </w:tbl>
    <w:p>
      <w:pPr>
        <w:spacing w:line="360" w:lineRule="auto"/>
        <w:ind w:firstLine="435"/>
        <w:jc w:val="center"/>
        <w:rPr>
          <w:rFonts w:ascii="宋体" w:hAnsi="宋体" w:cs="Arial"/>
          <w:sz w:val="24"/>
          <w:szCs w:val="24"/>
        </w:rPr>
      </w:pPr>
    </w:p>
    <w:p>
      <w:pPr>
        <w:spacing w:line="360" w:lineRule="auto"/>
        <w:ind w:firstLine="435"/>
        <w:rPr>
          <w:rFonts w:ascii="宋体" w:hAnsi="宋体" w:cs="Arial"/>
          <w:sz w:val="24"/>
          <w:szCs w:val="24"/>
        </w:rPr>
      </w:pPr>
      <w:r>
        <w:rPr>
          <w:rFonts w:hint="eastAsia" w:ascii="宋体" w:hAnsi="宋体" w:cs="Arial"/>
          <w:sz w:val="24"/>
          <w:szCs w:val="24"/>
        </w:rPr>
        <w:t>消毒点（共2个）：永莲商城（华润万家）、海晶游乐城</w:t>
      </w:r>
    </w:p>
    <w:p>
      <w:pPr>
        <w:spacing w:line="360" w:lineRule="auto"/>
        <w:jc w:val="center"/>
        <w:rPr>
          <w:rFonts w:ascii="宋体" w:hAnsi="宋体" w:cs="Arial"/>
          <w:b/>
          <w:sz w:val="24"/>
          <w:szCs w:val="24"/>
        </w:rPr>
      </w:pPr>
    </w:p>
    <w:p>
      <w:pPr>
        <w:spacing w:line="360" w:lineRule="auto"/>
        <w:jc w:val="center"/>
        <w:rPr>
          <w:rFonts w:ascii="宋体" w:hAnsi="宋体" w:cs="Arial"/>
          <w:sz w:val="24"/>
          <w:szCs w:val="24"/>
        </w:rPr>
      </w:pPr>
      <w:r>
        <w:rPr>
          <w:rFonts w:hint="eastAsia" w:ascii="宋体" w:hAnsi="宋体" w:cs="Arial"/>
          <w:b/>
          <w:sz w:val="24"/>
          <w:szCs w:val="24"/>
        </w:rPr>
        <w:t>（第二包）</w:t>
      </w:r>
      <w:r>
        <w:rPr>
          <w:rFonts w:hint="eastAsia" w:ascii="宋体" w:hAnsi="宋体" w:cs="Arial"/>
          <w:b/>
          <w:bCs/>
          <w:sz w:val="24"/>
          <w:szCs w:val="24"/>
        </w:rPr>
        <w:t>泰达街</w:t>
      </w:r>
      <w:r>
        <w:rPr>
          <w:rFonts w:hint="eastAsia" w:ascii="宋体" w:hAnsi="宋体" w:cs="Arial"/>
          <w:b/>
          <w:bCs/>
          <w:sz w:val="24"/>
          <w:szCs w:val="24"/>
          <w:lang w:val="en-US" w:eastAsia="zh-CN"/>
        </w:rPr>
        <w:t>工业区</w:t>
      </w:r>
      <w:r>
        <w:rPr>
          <w:rFonts w:hint="eastAsia" w:ascii="宋体" w:hAnsi="宋体" w:cs="Arial"/>
          <w:b/>
          <w:sz w:val="24"/>
          <w:szCs w:val="24"/>
        </w:rPr>
        <w:t>消毒除害地点明细</w:t>
      </w:r>
    </w:p>
    <w:p>
      <w:pPr>
        <w:spacing w:line="360" w:lineRule="auto"/>
        <w:jc w:val="center"/>
        <w:rPr>
          <w:rFonts w:ascii="宋体" w:hAnsi="宋体" w:cs="Arial"/>
          <w:sz w:val="24"/>
          <w:szCs w:val="24"/>
        </w:rPr>
      </w:pPr>
      <w:r>
        <w:rPr>
          <w:rFonts w:hint="eastAsia" w:ascii="宋体" w:hAnsi="宋体" w:cs="Arial"/>
          <w:sz w:val="24"/>
          <w:szCs w:val="24"/>
        </w:rPr>
        <w:t xml:space="preserve"> 居民小区及公寓名称（55个）</w:t>
      </w:r>
    </w:p>
    <w:tbl>
      <w:tblPr>
        <w:tblStyle w:val="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泰丰一期</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泰丰二期</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桐景园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枫景园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傲景苑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润景苑</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楸园别墅</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万通新城国际</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伴景湾家园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国翔公寓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天海公寓</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天江公寓</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天滨公寓</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天润公寓</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天泽公寓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榕景园</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瑞馨公寓</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金域蓝湾</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瑞达公寓</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弘景苑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清兰园</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清竹园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青梅园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丰合园</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泰怡园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天富公寓</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时尚旺角</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汇锦苑</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联发第五街</w:t>
            </w:r>
          </w:p>
        </w:tc>
        <w:tc>
          <w:tcPr>
            <w:tcW w:w="1704" w:type="dxa"/>
            <w:noWrap w:val="0"/>
            <w:vAlign w:val="center"/>
          </w:tcPr>
          <w:p>
            <w:pPr>
              <w:spacing w:line="360" w:lineRule="auto"/>
              <w:jc w:val="center"/>
              <w:rPr>
                <w:rFonts w:ascii="宋体" w:hAnsi="宋体" w:cs="Arial"/>
                <w:sz w:val="24"/>
                <w:szCs w:val="24"/>
              </w:rPr>
            </w:pPr>
            <w:r>
              <w:rPr>
                <w:rFonts w:hint="eastAsia" w:ascii="宋体" w:hAnsi="宋体" w:cs="Arial"/>
                <w:sz w:val="24"/>
                <w:szCs w:val="24"/>
              </w:rPr>
              <w:t>德圣公馆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rPr>
            </w:pPr>
            <w:r>
              <w:rPr>
                <w:rFonts w:hint="eastAsia" w:ascii="宋体" w:hAnsi="宋体" w:cs="Arial"/>
                <w:sz w:val="24"/>
              </w:rPr>
              <w:t>翠亨村</w:t>
            </w:r>
          </w:p>
        </w:tc>
        <w:tc>
          <w:tcPr>
            <w:tcW w:w="1705" w:type="dxa"/>
            <w:noWrap w:val="0"/>
            <w:vAlign w:val="center"/>
          </w:tcPr>
          <w:p>
            <w:pPr>
              <w:spacing w:line="360" w:lineRule="auto"/>
              <w:jc w:val="center"/>
              <w:rPr>
                <w:rFonts w:ascii="宋体" w:hAnsi="宋体" w:cs="Arial"/>
                <w:sz w:val="24"/>
              </w:rPr>
            </w:pPr>
            <w:r>
              <w:rPr>
                <w:rFonts w:hint="eastAsia" w:ascii="宋体" w:hAnsi="宋体" w:cs="Arial"/>
                <w:sz w:val="24"/>
              </w:rPr>
              <w:t>爱丽家园（东西区）</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银河公寓</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蓬仁园</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康馨花园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widowControl/>
              <w:jc w:val="center"/>
              <w:textAlignment w:val="center"/>
              <w:rPr>
                <w:rFonts w:ascii="宋体" w:hAnsi="宋体" w:cs="Arial"/>
                <w:sz w:val="24"/>
              </w:rPr>
            </w:pPr>
            <w:r>
              <w:rPr>
                <w:rFonts w:hint="eastAsia" w:ascii="宋体" w:hAnsi="宋体" w:cs="Arial"/>
                <w:sz w:val="24"/>
              </w:rPr>
              <w:t>贻成园（东西区</w:t>
            </w:r>
            <w:r>
              <w:rPr>
                <w:rFonts w:ascii="宋体" w:hAnsi="宋体" w:cs="Arial"/>
                <w:sz w:val="24"/>
              </w:rPr>
              <w:t>）</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rPr>
              <w:t>雅园</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汇泉园</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中盈小区</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鸿港小区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widowControl/>
              <w:jc w:val="center"/>
              <w:textAlignment w:val="center"/>
              <w:rPr>
                <w:rFonts w:ascii="宋体" w:hAnsi="宋体" w:cs="Arial"/>
                <w:sz w:val="24"/>
              </w:rPr>
            </w:pPr>
            <w:r>
              <w:rPr>
                <w:rFonts w:hint="eastAsia" w:ascii="宋体" w:hAnsi="宋体" w:cs="Arial"/>
                <w:sz w:val="24"/>
              </w:rPr>
              <w:t>南江小区</w:t>
            </w:r>
          </w:p>
        </w:tc>
        <w:tc>
          <w:tcPr>
            <w:tcW w:w="1705" w:type="dxa"/>
            <w:noWrap w:val="0"/>
            <w:vAlign w:val="center"/>
          </w:tcPr>
          <w:p>
            <w:pPr>
              <w:spacing w:line="360" w:lineRule="auto"/>
              <w:jc w:val="center"/>
              <w:rPr>
                <w:rFonts w:ascii="宋体" w:hAnsi="宋体" w:cs="Arial"/>
                <w:sz w:val="24"/>
                <w:szCs w:val="24"/>
              </w:rPr>
            </w:pPr>
            <w:r>
              <w:rPr>
                <w:rFonts w:hint="eastAsia" w:ascii="宋体" w:hAnsi="宋体" w:cs="Arial"/>
                <w:sz w:val="24"/>
              </w:rPr>
              <w:t>鲲鹏苑</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康隆苑</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森泰小区</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东英广场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spacing w:line="360" w:lineRule="auto"/>
              <w:jc w:val="center"/>
              <w:rPr>
                <w:rFonts w:ascii="宋体" w:hAnsi="宋体" w:cs="Arial"/>
                <w:sz w:val="24"/>
              </w:rPr>
            </w:pPr>
            <w:r>
              <w:rPr>
                <w:rFonts w:hint="eastAsia" w:ascii="宋体" w:hAnsi="宋体" w:cs="Arial"/>
                <w:sz w:val="24"/>
              </w:rPr>
              <w:t>银洲公寓</w:t>
            </w:r>
          </w:p>
        </w:tc>
        <w:tc>
          <w:tcPr>
            <w:tcW w:w="1705" w:type="dxa"/>
            <w:noWrap w:val="0"/>
            <w:vAlign w:val="center"/>
          </w:tcPr>
          <w:p>
            <w:pPr>
              <w:spacing w:line="360" w:lineRule="auto"/>
              <w:jc w:val="center"/>
              <w:rPr>
                <w:rFonts w:ascii="宋体" w:hAnsi="宋体" w:cs="Arial"/>
                <w:sz w:val="24"/>
              </w:rPr>
            </w:pPr>
            <w:r>
              <w:rPr>
                <w:rFonts w:hint="eastAsia" w:ascii="宋体" w:hAnsi="宋体" w:cs="Arial"/>
                <w:sz w:val="24"/>
                <w:szCs w:val="24"/>
              </w:rPr>
              <w:t>银珠酒店</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青海园</w:t>
            </w:r>
          </w:p>
        </w:tc>
        <w:tc>
          <w:tcPr>
            <w:tcW w:w="1704" w:type="dxa"/>
            <w:noWrap w:val="0"/>
            <w:vAlign w:val="center"/>
          </w:tcPr>
          <w:p>
            <w:pPr>
              <w:widowControl/>
              <w:jc w:val="center"/>
              <w:textAlignment w:val="center"/>
              <w:rPr>
                <w:rFonts w:ascii="宋体" w:hAnsi="宋体" w:cs="Arial"/>
                <w:sz w:val="24"/>
              </w:rPr>
            </w:pPr>
            <w:r>
              <w:rPr>
                <w:rFonts w:hint="eastAsia" w:ascii="宋体" w:hAnsi="宋体" w:cs="Arial"/>
                <w:sz w:val="24"/>
              </w:rPr>
              <w:t>捷达园</w:t>
            </w:r>
          </w:p>
        </w:tc>
        <w:tc>
          <w:tcPr>
            <w:tcW w:w="1704" w:type="dxa"/>
            <w:noWrap w:val="0"/>
            <w:vAlign w:val="center"/>
          </w:tcPr>
          <w:p>
            <w:pPr>
              <w:widowControl/>
              <w:jc w:val="center"/>
              <w:textAlignment w:val="center"/>
              <w:rPr>
                <w:rFonts w:ascii="宋体" w:hAnsi="宋体" w:cs="Arial"/>
                <w:sz w:val="24"/>
              </w:rPr>
            </w:pPr>
            <w:r>
              <w:rPr>
                <w:rFonts w:hint="eastAsia" w:ascii="宋体" w:hAnsi="宋体" w:cs="Arial"/>
                <w:sz w:val="24"/>
              </w:rPr>
              <w:t>新时代花园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5" w:type="dxa"/>
            <w:noWrap w:val="0"/>
            <w:vAlign w:val="center"/>
          </w:tcPr>
          <w:p>
            <w:pPr>
              <w:widowControl/>
              <w:jc w:val="center"/>
              <w:textAlignment w:val="center"/>
              <w:rPr>
                <w:rFonts w:ascii="宋体" w:hAnsi="宋体" w:cs="Arial"/>
                <w:sz w:val="24"/>
              </w:rPr>
            </w:pPr>
            <w:r>
              <w:rPr>
                <w:rFonts w:hint="eastAsia" w:ascii="宋体" w:hAnsi="宋体" w:cs="Arial"/>
                <w:sz w:val="24"/>
              </w:rPr>
              <w:t>怡宁小区</w:t>
            </w:r>
          </w:p>
        </w:tc>
        <w:tc>
          <w:tcPr>
            <w:tcW w:w="1705" w:type="dxa"/>
            <w:noWrap w:val="0"/>
            <w:vAlign w:val="center"/>
          </w:tcPr>
          <w:p>
            <w:pPr>
              <w:spacing w:line="360" w:lineRule="auto"/>
              <w:jc w:val="center"/>
              <w:rPr>
                <w:rFonts w:ascii="宋体" w:hAnsi="宋体" w:cs="Arial"/>
                <w:sz w:val="24"/>
              </w:rPr>
            </w:pPr>
            <w:r>
              <w:rPr>
                <w:rFonts w:hint="eastAsia" w:ascii="宋体" w:hAnsi="宋体" w:cs="Arial"/>
                <w:sz w:val="24"/>
              </w:rPr>
              <w:t>怡园小区</w:t>
            </w:r>
          </w:p>
        </w:tc>
        <w:tc>
          <w:tcPr>
            <w:tcW w:w="1704" w:type="dxa"/>
            <w:noWrap w:val="0"/>
            <w:vAlign w:val="center"/>
          </w:tcPr>
          <w:p>
            <w:pPr>
              <w:spacing w:line="360" w:lineRule="auto"/>
              <w:jc w:val="center"/>
              <w:rPr>
                <w:rFonts w:ascii="宋体" w:hAnsi="宋体" w:cs="Arial"/>
                <w:sz w:val="24"/>
              </w:rPr>
            </w:pPr>
            <w:r>
              <w:rPr>
                <w:rFonts w:hint="eastAsia" w:ascii="宋体" w:hAnsi="宋体" w:cs="Arial"/>
                <w:sz w:val="24"/>
              </w:rPr>
              <w:t>金色阳光</w:t>
            </w:r>
          </w:p>
        </w:tc>
        <w:tc>
          <w:tcPr>
            <w:tcW w:w="1704" w:type="dxa"/>
            <w:noWrap w:val="0"/>
            <w:vAlign w:val="center"/>
          </w:tcPr>
          <w:p>
            <w:pPr>
              <w:widowControl/>
              <w:jc w:val="center"/>
              <w:textAlignment w:val="center"/>
              <w:rPr>
                <w:rFonts w:ascii="宋体" w:hAnsi="宋体" w:cs="Arial"/>
                <w:sz w:val="24"/>
              </w:rPr>
            </w:pPr>
            <w:r>
              <w:rPr>
                <w:rFonts w:hint="eastAsia" w:ascii="宋体" w:hAnsi="宋体" w:cs="Arial"/>
                <w:sz w:val="24"/>
              </w:rPr>
              <w:t>华馨园</w:t>
            </w:r>
          </w:p>
        </w:tc>
        <w:tc>
          <w:tcPr>
            <w:tcW w:w="1704" w:type="dxa"/>
            <w:noWrap w:val="0"/>
            <w:vAlign w:val="center"/>
          </w:tcPr>
          <w:p>
            <w:pPr>
              <w:widowControl/>
              <w:jc w:val="center"/>
              <w:textAlignment w:val="center"/>
              <w:rPr>
                <w:rFonts w:ascii="宋体" w:hAnsi="宋体" w:cs="Arial"/>
                <w:sz w:val="24"/>
              </w:rPr>
            </w:pPr>
            <w:r>
              <w:rPr>
                <w:rFonts w:hint="eastAsia" w:ascii="宋体" w:hAnsi="宋体" w:cs="Arial"/>
                <w:sz w:val="24"/>
              </w:rPr>
              <w:t>盛泰公寓</w:t>
            </w:r>
          </w:p>
        </w:tc>
      </w:tr>
    </w:tbl>
    <w:p>
      <w:pPr>
        <w:spacing w:line="360" w:lineRule="auto"/>
        <w:ind w:firstLine="435"/>
        <w:rPr>
          <w:rFonts w:ascii="宋体" w:hAnsi="宋体" w:cs="Arial"/>
          <w:sz w:val="24"/>
          <w:szCs w:val="24"/>
        </w:rPr>
      </w:pPr>
      <w:r>
        <w:rPr>
          <w:rFonts w:hint="eastAsia" w:ascii="宋体" w:hAnsi="宋体" w:cs="Arial"/>
          <w:sz w:val="24"/>
          <w:szCs w:val="24"/>
        </w:rPr>
        <w:t>消毒点（共3个）：泰达生活服务中心、财富星座、翠亨广场。</w:t>
      </w:r>
    </w:p>
    <w:p>
      <w:pPr>
        <w:tabs>
          <w:tab w:val="left" w:pos="1146"/>
        </w:tabs>
        <w:spacing w:line="360" w:lineRule="auto"/>
        <w:rPr>
          <w:rFonts w:ascii="宋体" w:hAnsi="宋体" w:cs="Arial"/>
          <w:sz w:val="24"/>
          <w:szCs w:val="24"/>
        </w:rPr>
      </w:pPr>
      <w:r>
        <w:rPr>
          <w:rFonts w:hint="eastAsia" w:ascii="宋体" w:hAnsi="宋体"/>
          <w:sz w:val="24"/>
        </w:rPr>
        <w:t>二、</w:t>
      </w:r>
      <w:r>
        <w:rPr>
          <w:rFonts w:hint="eastAsia" w:ascii="宋体" w:hAnsi="宋体" w:cs="Arial"/>
          <w:sz w:val="24"/>
          <w:szCs w:val="24"/>
        </w:rPr>
        <w:t>其它要求：</w:t>
      </w:r>
    </w:p>
    <w:p>
      <w:pPr>
        <w:tabs>
          <w:tab w:val="left" w:pos="1260"/>
        </w:tabs>
        <w:spacing w:line="360" w:lineRule="auto"/>
        <w:ind w:left="168" w:hanging="168" w:hangingChars="70"/>
        <w:rPr>
          <w:rFonts w:ascii="宋体" w:hAnsi="宋体" w:cs="Arial"/>
          <w:b/>
          <w:sz w:val="24"/>
        </w:rPr>
      </w:pPr>
      <w:r>
        <w:rPr>
          <w:rFonts w:hint="eastAsia" w:ascii="宋体" w:hAnsi="宋体" w:cs="Arial"/>
          <w:sz w:val="24"/>
        </w:rPr>
        <w:t>1、</w:t>
      </w:r>
      <w:r>
        <w:rPr>
          <w:rFonts w:hint="eastAsia" w:ascii="宋体" w:hAnsi="宋体" w:eastAsia="宋体" w:cs="Times New Roman"/>
          <w:color w:val="auto"/>
        </w:rPr>
        <w:t>★</w:t>
      </w:r>
      <w:r>
        <w:rPr>
          <w:rFonts w:hint="eastAsia" w:ascii="宋体" w:hAnsi="宋体" w:cs="Arial"/>
          <w:b/>
          <w:sz w:val="24"/>
          <w:lang w:val="en-US" w:eastAsia="zh-CN"/>
        </w:rPr>
        <w:t>供应商</w:t>
      </w:r>
      <w:r>
        <w:rPr>
          <w:rFonts w:hint="eastAsia" w:ascii="宋体" w:hAnsi="宋体" w:cs="Arial"/>
          <w:b/>
          <w:sz w:val="24"/>
        </w:rPr>
        <w:t>须承诺</w:t>
      </w:r>
      <w:r>
        <w:rPr>
          <w:rFonts w:hint="eastAsia" w:ascii="宋体" w:hAnsi="宋体" w:cs="Arial"/>
          <w:b/>
          <w:sz w:val="24"/>
          <w:lang w:val="en-US" w:eastAsia="zh-CN"/>
        </w:rPr>
        <w:t>成交后</w:t>
      </w:r>
      <w:r>
        <w:rPr>
          <w:rFonts w:hint="eastAsia" w:ascii="宋体" w:hAnsi="宋体" w:cs="Arial"/>
          <w:b/>
          <w:sz w:val="24"/>
        </w:rPr>
        <w:t>在开发区</w:t>
      </w:r>
      <w:r>
        <w:rPr>
          <w:rFonts w:hint="eastAsia" w:ascii="宋体" w:hAnsi="宋体" w:cs="Arial"/>
          <w:b/>
          <w:sz w:val="24"/>
          <w:lang w:val="en-US" w:eastAsia="zh-CN"/>
        </w:rPr>
        <w:t>设</w:t>
      </w:r>
      <w:r>
        <w:rPr>
          <w:rFonts w:hint="eastAsia" w:ascii="宋体" w:hAnsi="宋体" w:cs="Arial"/>
          <w:b/>
          <w:sz w:val="24"/>
        </w:rPr>
        <w:t>有固定仓库和办公地点，且适合药品存放</w:t>
      </w:r>
      <w:r>
        <w:rPr>
          <w:rFonts w:hint="eastAsia" w:ascii="宋体" w:hAnsi="宋体" w:cs="Arial"/>
          <w:b/>
          <w:sz w:val="24"/>
          <w:lang w:eastAsia="zh-CN"/>
        </w:rPr>
        <w:t>。</w:t>
      </w:r>
      <w:r>
        <w:rPr>
          <w:rFonts w:hint="eastAsia" w:ascii="宋体" w:hAnsi="宋体" w:cs="Arial"/>
          <w:b/>
          <w:sz w:val="24"/>
          <w:lang w:val="en-US" w:eastAsia="zh-CN"/>
        </w:rPr>
        <w:t>如供应商</w:t>
      </w:r>
      <w:r>
        <w:rPr>
          <w:rFonts w:hint="eastAsia" w:ascii="宋体" w:hAnsi="宋体" w:cs="Arial"/>
          <w:b/>
          <w:sz w:val="24"/>
        </w:rPr>
        <w:t>在开发区</w:t>
      </w:r>
      <w:r>
        <w:rPr>
          <w:rFonts w:hint="eastAsia" w:ascii="宋体" w:hAnsi="宋体" w:cs="Arial"/>
          <w:b/>
          <w:sz w:val="24"/>
          <w:lang w:val="en-US" w:eastAsia="zh-CN"/>
        </w:rPr>
        <w:t>已经具备</w:t>
      </w:r>
      <w:r>
        <w:rPr>
          <w:rFonts w:hint="eastAsia" w:ascii="宋体" w:hAnsi="宋体" w:cs="Arial"/>
          <w:b/>
          <w:sz w:val="24"/>
        </w:rPr>
        <w:t>固定仓库和办公地点</w:t>
      </w:r>
      <w:r>
        <w:rPr>
          <w:rFonts w:hint="eastAsia" w:ascii="宋体" w:hAnsi="宋体" w:cs="Arial"/>
          <w:b/>
          <w:sz w:val="24"/>
          <w:lang w:val="en-US" w:eastAsia="zh-CN"/>
        </w:rPr>
        <w:t>的，磋商时</w:t>
      </w:r>
      <w:r>
        <w:rPr>
          <w:rFonts w:hint="eastAsia" w:ascii="宋体" w:hAnsi="宋体" w:cs="Arial"/>
          <w:b/>
          <w:sz w:val="24"/>
        </w:rPr>
        <w:t>须提供房屋租赁合同或房屋产权证</w:t>
      </w:r>
      <w:r>
        <w:rPr>
          <w:rFonts w:hint="eastAsia" w:ascii="宋体" w:hAnsi="宋体" w:cs="Arial"/>
          <w:b/>
          <w:sz w:val="24"/>
          <w:lang w:val="en-US" w:eastAsia="zh-CN"/>
        </w:rPr>
        <w:t>复印件并加盖供应商公章附在技术标中</w:t>
      </w:r>
      <w:r>
        <w:rPr>
          <w:rFonts w:hint="eastAsia" w:ascii="宋体" w:hAnsi="宋体" w:cs="Arial"/>
          <w:b/>
          <w:sz w:val="24"/>
        </w:rPr>
        <w:t>。如成交后经采购人审查，面积和环境不适合存放</w:t>
      </w:r>
      <w:r>
        <w:rPr>
          <w:rFonts w:hint="eastAsia" w:ascii="宋体" w:hAnsi="宋体" w:cs="Arial"/>
          <w:b/>
          <w:sz w:val="24"/>
          <w:lang w:val="en-US" w:eastAsia="zh-CN"/>
        </w:rPr>
        <w:t>药</w:t>
      </w:r>
      <w:r>
        <w:rPr>
          <w:rFonts w:hint="eastAsia" w:ascii="宋体" w:hAnsi="宋体" w:cs="Arial"/>
          <w:b/>
          <w:sz w:val="24"/>
        </w:rPr>
        <w:t>品或办公，须按采购人要求进行更换，否则视为虚假承诺。</w:t>
      </w:r>
    </w:p>
    <w:p>
      <w:pPr>
        <w:tabs>
          <w:tab w:val="left" w:pos="1260"/>
        </w:tabs>
        <w:spacing w:line="360" w:lineRule="auto"/>
        <w:rPr>
          <w:rFonts w:ascii="宋体" w:hAnsi="宋体" w:cs="Arial"/>
          <w:sz w:val="24"/>
        </w:rPr>
      </w:pPr>
      <w:r>
        <w:rPr>
          <w:rFonts w:hint="eastAsia" w:ascii="宋体" w:hAnsi="宋体" w:cs="Arial"/>
          <w:sz w:val="24"/>
        </w:rPr>
        <w:t>2、</w:t>
      </w:r>
      <w:r>
        <w:rPr>
          <w:rFonts w:hint="eastAsia" w:ascii="宋体" w:hAnsi="宋体" w:cs="Arial"/>
          <w:sz w:val="24"/>
          <w:szCs w:val="22"/>
          <w:lang w:val="en-US" w:eastAsia="zh-CN"/>
        </w:rPr>
        <w:t>供应商</w:t>
      </w:r>
      <w:r>
        <w:rPr>
          <w:rFonts w:hint="eastAsia" w:ascii="宋体" w:hAnsi="宋体" w:cs="Arial"/>
          <w:sz w:val="24"/>
        </w:rPr>
        <w:t>须提供对消毒地点的地点、消杀需求和消</w:t>
      </w:r>
      <w:bookmarkStart w:id="0" w:name="_GoBack"/>
      <w:bookmarkEnd w:id="0"/>
      <w:r>
        <w:rPr>
          <w:rFonts w:hint="eastAsia" w:ascii="宋体" w:hAnsi="宋体" w:cs="Arial"/>
          <w:sz w:val="24"/>
        </w:rPr>
        <w:t>杀重点等情况进行描述。包括但不限于（1）概况（如小区类型：别墅区、高层区等）（2）消杀地点的垃圾桶数量等。</w:t>
      </w:r>
    </w:p>
    <w:p>
      <w:pPr>
        <w:rPr>
          <w:rFonts w:ascii="宋体" w:hAnsi="宋体" w:cs="Arial"/>
          <w:sz w:val="24"/>
        </w:rPr>
      </w:pPr>
      <w:r>
        <w:rPr>
          <w:rFonts w:hint="eastAsia" w:ascii="宋体" w:hAnsi="宋体" w:cs="Arial"/>
          <w:sz w:val="24"/>
        </w:rPr>
        <w:t>3、</w:t>
      </w:r>
      <w:r>
        <w:rPr>
          <w:rFonts w:hint="eastAsia" w:ascii="宋体" w:hAnsi="宋体" w:cs="Arial"/>
          <w:sz w:val="24"/>
          <w:szCs w:val="22"/>
          <w:lang w:val="en-US" w:eastAsia="zh-CN"/>
        </w:rPr>
        <w:t>供应商</w:t>
      </w:r>
      <w:r>
        <w:rPr>
          <w:rFonts w:hint="eastAsia" w:ascii="宋体" w:hAnsi="宋体" w:cs="Arial"/>
          <w:sz w:val="24"/>
        </w:rPr>
        <w:t>须对每种害虫防治的周期安排进行描述，此安排须符合害虫的生长规律。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宋体"/>
    <w:panose1 w:val="00000000000000000000"/>
    <w:charset w:val="86"/>
    <w:family w:val="roma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dit="readOnly" w:enforcement="1" w:cryptProviderType="rsaFull" w:cryptAlgorithmClass="hash" w:cryptAlgorithmType="typeAny" w:cryptAlgorithmSid="4" w:cryptSpinCount="0" w:hash="FCtOO1RLsoW8FBLHhnn63AdZaZ8=" w:salt="9OsBx70zvXvU+6ycD1kRmA=="/>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C1B23"/>
    <w:rsid w:val="07644E3D"/>
    <w:rsid w:val="077F12F6"/>
    <w:rsid w:val="0BB577E9"/>
    <w:rsid w:val="0C1117C1"/>
    <w:rsid w:val="109C764C"/>
    <w:rsid w:val="11653350"/>
    <w:rsid w:val="1AEA154C"/>
    <w:rsid w:val="1D736715"/>
    <w:rsid w:val="1DA505D6"/>
    <w:rsid w:val="1FE1537C"/>
    <w:rsid w:val="232C1B23"/>
    <w:rsid w:val="2625111C"/>
    <w:rsid w:val="265C4688"/>
    <w:rsid w:val="285910C7"/>
    <w:rsid w:val="2B195136"/>
    <w:rsid w:val="2C0473BE"/>
    <w:rsid w:val="363D6A69"/>
    <w:rsid w:val="47AD4355"/>
    <w:rsid w:val="4D3C186F"/>
    <w:rsid w:val="558D5370"/>
    <w:rsid w:val="5734619F"/>
    <w:rsid w:val="5C3811D9"/>
    <w:rsid w:val="5CCF1D4A"/>
    <w:rsid w:val="5D1A2671"/>
    <w:rsid w:val="5D4B2826"/>
    <w:rsid w:val="5DA6573C"/>
    <w:rsid w:val="66347184"/>
    <w:rsid w:val="68F86869"/>
    <w:rsid w:val="74E345B1"/>
    <w:rsid w:val="75BC3E91"/>
    <w:rsid w:val="772E2459"/>
    <w:rsid w:val="7CDC4D50"/>
    <w:rsid w:val="7ED5373E"/>
    <w:rsid w:val="7F82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Default"/>
    <w:qFormat/>
    <w:uiPriority w:val="0"/>
    <w:pPr>
      <w:widowControl w:val="0"/>
      <w:autoSpaceDE w:val="0"/>
      <w:autoSpaceDN w:val="0"/>
      <w:adjustRightInd w:val="0"/>
    </w:pPr>
    <w:rPr>
      <w:rFonts w:ascii="......." w:hAnsi="......." w:eastAsia="......." w:cs="......."/>
      <w:color w:val="00000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2020-08-07T08:03:00Z</dcterms:created>
  <dc:creator>蜜じòぴé.X</dc:creator>
  <cp:lastModifiedBy>蜜じòぴé.X</cp:lastModifiedBy>
  <cp:lastPrinted>2020-08-07T09:11:00Z</cp:lastPrinted>
  <dcterms:modified xsi:type="dcterms:W3CDTF">2020-08-10T06:31:29Z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