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line="360" w:lineRule="atLeast"/>
        <w:ind w:firstLine="0"/>
        <w:jc w:val="center"/>
        <w:rPr>
          <w:rFonts w:hint="eastAsia" w:ascii="黑体" w:eastAsia="黑体"/>
          <w:kern w:val="0"/>
          <w:sz w:val="36"/>
          <w:szCs w:val="20"/>
        </w:rPr>
      </w:pPr>
      <w:bookmarkStart w:id="0" w:name="_GoBack"/>
      <w:bookmarkEnd w:id="0"/>
      <w:r>
        <w:rPr>
          <w:rFonts w:hint="eastAsia" w:ascii="黑体" w:eastAsia="黑体"/>
          <w:kern w:val="0"/>
          <w:sz w:val="36"/>
          <w:szCs w:val="20"/>
        </w:rPr>
        <w:t>技术需求</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cs="宋体"/>
          <w:color w:val="auto"/>
          <w:kern w:val="0"/>
          <w:sz w:val="24"/>
          <w:szCs w:val="24"/>
          <w:highlight w:val="none"/>
          <w:lang w:eastAsia="zh-CN" w:bidi="ar"/>
        </w:rPr>
        <w:t>一</w:t>
      </w:r>
      <w:r>
        <w:rPr>
          <w:rFonts w:hint="eastAsia" w:ascii="宋体" w:hAnsi="宋体" w:eastAsia="宋体" w:cs="宋体"/>
          <w:color w:val="auto"/>
          <w:kern w:val="0"/>
          <w:sz w:val="24"/>
          <w:szCs w:val="24"/>
          <w:highlight w:val="none"/>
          <w:lang w:bidi="ar"/>
        </w:rPr>
        <w:t>、项目概况</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十三五”期间静海区人口老龄化程度呈加快趋势，“未备先老”、“未富先老”、“未老先衰”的形势依然严峻，全区老年人口高龄化、失能化、失智化的态势日益呈现。面对静海区人口老龄化严峻形势，静海区委、区政府坚持以习近平新时代中国特色社会主义思想为指导，认真贯彻落实习近平总书记对民政工作的指示精神，把养老服务改革发展和养老服务体系建设作为重要的民生工作，通过《静海区养老服务设施专项规划》制定与落实，有效破解养老工作瓶颈，充分激发市场活力，不断提升服务质量，加快建设居家社区机构相协调，医养康养相结合的养老服务体系。</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cs="宋体"/>
          <w:color w:val="auto"/>
          <w:kern w:val="0"/>
          <w:sz w:val="24"/>
          <w:szCs w:val="24"/>
          <w:highlight w:val="none"/>
          <w:lang w:eastAsia="zh-CN" w:bidi="ar"/>
        </w:rPr>
        <w:t>二</w:t>
      </w:r>
      <w:r>
        <w:rPr>
          <w:rFonts w:hint="eastAsia" w:ascii="宋体" w:hAnsi="宋体" w:eastAsia="宋体" w:cs="宋体"/>
          <w:color w:val="auto"/>
          <w:kern w:val="0"/>
          <w:sz w:val="24"/>
          <w:szCs w:val="24"/>
          <w:highlight w:val="none"/>
          <w:lang w:bidi="ar"/>
        </w:rPr>
        <w:t>、项目目标</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本次规划以天津市“十四五”为引领，以“中长期”规划为战略，以养老服务发展为主线，涵盖养老服务体系建设规划，为养老服务设施及产业发展提出指导性方向及建议，以保障基本、适度高端、城乡统筹、养医结合、促进消费、产业发展的基本原则，通过规划，进一步分析我区养老服务发展现状，理清中长期养老服务体系建设思路，提出养老服务设施发展目标，依托我区优势环境和地理，为我区养老产业全面发展提供战略指导；为政府和行业管理部门有关养老服务发展决策提供依据；为静海区养老服务体系、设施、产业发展提出目标和要求；为保障基本养老服务全面覆盖提出要求。</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cs="宋体"/>
          <w:color w:val="auto"/>
          <w:kern w:val="0"/>
          <w:sz w:val="24"/>
          <w:szCs w:val="24"/>
          <w:highlight w:val="none"/>
          <w:lang w:eastAsia="zh-CN" w:bidi="ar"/>
        </w:rPr>
        <w:t>三</w:t>
      </w:r>
      <w:r>
        <w:rPr>
          <w:rFonts w:hint="eastAsia" w:ascii="宋体" w:hAnsi="宋体" w:eastAsia="宋体" w:cs="宋体"/>
          <w:color w:val="auto"/>
          <w:kern w:val="0"/>
          <w:sz w:val="24"/>
          <w:szCs w:val="24"/>
          <w:highlight w:val="none"/>
          <w:lang w:bidi="ar"/>
        </w:rPr>
        <w:t>、项目内容</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采购内容：规划期限为2021年至2035年，本次规划以中长期为战略，短期内对接</w:t>
      </w:r>
      <w:r>
        <w:rPr>
          <w:rFonts w:hint="eastAsia" w:ascii="宋体" w:hAnsi="宋体" w:cs="宋体"/>
          <w:color w:val="auto"/>
          <w:kern w:val="0"/>
          <w:sz w:val="24"/>
          <w:szCs w:val="24"/>
          <w:highlight w:val="none"/>
          <w:lang w:eastAsia="zh-CN" w:bidi="ar"/>
        </w:rPr>
        <w:t>十</w:t>
      </w:r>
      <w:r>
        <w:rPr>
          <w:rFonts w:hint="eastAsia" w:ascii="宋体" w:hAnsi="宋体" w:eastAsia="宋体" w:cs="宋体"/>
          <w:color w:val="auto"/>
          <w:kern w:val="0"/>
          <w:sz w:val="24"/>
          <w:szCs w:val="24"/>
          <w:highlight w:val="none"/>
          <w:lang w:bidi="ar"/>
        </w:rPr>
        <w:t>四五发展，所以在规划过程中，分为2025和2035两个阶段。规划编制主要包括：规划文本、规划说明书、规划布局图等三部分内容。规划文本主要包括：规划总则、现状分析、养老服务体系建设、养老服务设施分类分级与配建标准、资源整合及供给优化、完善社区养老服务设施配置、区域各类养老服务设施规划布局（包含新建设施和老旧设施提质改造）、养老服务设施空间优化策略、养老产业发展建议、老年宜居环境建设、近期建设和规划实施建议等内容。规划说明书是在规划文本的基础上，对各板块内容进行详细说明，提出规划思路、依据以及测算过程。根据实际情况展开相关专题研究。规划布局图包括：相关分析图、各类养老服务设施现状分布图、区域养老服务设施规划布局图等。</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通过现场调研、部门和公众意愿调查，同时依据国家、天津市相关政策，对区域范围内人口老龄化现状、养老服务体系建设现状、养老服务设施发展现状、养老服务产业发展现状、老年人口多层次养老服务需求等方面进行科学梳理、综合分析，总结剖析现状特征及存在的问题，同时对国内养老服务体系建设经验、人口老龄化与养老服务发展趋势进行整体分析。</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加强养老服务设施建设，按照人口老龄化发展趋势及老年人口结构，明确养老服务设施建设标准、功能分级分类标准，提出区域各类养老服务设施建设目标、养老服务床位发展指标，对各类养老服务设施进行规划布局，并制定相应图则。</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分析区域生态、环境、产业、经济等特色优势，提出激发养老服务消费市场活力、加强养医康结合、推动区域经济发展相关措施。</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cs="宋体"/>
          <w:color w:val="auto"/>
          <w:kern w:val="0"/>
          <w:sz w:val="24"/>
          <w:szCs w:val="24"/>
          <w:highlight w:val="none"/>
          <w:lang w:eastAsia="zh-CN" w:bidi="ar"/>
        </w:rPr>
        <w:t>四</w:t>
      </w:r>
      <w:r>
        <w:rPr>
          <w:rFonts w:hint="eastAsia" w:ascii="宋体" w:hAnsi="宋体" w:eastAsia="宋体" w:cs="宋体"/>
          <w:color w:val="auto"/>
          <w:kern w:val="0"/>
          <w:sz w:val="24"/>
          <w:szCs w:val="24"/>
          <w:highlight w:val="none"/>
          <w:lang w:bidi="ar"/>
        </w:rPr>
        <w:t>、工作要求</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1.设计规划机构应熟悉养老项目的相关政策规定及规划类项目工作程序，具有丰富的养老康养规划经验，对养老需求、康养要素理解透彻，方案科学合规，且对民政养老服务有深入研究。</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2.设计规划机构须拥有足够的人力、财力和服务能力等资源，保质保量完成设计规划工作。所有因为规划工作产生的费用开支（含差旅费等）均由中标人自理。</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3.有健全的档案管理制度，妥善保管评估过程中的所有文件资料，并配有相应的风险管理、质量控制等项目管理文件。</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hint="eastAsia"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4.工作结束后，机构应向区民政局提供评估报告和相关资料，按要求进行整理和归档。机构对规划过程的相关情况负有保密责任，应采取有保障的措施和办法，严格保守被评估单位的秘密，不得将相关资料向外泄露。</w:t>
      </w:r>
    </w:p>
    <w:p>
      <w:pPr>
        <w:keepNext w:val="0"/>
        <w:keepLines w:val="0"/>
        <w:pageBreakBefore w:val="0"/>
        <w:widowControl w:val="0"/>
        <w:kinsoku/>
        <w:wordWrap/>
        <w:overflowPunct/>
        <w:topLinePunct w:val="0"/>
        <w:autoSpaceDE/>
        <w:autoSpaceDN/>
        <w:bidi w:val="0"/>
        <w:adjustRightInd/>
        <w:snapToGrid/>
        <w:spacing w:line="460" w:lineRule="atLeast"/>
        <w:ind w:firstLine="480" w:firstLineChars="200"/>
        <w:textAlignment w:val="auto"/>
        <w:rPr>
          <w:rFonts w:ascii="宋体" w:hAnsi="宋体" w:eastAsia="宋体" w:cs="宋体"/>
          <w:color w:val="auto"/>
          <w:kern w:val="0"/>
          <w:sz w:val="24"/>
          <w:szCs w:val="24"/>
          <w:highlight w:val="none"/>
          <w:lang w:bidi="ar"/>
        </w:rPr>
      </w:pPr>
      <w:r>
        <w:rPr>
          <w:rFonts w:hint="eastAsia" w:ascii="宋体" w:hAnsi="宋体" w:eastAsia="宋体" w:cs="宋体"/>
          <w:color w:val="auto"/>
          <w:kern w:val="0"/>
          <w:sz w:val="24"/>
          <w:szCs w:val="24"/>
          <w:highlight w:val="none"/>
          <w:lang w:bidi="ar"/>
        </w:rPr>
        <w:t>5.凡与承接项目或工作存在利益相关关系的社会组织，不得承接本评估项目。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32F89"/>
    <w:rsid w:val="4232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杨晓彤</cp:lastModifiedBy>
  <dcterms:modified xsi:type="dcterms:W3CDTF">2020-08-19T06:32:09Z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