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line="480" w:lineRule="exact"/>
        <w:jc w:val="center"/>
        <w:textAlignment w:val="auto"/>
        <w:rPr>
          <w:rFonts w:ascii="宋体" w:hAnsi="宋体"/>
          <w:sz w:val="36"/>
          <w:szCs w:val="36"/>
        </w:rPr>
      </w:pPr>
      <w:r>
        <w:rPr>
          <w:rFonts w:hint="eastAsia" w:ascii="宋体" w:hAnsi="宋体"/>
          <w:sz w:val="36"/>
          <w:szCs w:val="36"/>
        </w:rPr>
        <w:t>2020年天津市东丽区疫情防控能力提升建设（疾控中心实验室建设能力提升）购置</w:t>
      </w:r>
      <w:r>
        <w:rPr>
          <w:rFonts w:hint="eastAsia" w:ascii="宋体" w:hAnsi="宋体"/>
          <w:sz w:val="36"/>
          <w:szCs w:val="36"/>
          <w:lang w:eastAsia="zh-CN"/>
        </w:rPr>
        <w:t>不间断电源</w:t>
      </w:r>
      <w:r>
        <w:rPr>
          <w:rFonts w:hint="eastAsia" w:ascii="宋体" w:hAnsi="宋体"/>
          <w:sz w:val="36"/>
          <w:szCs w:val="36"/>
        </w:rPr>
        <w:t>设备采购项目需求书</w:t>
      </w:r>
    </w:p>
    <w:p>
      <w:pPr>
        <w:spacing w:line="340" w:lineRule="exact"/>
        <w:rPr>
          <w:rFonts w:ascii="宋体" w:hAnsi="宋体"/>
          <w:sz w:val="24"/>
        </w:rPr>
      </w:pPr>
      <w:r>
        <w:rPr>
          <w:rFonts w:hint="eastAsia" w:ascii="宋体" w:hAnsi="宋体"/>
          <w:sz w:val="24"/>
        </w:rPr>
        <w:t>一、商务需求</w:t>
      </w:r>
    </w:p>
    <w:p>
      <w:pPr>
        <w:spacing w:line="340" w:lineRule="exact"/>
        <w:rPr>
          <w:rFonts w:ascii="宋体" w:hAnsi="宋体"/>
          <w:sz w:val="24"/>
        </w:rPr>
      </w:pPr>
      <w:r>
        <w:rPr>
          <w:rFonts w:hint="eastAsia" w:ascii="宋体" w:hAnsi="宋体"/>
          <w:sz w:val="24"/>
        </w:rPr>
        <w:t>1、实质性商务需求</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6138"/>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360" w:lineRule="auto"/>
              <w:jc w:val="center"/>
              <w:rPr>
                <w:rFonts w:ascii="宋体" w:hAnsi="宋体"/>
                <w:szCs w:val="21"/>
              </w:rPr>
            </w:pPr>
            <w:r>
              <w:rPr>
                <w:rFonts w:hint="eastAsia" w:ascii="宋体" w:hAnsi="宋体"/>
                <w:szCs w:val="21"/>
              </w:rPr>
              <w:t>序号</w:t>
            </w:r>
          </w:p>
        </w:tc>
        <w:tc>
          <w:tcPr>
            <w:tcW w:w="6138" w:type="dxa"/>
            <w:vAlign w:val="center"/>
          </w:tcPr>
          <w:p>
            <w:pPr>
              <w:spacing w:line="360" w:lineRule="auto"/>
              <w:jc w:val="center"/>
              <w:rPr>
                <w:rFonts w:ascii="宋体" w:hAnsi="宋体"/>
                <w:szCs w:val="21"/>
              </w:rPr>
            </w:pPr>
            <w:r>
              <w:rPr>
                <w:rFonts w:hint="eastAsia" w:ascii="宋体" w:hAnsi="宋体"/>
                <w:szCs w:val="21"/>
              </w:rPr>
              <w:t>需求条款</w:t>
            </w:r>
          </w:p>
        </w:tc>
        <w:tc>
          <w:tcPr>
            <w:tcW w:w="1556" w:type="dxa"/>
            <w:vAlign w:val="center"/>
          </w:tcPr>
          <w:p>
            <w:pPr>
              <w:spacing w:line="360" w:lineRule="auto"/>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360" w:lineRule="auto"/>
              <w:jc w:val="center"/>
              <w:rPr>
                <w:rFonts w:ascii="宋体" w:hAnsi="宋体"/>
                <w:szCs w:val="21"/>
              </w:rPr>
            </w:pPr>
            <w:r>
              <w:rPr>
                <w:rFonts w:hint="eastAsia" w:ascii="宋体" w:hAnsi="宋体"/>
                <w:szCs w:val="21"/>
              </w:rPr>
              <w:t>1</w:t>
            </w:r>
          </w:p>
        </w:tc>
        <w:tc>
          <w:tcPr>
            <w:tcW w:w="6138" w:type="dxa"/>
          </w:tcPr>
          <w:p>
            <w:pPr>
              <w:tabs>
                <w:tab w:val="left" w:pos="1080"/>
                <w:tab w:val="left" w:pos="1260"/>
                <w:tab w:val="left" w:pos="7120"/>
              </w:tabs>
              <w:spacing w:line="400" w:lineRule="exact"/>
              <w:rPr>
                <w:rFonts w:ascii="宋体" w:hAnsi="宋体"/>
                <w:szCs w:val="21"/>
              </w:rPr>
            </w:pPr>
            <w:r>
              <w:rPr>
                <w:rFonts w:hint="eastAsia" w:ascii="宋体" w:hAnsi="宋体" w:cs="宋体"/>
                <w:color w:val="000000"/>
                <w:szCs w:val="21"/>
              </w:rPr>
              <w:t>投标人需提供营业执照副本</w:t>
            </w:r>
            <w:r>
              <w:rPr>
                <w:rFonts w:hint="eastAsia" w:ascii="宋体" w:hAnsi="宋体"/>
                <w:color w:val="000000"/>
                <w:szCs w:val="21"/>
              </w:rPr>
              <w:t>；</w:t>
            </w:r>
          </w:p>
        </w:tc>
        <w:tc>
          <w:tcPr>
            <w:tcW w:w="1556" w:type="dxa"/>
            <w:vAlign w:val="center"/>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360" w:lineRule="auto"/>
              <w:jc w:val="center"/>
              <w:rPr>
                <w:rFonts w:ascii="宋体" w:hAnsi="宋体"/>
                <w:szCs w:val="21"/>
              </w:rPr>
            </w:pPr>
            <w:r>
              <w:rPr>
                <w:rFonts w:hint="eastAsia" w:ascii="宋体" w:hAnsi="宋体"/>
                <w:szCs w:val="21"/>
              </w:rPr>
              <w:t>2</w:t>
            </w:r>
          </w:p>
        </w:tc>
        <w:tc>
          <w:tcPr>
            <w:tcW w:w="6138" w:type="dxa"/>
          </w:tcPr>
          <w:p>
            <w:pPr>
              <w:tabs>
                <w:tab w:val="left" w:pos="1080"/>
                <w:tab w:val="left" w:pos="1260"/>
                <w:tab w:val="left" w:pos="7120"/>
              </w:tabs>
              <w:spacing w:line="400" w:lineRule="exact"/>
              <w:rPr>
                <w:rFonts w:ascii="宋体" w:hAnsi="宋体" w:cs="宋体"/>
                <w:szCs w:val="21"/>
              </w:rPr>
            </w:pPr>
            <w:r>
              <w:rPr>
                <w:rFonts w:hint="eastAsia" w:ascii="宋体" w:hAnsi="宋体" w:cs="宋体"/>
                <w:szCs w:val="21"/>
              </w:rPr>
              <w:t>法定代表人资格证明书及法人身份证复印件加盖公章；</w:t>
            </w:r>
          </w:p>
        </w:tc>
        <w:tc>
          <w:tcPr>
            <w:tcW w:w="1556" w:type="dxa"/>
            <w:vAlign w:val="center"/>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360" w:lineRule="auto"/>
              <w:jc w:val="center"/>
              <w:rPr>
                <w:rFonts w:ascii="宋体" w:hAnsi="宋体"/>
                <w:szCs w:val="21"/>
              </w:rPr>
            </w:pPr>
            <w:r>
              <w:rPr>
                <w:rFonts w:hint="eastAsia" w:ascii="宋体" w:hAnsi="宋体"/>
                <w:szCs w:val="21"/>
              </w:rPr>
              <w:t>3</w:t>
            </w:r>
          </w:p>
        </w:tc>
        <w:tc>
          <w:tcPr>
            <w:tcW w:w="6138" w:type="dxa"/>
          </w:tcPr>
          <w:p>
            <w:pPr>
              <w:spacing w:line="360" w:lineRule="auto"/>
              <w:rPr>
                <w:rFonts w:ascii="宋体" w:hAnsi="宋体" w:cs="宋体"/>
                <w:szCs w:val="21"/>
              </w:rPr>
            </w:pPr>
            <w:r>
              <w:rPr>
                <w:rFonts w:hint="eastAsia" w:ascii="宋体" w:hAnsi="宋体" w:cs="宋体"/>
                <w:szCs w:val="21"/>
              </w:rPr>
              <w:t>法定代表人代表盖章的对参加本工程项目投标的受委托人的有效授权委托书；</w:t>
            </w:r>
          </w:p>
        </w:tc>
        <w:tc>
          <w:tcPr>
            <w:tcW w:w="1556" w:type="dxa"/>
            <w:vAlign w:val="center"/>
          </w:tcPr>
          <w:p>
            <w:pPr>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360" w:lineRule="auto"/>
              <w:jc w:val="center"/>
              <w:rPr>
                <w:rFonts w:ascii="宋体" w:hAnsi="宋体"/>
                <w:szCs w:val="21"/>
              </w:rPr>
            </w:pPr>
            <w:r>
              <w:rPr>
                <w:rFonts w:hint="eastAsia" w:ascii="宋体" w:hAnsi="宋体"/>
                <w:szCs w:val="21"/>
              </w:rPr>
              <w:t>4</w:t>
            </w:r>
          </w:p>
        </w:tc>
        <w:tc>
          <w:tcPr>
            <w:tcW w:w="6138" w:type="dxa"/>
          </w:tcPr>
          <w:p>
            <w:pPr>
              <w:spacing w:line="360" w:lineRule="auto"/>
              <w:rPr>
                <w:rFonts w:ascii="宋体" w:hAnsi="宋体" w:cs="宋体"/>
                <w:szCs w:val="21"/>
              </w:rPr>
            </w:pPr>
            <w:r>
              <w:rPr>
                <w:rFonts w:hint="eastAsia" w:ascii="宋体" w:hAnsi="宋体" w:cs="宋体"/>
                <w:szCs w:val="21"/>
              </w:rPr>
              <w:t>不接受联合体投标。</w:t>
            </w:r>
          </w:p>
        </w:tc>
        <w:tc>
          <w:tcPr>
            <w:tcW w:w="1556" w:type="dxa"/>
            <w:vAlign w:val="center"/>
          </w:tcPr>
          <w:p>
            <w:pPr>
              <w:spacing w:line="360" w:lineRule="auto"/>
              <w:rPr>
                <w:rFonts w:ascii="宋体" w:hAnsi="宋体"/>
                <w:szCs w:val="21"/>
              </w:rPr>
            </w:pPr>
          </w:p>
        </w:tc>
      </w:tr>
    </w:tbl>
    <w:p>
      <w:pPr>
        <w:spacing w:line="360" w:lineRule="auto"/>
        <w:rPr>
          <w:rFonts w:ascii="宋体" w:hAnsi="宋体"/>
          <w:sz w:val="24"/>
        </w:rPr>
      </w:pPr>
      <w:r>
        <w:rPr>
          <w:rFonts w:hint="eastAsia" w:ascii="宋体" w:hAnsi="宋体"/>
          <w:sz w:val="24"/>
        </w:rPr>
        <w:t>2、一般商务需求</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7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360" w:lineRule="auto"/>
              <w:jc w:val="center"/>
              <w:rPr>
                <w:rFonts w:ascii="宋体" w:hAnsi="宋体"/>
                <w:szCs w:val="21"/>
              </w:rPr>
            </w:pPr>
            <w:r>
              <w:rPr>
                <w:rFonts w:hint="eastAsia" w:ascii="宋体" w:hAnsi="宋体"/>
                <w:szCs w:val="21"/>
              </w:rPr>
              <w:t>序号</w:t>
            </w:r>
          </w:p>
        </w:tc>
        <w:tc>
          <w:tcPr>
            <w:tcW w:w="7694" w:type="dxa"/>
            <w:vAlign w:val="center"/>
          </w:tcPr>
          <w:p>
            <w:pPr>
              <w:spacing w:line="360" w:lineRule="auto"/>
              <w:jc w:val="center"/>
              <w:rPr>
                <w:rFonts w:ascii="宋体" w:hAnsi="宋体"/>
                <w:szCs w:val="21"/>
              </w:rPr>
            </w:pPr>
            <w:r>
              <w:rPr>
                <w:rFonts w:hint="eastAsia" w:ascii="宋体" w:hAnsi="宋体"/>
                <w:szCs w:val="21"/>
              </w:rPr>
              <w:t>需求条款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828" w:type="dxa"/>
            <w:vAlign w:val="center"/>
          </w:tcPr>
          <w:p>
            <w:pPr>
              <w:spacing w:line="360" w:lineRule="auto"/>
              <w:jc w:val="center"/>
              <w:rPr>
                <w:rFonts w:ascii="宋体" w:hAnsi="宋体"/>
                <w:szCs w:val="21"/>
              </w:rPr>
            </w:pPr>
            <w:r>
              <w:rPr>
                <w:rFonts w:hint="eastAsia" w:ascii="宋体" w:hAnsi="宋体"/>
                <w:szCs w:val="21"/>
              </w:rPr>
              <w:t>1</w:t>
            </w:r>
          </w:p>
        </w:tc>
        <w:tc>
          <w:tcPr>
            <w:tcW w:w="7694" w:type="dxa"/>
            <w:vAlign w:val="center"/>
          </w:tcPr>
          <w:p>
            <w:pPr>
              <w:rPr>
                <w:rFonts w:ascii="宋体" w:hAnsi="宋体" w:cs="宋体"/>
                <w:szCs w:val="21"/>
              </w:rPr>
            </w:pPr>
            <w:r>
              <w:rPr>
                <w:rFonts w:hint="eastAsia" w:ascii="宋体" w:hAnsi="宋体"/>
                <w:szCs w:val="21"/>
              </w:rPr>
              <w:t>质保期：投标人须提供所投产品3年的免费上门保修，终身维修，保修期内免费更换零配件。7×24小时技术响应，24小时内维修工程师到达维修现场，保修期自验收合格之日起计算；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2" w:hRule="atLeast"/>
        </w:trPr>
        <w:tc>
          <w:tcPr>
            <w:tcW w:w="828" w:type="dxa"/>
            <w:vAlign w:val="center"/>
          </w:tcPr>
          <w:p>
            <w:pPr>
              <w:spacing w:line="360" w:lineRule="auto"/>
              <w:jc w:val="center"/>
              <w:rPr>
                <w:rFonts w:ascii="宋体" w:hAnsi="宋体"/>
                <w:szCs w:val="21"/>
              </w:rPr>
            </w:pPr>
            <w:r>
              <w:rPr>
                <w:rFonts w:hint="eastAsia" w:ascii="宋体" w:hAnsi="宋体"/>
                <w:szCs w:val="21"/>
              </w:rPr>
              <w:t>2</w:t>
            </w:r>
          </w:p>
        </w:tc>
        <w:tc>
          <w:tcPr>
            <w:tcW w:w="7694" w:type="dxa"/>
            <w:vAlign w:val="center"/>
          </w:tcPr>
          <w:p>
            <w:pPr>
              <w:autoSpaceDE w:val="0"/>
              <w:autoSpaceDN w:val="0"/>
              <w:spacing w:line="360" w:lineRule="auto"/>
              <w:rPr>
                <w:rFonts w:ascii="宋体" w:hAnsi="宋体"/>
                <w:kern w:val="2"/>
                <w:szCs w:val="21"/>
              </w:rPr>
            </w:pPr>
            <w:r>
              <w:rPr>
                <w:rFonts w:hint="eastAsia"/>
                <w:szCs w:val="21"/>
              </w:rPr>
              <w:t>付款方式:  签订合同后货到安装、调试完毕验收合格后支付合同总额的90%，其余合同总额的10%作为质保金，正常使用满一年后15天内一次性付清。（特殊情况以合同为准）  （特殊情况以合同为准）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360" w:lineRule="auto"/>
              <w:jc w:val="center"/>
              <w:rPr>
                <w:rFonts w:ascii="宋体" w:hAnsi="宋体"/>
                <w:szCs w:val="21"/>
              </w:rPr>
            </w:pPr>
            <w:r>
              <w:rPr>
                <w:rFonts w:hint="eastAsia" w:ascii="宋体" w:hAnsi="宋体"/>
                <w:szCs w:val="21"/>
              </w:rPr>
              <w:t>3</w:t>
            </w:r>
          </w:p>
        </w:tc>
        <w:tc>
          <w:tcPr>
            <w:tcW w:w="7694" w:type="dxa"/>
            <w:vAlign w:val="center"/>
          </w:tcPr>
          <w:p>
            <w:pPr>
              <w:rPr>
                <w:szCs w:val="21"/>
              </w:rPr>
            </w:pPr>
            <w:r>
              <w:rPr>
                <w:rFonts w:hint="eastAsia"/>
                <w:szCs w:val="21"/>
              </w:rPr>
              <w:t>投标产品验收及相关费用由投标人负责。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360" w:lineRule="auto"/>
              <w:jc w:val="center"/>
              <w:rPr>
                <w:rFonts w:ascii="宋体" w:hAnsi="宋体"/>
                <w:szCs w:val="21"/>
              </w:rPr>
            </w:pPr>
            <w:r>
              <w:rPr>
                <w:rFonts w:hint="eastAsia" w:ascii="宋体" w:hAnsi="宋体"/>
                <w:szCs w:val="21"/>
              </w:rPr>
              <w:t>4</w:t>
            </w:r>
          </w:p>
        </w:tc>
        <w:tc>
          <w:tcPr>
            <w:tcW w:w="7694" w:type="dxa"/>
            <w:vAlign w:val="center"/>
          </w:tcPr>
          <w:p>
            <w:pPr>
              <w:rPr>
                <w:szCs w:val="21"/>
              </w:rPr>
            </w:pPr>
            <w:r>
              <w:rPr>
                <w:rFonts w:hint="eastAsia"/>
                <w:szCs w:val="21"/>
              </w:rPr>
              <w:t>由采购人自行组织验收，本项目为交钥匙工程，确保新购设备满足甲方要求，正常安装、调试；投标人保证无任何后续附加费用产生；</w:t>
            </w:r>
          </w:p>
        </w:tc>
      </w:tr>
    </w:tbl>
    <w:p>
      <w:pPr>
        <w:spacing w:line="360" w:lineRule="auto"/>
        <w:rPr>
          <w:sz w:val="28"/>
          <w:szCs w:val="28"/>
        </w:rPr>
      </w:pPr>
      <w:r>
        <w:rPr>
          <w:rFonts w:hint="eastAsia"/>
          <w:sz w:val="28"/>
          <w:szCs w:val="28"/>
        </w:rPr>
        <w:t xml:space="preserve">    </w:t>
      </w:r>
    </w:p>
    <w:p/>
    <w:p>
      <w:pPr>
        <w:rPr>
          <w:sz w:val="24"/>
        </w:rPr>
      </w:pPr>
      <w:r>
        <w:rPr>
          <w:rFonts w:hint="eastAsia"/>
          <w:sz w:val="24"/>
        </w:rPr>
        <w:t>二、技术参数</w:t>
      </w:r>
    </w:p>
    <w:tbl>
      <w:tblPr>
        <w:tblStyle w:val="4"/>
        <w:tblpPr w:leftFromText="180" w:rightFromText="180" w:vertAnchor="text" w:horzAnchor="page" w:tblpXSpec="center" w:tblpY="64"/>
        <w:tblOverlap w:val="never"/>
        <w:tblW w:w="94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709"/>
        <w:gridCol w:w="6095"/>
        <w:gridCol w:w="99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jc w:val="center"/>
        </w:trPr>
        <w:tc>
          <w:tcPr>
            <w:tcW w:w="704" w:type="dxa"/>
            <w:vAlign w:val="center"/>
          </w:tcPr>
          <w:p>
            <w:pPr>
              <w:jc w:val="center"/>
              <w:rPr>
                <w:rFonts w:ascii="宋体" w:hAnsi="宋体"/>
                <w:szCs w:val="21"/>
                <w:u w:color="000000"/>
              </w:rPr>
            </w:pPr>
            <w:r>
              <w:rPr>
                <w:rFonts w:hint="eastAsia" w:ascii="宋体" w:hAnsi="宋体"/>
                <w:szCs w:val="21"/>
                <w:u w:color="000000"/>
              </w:rPr>
              <w:t>序号</w:t>
            </w:r>
          </w:p>
        </w:tc>
        <w:tc>
          <w:tcPr>
            <w:tcW w:w="709" w:type="dxa"/>
            <w:vAlign w:val="center"/>
          </w:tcPr>
          <w:p>
            <w:pPr>
              <w:jc w:val="center"/>
              <w:rPr>
                <w:rFonts w:ascii="宋体" w:hAnsi="宋体"/>
                <w:szCs w:val="21"/>
                <w:u w:color="000000"/>
              </w:rPr>
            </w:pPr>
            <w:r>
              <w:rPr>
                <w:rFonts w:hint="eastAsia" w:ascii="宋体" w:hAnsi="宋体"/>
                <w:szCs w:val="21"/>
                <w:u w:color="000000"/>
              </w:rPr>
              <w:t>设备名称</w:t>
            </w:r>
          </w:p>
        </w:tc>
        <w:tc>
          <w:tcPr>
            <w:tcW w:w="6095" w:type="dxa"/>
            <w:vAlign w:val="center"/>
          </w:tcPr>
          <w:p>
            <w:pPr>
              <w:jc w:val="center"/>
              <w:rPr>
                <w:rFonts w:ascii="宋体" w:hAnsi="宋体"/>
                <w:szCs w:val="21"/>
                <w:u w:color="000000"/>
              </w:rPr>
            </w:pPr>
            <w:r>
              <w:rPr>
                <w:rFonts w:hint="eastAsia" w:ascii="宋体" w:hAnsi="宋体"/>
                <w:szCs w:val="21"/>
                <w:u w:color="000000"/>
              </w:rPr>
              <w:t>技术参数</w:t>
            </w:r>
          </w:p>
        </w:tc>
        <w:tc>
          <w:tcPr>
            <w:tcW w:w="992" w:type="dxa"/>
            <w:vAlign w:val="center"/>
          </w:tcPr>
          <w:p>
            <w:pPr>
              <w:jc w:val="center"/>
              <w:rPr>
                <w:rFonts w:ascii="宋体" w:hAnsi="宋体"/>
                <w:szCs w:val="21"/>
                <w:u w:color="000000"/>
              </w:rPr>
            </w:pPr>
            <w:r>
              <w:rPr>
                <w:rFonts w:hint="eastAsia" w:ascii="宋体" w:hAnsi="宋体"/>
                <w:szCs w:val="21"/>
                <w:u w:color="000000"/>
              </w:rPr>
              <w:t>数量</w:t>
            </w:r>
          </w:p>
        </w:tc>
        <w:tc>
          <w:tcPr>
            <w:tcW w:w="993" w:type="dxa"/>
            <w:vAlign w:val="center"/>
          </w:tcPr>
          <w:p>
            <w:pPr>
              <w:jc w:val="center"/>
              <w:rPr>
                <w:rFonts w:ascii="宋体" w:hAnsi="宋体"/>
                <w:szCs w:val="21"/>
                <w:u w:color="000000"/>
              </w:rPr>
            </w:pPr>
            <w:r>
              <w:rPr>
                <w:rFonts w:hint="eastAsia" w:ascii="宋体" w:hAnsi="宋体"/>
                <w:szCs w:val="21"/>
                <w:u w:color="000000"/>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jc w:val="center"/>
        </w:trPr>
        <w:tc>
          <w:tcPr>
            <w:tcW w:w="704" w:type="dxa"/>
            <w:vAlign w:val="center"/>
          </w:tcPr>
          <w:p>
            <w:pPr>
              <w:jc w:val="center"/>
              <w:rPr>
                <w:rFonts w:ascii="宋体" w:hAnsi="宋体"/>
                <w:szCs w:val="21"/>
                <w:u w:color="000000"/>
              </w:rPr>
            </w:pPr>
            <w:r>
              <w:rPr>
                <w:rFonts w:hint="eastAsia" w:ascii="宋体" w:hAnsi="宋体"/>
                <w:szCs w:val="21"/>
                <w:u w:color="000000"/>
              </w:rPr>
              <w:t>1</w:t>
            </w:r>
          </w:p>
        </w:tc>
        <w:tc>
          <w:tcPr>
            <w:tcW w:w="709" w:type="dxa"/>
            <w:vAlign w:val="center"/>
          </w:tcPr>
          <w:p>
            <w:pPr>
              <w:jc w:val="center"/>
              <w:rPr>
                <w:rFonts w:ascii="宋体" w:hAnsi="宋体"/>
                <w:szCs w:val="21"/>
                <w:u w:color="000000"/>
              </w:rPr>
            </w:pPr>
            <w:r>
              <w:rPr>
                <w:rFonts w:ascii="宋体" w:hAnsi="宋体"/>
                <w:szCs w:val="21"/>
                <w:u w:color="000000"/>
              </w:rPr>
              <w:t>U</w:t>
            </w:r>
            <w:r>
              <w:rPr>
                <w:rFonts w:hint="eastAsia" w:ascii="宋体" w:hAnsi="宋体"/>
                <w:szCs w:val="21"/>
                <w:u w:color="000000"/>
              </w:rPr>
              <w:t>ps不间断电源</w:t>
            </w:r>
          </w:p>
        </w:tc>
        <w:tc>
          <w:tcPr>
            <w:tcW w:w="6095" w:type="dxa"/>
            <w:vAlign w:val="center"/>
          </w:tcPr>
          <w:p>
            <w:pPr>
              <w:textAlignment w:val="baseline"/>
              <w:rPr>
                <w:rFonts w:asciiTheme="minorEastAsia" w:hAnsiTheme="minorEastAsia" w:eastAsiaTheme="minorEastAsia"/>
                <w:b/>
                <w:bCs/>
                <w:sz w:val="21"/>
                <w:szCs w:val="21"/>
              </w:rPr>
            </w:pPr>
            <w:r>
              <w:rPr>
                <w:rFonts w:hint="eastAsia" w:asciiTheme="minorEastAsia" w:hAnsiTheme="minorEastAsia" w:eastAsiaTheme="minorEastAsia"/>
                <w:b/>
                <w:bCs/>
                <w:sz w:val="21"/>
                <w:szCs w:val="21"/>
              </w:rPr>
              <w:t>商务资质要求：</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1、★提供制造厂家的售后服务承诺书，UPS主机质保三年（含）以上。</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2、★制造厂家须通过“ISO14001环境管理体系认证”、“ISO9001质量管理体系认证”、“GB/T28001职业健康安全管理体系认证”并提供认证证书复印件。</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3、▲制造厂家须为省级或以上部门指定的“微模块数据中心及模块化UPS电源工程技术研究中心”和“并获得“高效节能大功率UPS电源系统研发与产业应用荣获市级科技进步奖”。</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4、▲提供所投品牌由CCID出具近三年内中国国内模块化UPS市场占有率前三名以内证明文件，并加盖制造商公章。</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5、▲同时提供同品牌厂家实验室</w:t>
            </w:r>
            <w:r>
              <w:rPr>
                <w:rFonts w:asciiTheme="minorEastAsia" w:hAnsiTheme="minorEastAsia" w:eastAsiaTheme="minorEastAsia"/>
                <w:bCs/>
                <w:sz w:val="21"/>
                <w:szCs w:val="21"/>
              </w:rPr>
              <w:t>CNAS</w:t>
            </w:r>
            <w:r>
              <w:rPr>
                <w:rFonts w:hint="eastAsia" w:asciiTheme="minorEastAsia" w:hAnsiTheme="minorEastAsia" w:eastAsiaTheme="minorEastAsia"/>
                <w:bCs/>
                <w:sz w:val="21"/>
                <w:szCs w:val="21"/>
              </w:rPr>
              <w:t>证书、实验室</w:t>
            </w:r>
            <w:r>
              <w:rPr>
                <w:rFonts w:asciiTheme="minorEastAsia" w:hAnsiTheme="minorEastAsia" w:eastAsiaTheme="minorEastAsia"/>
                <w:bCs/>
                <w:sz w:val="21"/>
                <w:szCs w:val="21"/>
              </w:rPr>
              <w:t>UL</w:t>
            </w:r>
            <w:r>
              <w:rPr>
                <w:rFonts w:hint="eastAsia" w:asciiTheme="minorEastAsia" w:hAnsiTheme="minorEastAsia" w:eastAsiaTheme="minorEastAsia"/>
                <w:bCs/>
                <w:sz w:val="21"/>
                <w:szCs w:val="21"/>
              </w:rPr>
              <w:t>证书、</w:t>
            </w:r>
            <w:r>
              <w:rPr>
                <w:rFonts w:asciiTheme="minorEastAsia" w:hAnsiTheme="minorEastAsia" w:eastAsiaTheme="minorEastAsia"/>
                <w:bCs/>
                <w:sz w:val="21"/>
                <w:szCs w:val="21"/>
              </w:rPr>
              <w:t>TUV</w:t>
            </w:r>
            <w:r>
              <w:rPr>
                <w:rFonts w:hint="eastAsia" w:asciiTheme="minorEastAsia" w:hAnsiTheme="minorEastAsia" w:eastAsiaTheme="minorEastAsia"/>
                <w:bCs/>
                <w:sz w:val="21"/>
                <w:szCs w:val="21"/>
              </w:rPr>
              <w:t>证书。</w:t>
            </w:r>
          </w:p>
          <w:p>
            <w:pPr>
              <w:textAlignment w:val="baseline"/>
              <w:rPr>
                <w:rFonts w:asciiTheme="minorEastAsia" w:hAnsiTheme="minorEastAsia" w:eastAsiaTheme="minorEastAsia"/>
                <w:b/>
                <w:bCs/>
                <w:sz w:val="21"/>
                <w:szCs w:val="21"/>
              </w:rPr>
            </w:pPr>
            <w:r>
              <w:rPr>
                <w:rFonts w:hint="eastAsia" w:asciiTheme="minorEastAsia" w:hAnsiTheme="minorEastAsia" w:eastAsiaTheme="minorEastAsia"/>
                <w:b/>
                <w:bCs/>
                <w:sz w:val="21"/>
                <w:szCs w:val="21"/>
              </w:rPr>
              <w:t>模块化UPS技术要求</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★本项目需配置智能容错模块化UPS电源系统主机100KVA、2个≥50KVA功率模块。蓄电池采用128只12V-100AH，要求与UPS统一品牌。主机采用三进三出，模块化设计，实现模块化冗余，每个机柜可容纳不低于2 个模块。系统采用分散非主从控制方式，每个模块采用独立的双DSP控制技术，单个模块可独立运行，不依赖集中控制器控制，具备不转旁路热插拔功能，使整个系统独立性增强，互相干扰少。每个模块具有故障自动隔离功能。具有可扩展功能和冗余功能，单个机柜可扩充能力不低于100KVA，机柜之间可直接并联。</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1、★为保证UPS产品的高效节能、绿色环保，UPS输入功率因数高达0.99，整机效率＞96%，以第三方权威机构检测报告为准。</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2、功率模块须要采用独立的数字化双DSP控制器，模块独立自主控制，杜绝采用集中控制，避免单点故障风险。</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3、要求整机采用集中旁路设计，静态旁路模块采用大功率SCR集成模块，杜绝采用小功率单管SCR+继电器方案，避免旁路造成环流问题而引发故障。</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4、UPS可选配电池冷启动功能，以便在无市电情况下可启动UPS供电，提高的UPS使用条件。</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5、系统显示采用7寸LCD大屏幕触摸屏+LED+按键方式，可提供简体中文、英文、繁体中文及法文四种语言显示。</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6、功率模块设计独立的LCD+LED显示+按键，方便操作人员观擦模块运行状态。</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 xml:space="preserve">7、系统应采用分散充电设计，每个功率模块应具有独立的充电功能，避免充电器单点故障，提高系统的可靠性；充电功率可进行1～20%的设置 </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8、▲输出电流不均衡度≤1%，以第三方权威机构检测报告为准。</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9、为延长UPS功率模块使用寿命，功率模块应采用独立风道设计，风扇应安装在功率模块前端，提高进风效率（提供实物图片证明并加盖公章）</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10、所有电路板均需要采用三防工艺，确保在低恶劣环境下的使用寿命。（提供图片证明）。</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11、★UPS输出功率因数必须为1，以便与负载完美匹配，以第三方权威机构检测报告为准。</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12、</w:t>
            </w:r>
            <w:r>
              <w:rPr>
                <w:rFonts w:hint="eastAsia" w:asciiTheme="minorEastAsia" w:hAnsiTheme="minorEastAsia" w:eastAsiaTheme="minorEastAsia"/>
                <w:bCs/>
                <w:sz w:val="21"/>
                <w:szCs w:val="21"/>
              </w:rPr>
              <w:tab/>
            </w:r>
            <w:r>
              <w:rPr>
                <w:rFonts w:hint="eastAsia" w:asciiTheme="minorEastAsia" w:hAnsiTheme="minorEastAsia" w:eastAsiaTheme="minorEastAsia"/>
                <w:bCs/>
                <w:sz w:val="21"/>
                <w:szCs w:val="21"/>
              </w:rPr>
              <w:t>▲系统须满足下述过载能力： 125%额定阻性负载＞10分钟后转旁路输出，以第三方权威机构检测报告为准。</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16、▲UPS系统需具有黑匣子功能，全面监控功率模块关键部分参数，实现故障可控可管 ：记录和预警关键部位器件的数据，可设置风扇更换时间到期提示功能，每个模块提供不少于8个温度监控点，检测每个IGBT的内部温度，进风口和出风口温度，散热器温度，有故障发生时，能够自动记录该时刻前后一段时间的各个关键点的波形，并可以导出至电脑（需提供LCD屏显示截图证明）。</w:t>
            </w:r>
          </w:p>
          <w:p>
            <w:pPr>
              <w:rPr>
                <w:rFonts w:asciiTheme="minorEastAsia" w:hAnsiTheme="minorEastAsia" w:eastAsiaTheme="minorEastAsia"/>
                <w:sz w:val="21"/>
                <w:szCs w:val="21"/>
                <w:u w:color="000000"/>
              </w:rPr>
            </w:pPr>
            <w:r>
              <w:rPr>
                <w:rFonts w:hint="eastAsia" w:asciiTheme="minorEastAsia" w:hAnsiTheme="minorEastAsia" w:eastAsiaTheme="minorEastAsia"/>
                <w:bCs/>
                <w:sz w:val="21"/>
                <w:szCs w:val="21"/>
              </w:rPr>
              <w:t>20、</w:t>
            </w:r>
            <w:r>
              <w:rPr>
                <w:rFonts w:hint="eastAsia" w:asciiTheme="minorEastAsia" w:hAnsiTheme="minorEastAsia" w:eastAsiaTheme="minorEastAsia"/>
                <w:bCs/>
                <w:sz w:val="21"/>
                <w:szCs w:val="21"/>
              </w:rPr>
              <w:tab/>
            </w:r>
            <w:r>
              <w:rPr>
                <w:rFonts w:hint="eastAsia" w:asciiTheme="minorEastAsia" w:hAnsiTheme="minorEastAsia" w:eastAsiaTheme="minorEastAsia"/>
                <w:bCs/>
                <w:sz w:val="21"/>
                <w:szCs w:val="21"/>
              </w:rPr>
              <w:t>▲具备自主老化模式即可进行系统满载测试，省去租用超大负载箱、负载箱工程施工等工作量（需提供测试方法说明文件）。</w:t>
            </w:r>
          </w:p>
        </w:tc>
        <w:tc>
          <w:tcPr>
            <w:tcW w:w="992" w:type="dxa"/>
            <w:vAlign w:val="center"/>
          </w:tcPr>
          <w:p>
            <w:pPr>
              <w:jc w:val="center"/>
              <w:rPr>
                <w:rFonts w:ascii="宋体" w:hAnsi="宋体"/>
                <w:szCs w:val="21"/>
                <w:u w:color="000000"/>
              </w:rPr>
            </w:pPr>
            <w:r>
              <w:rPr>
                <w:rFonts w:hint="eastAsia" w:ascii="宋体" w:hAnsi="宋体"/>
                <w:szCs w:val="21"/>
                <w:u w:color="000000"/>
              </w:rPr>
              <w:t>2</w:t>
            </w:r>
          </w:p>
        </w:tc>
        <w:tc>
          <w:tcPr>
            <w:tcW w:w="993" w:type="dxa"/>
            <w:vAlign w:val="center"/>
          </w:tcPr>
          <w:p>
            <w:pPr>
              <w:jc w:val="center"/>
              <w:rPr>
                <w:rFonts w:ascii="宋体" w:hAnsi="宋体"/>
                <w:szCs w:val="21"/>
                <w:u w:color="000000"/>
              </w:rPr>
            </w:pPr>
            <w:r>
              <w:rPr>
                <w:rFonts w:hint="eastAsia" w:ascii="宋体" w:hAnsi="宋体"/>
                <w:szCs w:val="21"/>
                <w:u w:color="000000"/>
              </w:rPr>
              <w:t>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704" w:type="dxa"/>
            <w:vAlign w:val="center"/>
          </w:tcPr>
          <w:p>
            <w:pPr>
              <w:jc w:val="center"/>
              <w:rPr>
                <w:rFonts w:ascii="宋体" w:hAnsi="宋体"/>
                <w:szCs w:val="21"/>
                <w:u w:color="000000"/>
              </w:rPr>
            </w:pPr>
            <w:bookmarkStart w:id="0" w:name="_Hlk26359341"/>
            <w:r>
              <w:rPr>
                <w:rFonts w:hint="eastAsia" w:ascii="宋体" w:hAnsi="宋体"/>
                <w:szCs w:val="21"/>
                <w:u w:color="000000"/>
              </w:rPr>
              <w:t>2</w:t>
            </w:r>
          </w:p>
        </w:tc>
        <w:tc>
          <w:tcPr>
            <w:tcW w:w="709" w:type="dxa"/>
            <w:vAlign w:val="center"/>
          </w:tcPr>
          <w:p>
            <w:pPr>
              <w:rPr>
                <w:rFonts w:ascii="宋体" w:hAnsi="宋体"/>
                <w:szCs w:val="21"/>
                <w:u w:color="000000"/>
              </w:rPr>
            </w:pPr>
            <w:r>
              <w:rPr>
                <w:rFonts w:hint="eastAsia" w:ascii="宋体"/>
                <w:szCs w:val="21"/>
              </w:rPr>
              <w:t>蓄电池</w:t>
            </w:r>
          </w:p>
        </w:tc>
        <w:tc>
          <w:tcPr>
            <w:tcW w:w="6095" w:type="dxa"/>
            <w:vAlign w:val="center"/>
          </w:tcPr>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蓄电池要求</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1、★ 蓄电池要求满足UPS满载运行2小时， 蓄电池采用4组12V-100AH、每组≥32节，质保期为36个月，要求与UPS统一品牌。</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2、每组蓄电池必须配备1个直流开关、规格不低于250A/3P，并配置总直流开关、规格不低于250A/3P。</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3、超长的使用寿命</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采用板栅和合金设计，有效抵抗极板腐蚀；卓越的大电流放电特性，可靠的快速充电性能，优越的深度放电恢复能力，确保电池的使用寿命。</w:t>
            </w:r>
          </w:p>
          <w:p>
            <w:pPr>
              <w:textAlignment w:val="baseline"/>
              <w:rPr>
                <w:rFonts w:asciiTheme="minorEastAsia" w:hAnsiTheme="minorEastAsia" w:eastAsiaTheme="minorEastAsia"/>
                <w:bCs/>
                <w:sz w:val="21"/>
                <w:szCs w:val="21"/>
              </w:rPr>
            </w:pPr>
            <w:r>
              <w:rPr>
                <w:rFonts w:hint="eastAsia" w:asciiTheme="minorEastAsia" w:hAnsiTheme="minorEastAsia" w:eastAsiaTheme="minorEastAsia"/>
                <w:bCs/>
                <w:sz w:val="21"/>
                <w:szCs w:val="21"/>
              </w:rPr>
              <w:t>4、</w:t>
            </w:r>
            <w:r>
              <w:rPr>
                <w:rFonts w:hint="eastAsia" w:asciiTheme="minorEastAsia" w:hAnsiTheme="minorEastAsia" w:eastAsiaTheme="minorEastAsia"/>
                <w:bCs/>
                <w:sz w:val="21"/>
                <w:szCs w:val="21"/>
              </w:rPr>
              <w:tab/>
            </w:r>
            <w:r>
              <w:rPr>
                <w:rFonts w:hint="eastAsia" w:asciiTheme="minorEastAsia" w:hAnsiTheme="minorEastAsia" w:eastAsiaTheme="minorEastAsia"/>
                <w:bCs/>
                <w:sz w:val="21"/>
                <w:szCs w:val="21"/>
              </w:rPr>
              <w:t>免维护的专业设计</w:t>
            </w:r>
          </w:p>
          <w:p>
            <w:pPr>
              <w:rPr>
                <w:rFonts w:hint="eastAsia" w:cs="宋体" w:asciiTheme="minorEastAsia" w:hAnsiTheme="minorEastAsia" w:eastAsiaTheme="minorEastAsia"/>
                <w:color w:val="000000"/>
                <w:sz w:val="21"/>
                <w:szCs w:val="21"/>
                <w:lang w:eastAsia="zh-CN"/>
              </w:rPr>
            </w:pPr>
            <w:r>
              <w:rPr>
                <w:rFonts w:hint="eastAsia" w:asciiTheme="minorEastAsia" w:hAnsiTheme="minorEastAsia" w:eastAsiaTheme="minorEastAsia"/>
                <w:bCs/>
                <w:sz w:val="21"/>
                <w:szCs w:val="21"/>
              </w:rPr>
              <w:t>采用高可靠的专业阀控密封式设计，确保电池不漏（渗）液、无酸雾、不腐蚀，并在充电时产生的气体基本被吸收还原成电解液，在使用时无需加水、补液和测量电解液比重</w:t>
            </w:r>
            <w:r>
              <w:rPr>
                <w:rFonts w:hint="eastAsia" w:asciiTheme="minorEastAsia" w:hAnsiTheme="minorEastAsia" w:eastAsiaTheme="minorEastAsia"/>
                <w:bCs/>
                <w:sz w:val="21"/>
                <w:szCs w:val="21"/>
                <w:lang w:eastAsia="zh-CN"/>
              </w:rPr>
              <w:t>。</w:t>
            </w:r>
          </w:p>
        </w:tc>
        <w:tc>
          <w:tcPr>
            <w:tcW w:w="992" w:type="dxa"/>
            <w:vAlign w:val="center"/>
          </w:tcPr>
          <w:p>
            <w:pPr>
              <w:jc w:val="center"/>
              <w:rPr>
                <w:rFonts w:ascii="宋体" w:hAnsi="宋体"/>
                <w:szCs w:val="21"/>
                <w:u w:color="000000"/>
              </w:rPr>
            </w:pPr>
            <w:r>
              <w:rPr>
                <w:rFonts w:hint="eastAsia" w:ascii="宋体" w:hAnsi="宋体"/>
                <w:szCs w:val="21"/>
              </w:rPr>
              <w:t>256</w:t>
            </w:r>
          </w:p>
        </w:tc>
        <w:tc>
          <w:tcPr>
            <w:tcW w:w="993" w:type="dxa"/>
            <w:vAlign w:val="center"/>
          </w:tcPr>
          <w:p>
            <w:pPr>
              <w:jc w:val="center"/>
              <w:rPr>
                <w:rFonts w:ascii="宋体" w:hAnsi="宋体"/>
                <w:szCs w:val="21"/>
              </w:rPr>
            </w:pPr>
            <w:r>
              <w:rPr>
                <w:rFonts w:hint="eastAsia" w:ascii="宋体"/>
                <w:szCs w:val="21"/>
              </w:rPr>
              <w:t>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Align w:val="center"/>
          </w:tcPr>
          <w:p>
            <w:pPr>
              <w:jc w:val="center"/>
              <w:rPr>
                <w:rFonts w:ascii="宋体" w:hAnsi="宋体"/>
                <w:szCs w:val="21"/>
                <w:u w:color="000000"/>
              </w:rPr>
            </w:pPr>
            <w:r>
              <w:rPr>
                <w:rFonts w:hint="eastAsia" w:ascii="宋体" w:hAnsi="宋体"/>
                <w:szCs w:val="21"/>
                <w:u w:color="000000"/>
              </w:rPr>
              <w:t>3</w:t>
            </w:r>
          </w:p>
        </w:tc>
        <w:tc>
          <w:tcPr>
            <w:tcW w:w="709" w:type="dxa"/>
            <w:vAlign w:val="center"/>
          </w:tcPr>
          <w:p>
            <w:pPr>
              <w:jc w:val="center"/>
              <w:rPr>
                <w:rFonts w:ascii="宋体" w:hAnsi="宋体"/>
                <w:szCs w:val="21"/>
                <w:u w:color="000000"/>
              </w:rPr>
            </w:pPr>
            <w:r>
              <w:rPr>
                <w:rFonts w:hint="eastAsia" w:ascii="宋体"/>
                <w:szCs w:val="21"/>
              </w:rPr>
              <w:t>电池柜</w:t>
            </w:r>
          </w:p>
        </w:tc>
        <w:tc>
          <w:tcPr>
            <w:tcW w:w="6095" w:type="dxa"/>
            <w:vAlign w:val="center"/>
          </w:tcPr>
          <w:p>
            <w:pPr>
              <w:pStyle w:val="8"/>
              <w:rPr>
                <w:rFonts w:asciiTheme="minorEastAsia" w:hAnsiTheme="minorEastAsia" w:eastAsiaTheme="minorEastAsia"/>
                <w:bCs/>
                <w:sz w:val="21"/>
                <w:szCs w:val="21"/>
              </w:rPr>
            </w:pPr>
            <w:r>
              <w:rPr>
                <w:rFonts w:hint="eastAsia" w:asciiTheme="minorEastAsia" w:hAnsiTheme="minorEastAsia" w:eastAsiaTheme="minorEastAsia"/>
                <w:bCs/>
                <w:sz w:val="21"/>
                <w:szCs w:val="21"/>
              </w:rPr>
              <w:t>★满足256支蓄电池使用</w:t>
            </w:r>
          </w:p>
        </w:tc>
        <w:tc>
          <w:tcPr>
            <w:tcW w:w="992" w:type="dxa"/>
            <w:vAlign w:val="center"/>
          </w:tcPr>
          <w:p>
            <w:pPr>
              <w:jc w:val="center"/>
              <w:rPr>
                <w:rFonts w:ascii="宋体" w:hAnsi="宋体"/>
                <w:szCs w:val="21"/>
                <w:u w:color="000000"/>
              </w:rPr>
            </w:pPr>
            <w:r>
              <w:rPr>
                <w:rFonts w:hint="eastAsia" w:ascii="宋体" w:hAnsi="宋体"/>
                <w:szCs w:val="21"/>
              </w:rPr>
              <w:t>8</w:t>
            </w:r>
          </w:p>
        </w:tc>
        <w:tc>
          <w:tcPr>
            <w:tcW w:w="993" w:type="dxa"/>
            <w:vAlign w:val="center"/>
          </w:tcPr>
          <w:p>
            <w:pPr>
              <w:jc w:val="center"/>
              <w:rPr>
                <w:rFonts w:ascii="宋体" w:hAnsi="宋体"/>
                <w:szCs w:val="21"/>
                <w:u w:color="000000"/>
              </w:rPr>
            </w:pPr>
            <w:r>
              <w:rPr>
                <w:rFonts w:hint="eastAsia" w:ascii="宋体"/>
                <w:szCs w:val="21"/>
              </w:rPr>
              <w:t>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Align w:val="center"/>
          </w:tcPr>
          <w:p>
            <w:pPr>
              <w:jc w:val="center"/>
              <w:rPr>
                <w:rFonts w:ascii="宋体" w:hAnsi="宋体"/>
                <w:szCs w:val="21"/>
                <w:u w:color="000000"/>
              </w:rPr>
            </w:pPr>
            <w:r>
              <w:rPr>
                <w:rFonts w:hint="eastAsia" w:ascii="宋体" w:hAnsi="宋体"/>
                <w:szCs w:val="21"/>
                <w:u w:color="000000"/>
              </w:rPr>
              <w:t>4</w:t>
            </w:r>
          </w:p>
        </w:tc>
        <w:tc>
          <w:tcPr>
            <w:tcW w:w="709" w:type="dxa"/>
            <w:vAlign w:val="center"/>
          </w:tcPr>
          <w:p>
            <w:pPr>
              <w:rPr>
                <w:rFonts w:ascii="宋体" w:hAnsi="宋体"/>
                <w:szCs w:val="21"/>
                <w:u w:color="000000"/>
              </w:rPr>
            </w:pPr>
            <w:r>
              <w:rPr>
                <w:rFonts w:hint="eastAsia" w:ascii="宋体"/>
                <w:szCs w:val="21"/>
              </w:rPr>
              <w:t>蓄电池监测养护系统</w:t>
            </w:r>
          </w:p>
        </w:tc>
        <w:tc>
          <w:tcPr>
            <w:tcW w:w="6095" w:type="dxa"/>
            <w:vAlign w:val="center"/>
          </w:tcPr>
          <w:p>
            <w:pPr>
              <w:rPr>
                <w:rFonts w:ascii="宋体" w:hAnsi="宋体" w:cs="宋体"/>
              </w:rPr>
            </w:pPr>
            <w:r>
              <w:rPr>
                <w:rFonts w:hint="eastAsia" w:ascii="宋体" w:hAnsi="宋体" w:cs="宋体"/>
              </w:rPr>
              <w:t>1.★投标人需提供针对此设备的详细技术方案</w:t>
            </w:r>
          </w:p>
          <w:p>
            <w:pPr>
              <w:rPr>
                <w:rFonts w:ascii="宋体" w:hAnsi="宋体" w:cs="宋体"/>
              </w:rPr>
            </w:pPr>
            <w:r>
              <w:rPr>
                <w:rFonts w:hint="eastAsia" w:ascii="宋体" w:hAnsi="宋体" w:cs="宋体"/>
              </w:rPr>
              <w:t>2.▲提供中国合格评定国家认可委员会（CNAS）的检测报告</w:t>
            </w:r>
          </w:p>
          <w:p>
            <w:pPr>
              <w:rPr>
                <w:rFonts w:ascii="宋体" w:hAnsi="宋体" w:cs="宋体"/>
              </w:rPr>
            </w:pPr>
            <w:r>
              <w:rPr>
                <w:rFonts w:hint="eastAsia" w:ascii="宋体" w:hAnsi="宋体" w:cs="宋体"/>
              </w:rPr>
              <w:t>3.★投标人需根据项目内容，提供设备连接设计图</w:t>
            </w:r>
          </w:p>
          <w:p>
            <w:pPr>
              <w:rPr>
                <w:rFonts w:ascii="宋体" w:hAnsi="宋体" w:cs="宋体"/>
              </w:rPr>
            </w:pPr>
            <w:r>
              <w:rPr>
                <w:rFonts w:hint="eastAsia" w:ascii="宋体" w:hAnsi="宋体" w:cs="宋体"/>
              </w:rPr>
              <w:t>4.★投标人需提供“蓄电池监测养护智能运维管理平台”中所有加*内容的系统截屏图片</w:t>
            </w:r>
          </w:p>
          <w:p>
            <w:pPr>
              <w:rPr>
                <w:rFonts w:ascii="宋体" w:hAnsi="宋体" w:cs="宋体"/>
              </w:rPr>
            </w:pPr>
            <w:r>
              <w:rPr>
                <w:rFonts w:hint="eastAsia" w:ascii="宋体" w:hAnsi="宋体" w:cs="宋体"/>
              </w:rPr>
              <w:t>5.★中标人在拿到中标通知书后，签订合同前，需对其所投系统进行实际现场演示，演示内容参照招标要求内容。如演示内容与招标内容不符，取消其中标资格。</w:t>
            </w:r>
          </w:p>
          <w:p>
            <w:pPr>
              <w:rPr>
                <w:rFonts w:ascii="宋体" w:hAnsi="宋体" w:cs="宋体"/>
              </w:rPr>
            </w:pPr>
            <w:r>
              <w:rPr>
                <w:rFonts w:hint="eastAsia" w:ascii="宋体" w:hAnsi="宋体" w:cs="宋体"/>
              </w:rPr>
              <w:t>主设备参数</w:t>
            </w:r>
          </w:p>
          <w:p>
            <w:pPr>
              <w:rPr>
                <w:rFonts w:ascii="宋体" w:hAnsi="宋体" w:cs="宋体"/>
              </w:rPr>
            </w:pPr>
            <w:r>
              <w:rPr>
                <w:rFonts w:hint="eastAsia" w:ascii="宋体" w:hAnsi="宋体" w:cs="宋体"/>
              </w:rPr>
              <w:t>一、蓄电池监测养护设备</w:t>
            </w:r>
          </w:p>
          <w:p>
            <w:pPr>
              <w:rPr>
                <w:rFonts w:ascii="宋体" w:hAnsi="宋体" w:cs="宋体"/>
              </w:rPr>
            </w:pPr>
            <w:r>
              <w:rPr>
                <w:rFonts w:hint="eastAsia" w:ascii="宋体" w:hAnsi="宋体" w:cs="宋体"/>
              </w:rPr>
              <w:t>输入电压范围：DC 48V/AC220V</w:t>
            </w:r>
          </w:p>
          <w:p>
            <w:pPr>
              <w:rPr>
                <w:rFonts w:ascii="宋体" w:hAnsi="宋体" w:cs="宋体"/>
              </w:rPr>
            </w:pPr>
            <w:r>
              <w:rPr>
                <w:rFonts w:hint="eastAsia" w:ascii="宋体" w:hAnsi="宋体" w:cs="宋体"/>
              </w:rPr>
              <w:t>输入电压稳压精度：±3%</w:t>
            </w:r>
          </w:p>
          <w:p>
            <w:pPr>
              <w:rPr>
                <w:rFonts w:ascii="宋体" w:hAnsi="宋体" w:cs="宋体"/>
              </w:rPr>
            </w:pPr>
            <w:r>
              <w:rPr>
                <w:rFonts w:hint="eastAsia" w:ascii="宋体" w:hAnsi="宋体" w:cs="宋体"/>
              </w:rPr>
              <w:t>静态电流输出范围：0.1～4.2A</w:t>
            </w:r>
          </w:p>
          <w:p>
            <w:pPr>
              <w:rPr>
                <w:rFonts w:ascii="宋体" w:hAnsi="宋体" w:cs="宋体"/>
              </w:rPr>
            </w:pPr>
            <w:r>
              <w:rPr>
                <w:rFonts w:hint="eastAsia" w:ascii="宋体" w:hAnsi="宋体" w:cs="宋体"/>
              </w:rPr>
              <w:t>脉冲输出峰值电压：3.0V±0.5V（2V）整组43.2V-57.6V</w:t>
            </w:r>
          </w:p>
          <w:p>
            <w:pPr>
              <w:rPr>
                <w:rFonts w:ascii="宋体" w:hAnsi="宋体" w:cs="宋体"/>
              </w:rPr>
            </w:pPr>
            <w:r>
              <w:rPr>
                <w:rFonts w:hint="eastAsia" w:ascii="宋体" w:hAnsi="宋体" w:cs="宋体"/>
              </w:rPr>
              <w:t>输出脉冲频率：700Hz～1800Hz</w:t>
            </w:r>
          </w:p>
          <w:p>
            <w:pPr>
              <w:rPr>
                <w:rFonts w:ascii="宋体" w:hAnsi="宋体" w:cs="宋体"/>
              </w:rPr>
            </w:pPr>
            <w:r>
              <w:rPr>
                <w:rFonts w:hint="eastAsia" w:ascii="宋体" w:hAnsi="宋体" w:cs="宋体"/>
              </w:rPr>
              <w:t>单体电池电压采集精度：5mv</w:t>
            </w:r>
          </w:p>
          <w:p>
            <w:pPr>
              <w:rPr>
                <w:rFonts w:ascii="宋体" w:hAnsi="宋体" w:cs="宋体"/>
              </w:rPr>
            </w:pPr>
            <w:r>
              <w:rPr>
                <w:rFonts w:hint="eastAsia" w:ascii="宋体" w:hAnsi="宋体" w:cs="宋体"/>
              </w:rPr>
              <w:t>电池端压采集精度：误差±1%</w:t>
            </w:r>
          </w:p>
          <w:p>
            <w:pPr>
              <w:rPr>
                <w:rFonts w:ascii="宋体" w:hAnsi="宋体" w:cs="宋体"/>
              </w:rPr>
            </w:pPr>
            <w:r>
              <w:rPr>
                <w:rFonts w:hint="eastAsia" w:ascii="宋体" w:hAnsi="宋体" w:cs="宋体"/>
              </w:rPr>
              <w:t>电流采集精度：误差≤3%</w:t>
            </w:r>
          </w:p>
          <w:p>
            <w:pPr>
              <w:rPr>
                <w:rFonts w:ascii="宋体" w:hAnsi="宋体" w:cs="宋体"/>
              </w:rPr>
            </w:pPr>
            <w:r>
              <w:rPr>
                <w:rFonts w:hint="eastAsia" w:ascii="宋体" w:hAnsi="宋体" w:cs="宋体"/>
              </w:rPr>
              <w:t>温度采集精度：误差±1℃</w:t>
            </w:r>
          </w:p>
          <w:p>
            <w:pPr>
              <w:rPr>
                <w:rFonts w:ascii="宋体" w:hAnsi="宋体" w:cs="宋体"/>
              </w:rPr>
            </w:pPr>
            <w:r>
              <w:rPr>
                <w:rFonts w:hint="eastAsia" w:ascii="宋体" w:hAnsi="宋体" w:cs="宋体"/>
              </w:rPr>
              <w:t>放电电流可调范围：1-0.1 C10</w:t>
            </w:r>
          </w:p>
          <w:p>
            <w:pPr>
              <w:rPr>
                <w:rFonts w:ascii="宋体" w:hAnsi="宋体" w:cs="宋体"/>
              </w:rPr>
            </w:pPr>
            <w:r>
              <w:rPr>
                <w:rFonts w:hint="eastAsia" w:ascii="宋体" w:hAnsi="宋体" w:cs="宋体"/>
              </w:rPr>
              <w:t>放电电流允差范围：误差≤2A</w:t>
            </w:r>
          </w:p>
          <w:p>
            <w:pPr>
              <w:rPr>
                <w:rFonts w:ascii="宋体" w:hAnsi="宋体" w:cs="宋体"/>
              </w:rPr>
            </w:pPr>
            <w:r>
              <w:rPr>
                <w:rFonts w:hint="eastAsia" w:ascii="宋体" w:hAnsi="宋体" w:cs="宋体"/>
              </w:rPr>
              <w:t>各模块通讯方式：总线通信</w:t>
            </w:r>
          </w:p>
          <w:p>
            <w:pPr>
              <w:rPr>
                <w:rFonts w:ascii="宋体" w:hAnsi="宋体" w:cs="宋体"/>
              </w:rPr>
            </w:pPr>
            <w:r>
              <w:rPr>
                <w:rFonts w:hint="eastAsia" w:ascii="宋体" w:hAnsi="宋体" w:cs="宋体"/>
              </w:rPr>
              <w:t>网络通讯协议：TCP/IP协议</w:t>
            </w:r>
          </w:p>
          <w:p>
            <w:pPr>
              <w:rPr>
                <w:rFonts w:ascii="宋体" w:hAnsi="宋体" w:cs="宋体"/>
              </w:rPr>
            </w:pPr>
            <w:r>
              <w:rPr>
                <w:rFonts w:hint="eastAsia" w:ascii="宋体" w:hAnsi="宋体" w:cs="宋体"/>
              </w:rPr>
              <w:t>查询方式：远端计算机查询方式</w:t>
            </w:r>
          </w:p>
          <w:p>
            <w:pPr>
              <w:rPr>
                <w:rFonts w:ascii="宋体" w:hAnsi="宋体" w:cs="宋体"/>
              </w:rPr>
            </w:pPr>
            <w:r>
              <w:rPr>
                <w:rFonts w:hint="eastAsia" w:ascii="宋体" w:hAnsi="宋体" w:cs="宋体"/>
              </w:rPr>
              <w:t>放电控制方式：远端计算机控制</w:t>
            </w:r>
          </w:p>
          <w:p>
            <w:pPr>
              <w:rPr>
                <w:rFonts w:ascii="宋体" w:hAnsi="宋体" w:cs="宋体"/>
              </w:rPr>
            </w:pPr>
            <w:r>
              <w:rPr>
                <w:rFonts w:hint="eastAsia" w:ascii="宋体" w:hAnsi="宋体" w:cs="宋体"/>
              </w:rPr>
              <w:t>放电自动截止条件：单体电压截止、总电压截止、放出容量截止、放电时长截止、上限温度截止</w:t>
            </w:r>
          </w:p>
          <w:p>
            <w:pPr>
              <w:rPr>
                <w:rFonts w:ascii="宋体" w:hAnsi="宋体" w:cs="宋体"/>
              </w:rPr>
            </w:pPr>
            <w:r>
              <w:rPr>
                <w:rFonts w:hint="eastAsia" w:ascii="宋体" w:hAnsi="宋体" w:cs="宋体"/>
              </w:rPr>
              <w:t>放电保护功能：交流断电保护、过温保护、网络故障保护、续流保护功能</w:t>
            </w:r>
          </w:p>
          <w:p>
            <w:pPr>
              <w:rPr>
                <w:rFonts w:ascii="宋体" w:hAnsi="宋体" w:cs="宋体"/>
              </w:rPr>
            </w:pPr>
            <w:r>
              <w:rPr>
                <w:rFonts w:hint="eastAsia" w:ascii="宋体" w:hAnsi="宋体" w:cs="宋体"/>
              </w:rPr>
              <w:t>空载功耗：≤10W</w:t>
            </w:r>
          </w:p>
          <w:p>
            <w:pPr>
              <w:rPr>
                <w:rFonts w:ascii="宋体" w:hAnsi="宋体" w:cs="宋体"/>
              </w:rPr>
            </w:pPr>
            <w:r>
              <w:rPr>
                <w:rFonts w:hint="eastAsia" w:ascii="宋体" w:hAnsi="宋体" w:cs="宋体"/>
              </w:rPr>
              <w:t>过压保护：设备应能承受1.5倍标称电压的冲击60s</w:t>
            </w:r>
          </w:p>
          <w:p>
            <w:pPr>
              <w:rPr>
                <w:rFonts w:ascii="宋体" w:hAnsi="宋体" w:cs="宋体"/>
              </w:rPr>
            </w:pPr>
            <w:r>
              <w:rPr>
                <w:rFonts w:hint="eastAsia" w:ascii="宋体" w:hAnsi="宋体" w:cs="宋体"/>
              </w:rPr>
              <w:t>短路保护：设备输入短路时，不应损坏且不影响其他设备的正常工作</w:t>
            </w:r>
          </w:p>
          <w:p>
            <w:pPr>
              <w:rPr>
                <w:rFonts w:ascii="宋体" w:hAnsi="宋体" w:cs="宋体"/>
              </w:rPr>
            </w:pPr>
            <w:r>
              <w:rPr>
                <w:rFonts w:hint="eastAsia" w:ascii="宋体" w:hAnsi="宋体" w:cs="宋体"/>
              </w:rPr>
              <w:t>过温保护：设备内部运行温度过高时，应能自动停止输出并给出告警</w:t>
            </w:r>
          </w:p>
          <w:p>
            <w:pPr>
              <w:rPr>
                <w:rFonts w:ascii="宋体" w:hAnsi="宋体" w:cs="宋体"/>
              </w:rPr>
            </w:pPr>
            <w:r>
              <w:rPr>
                <w:rFonts w:hint="eastAsia" w:ascii="宋体" w:hAnsi="宋体" w:cs="宋体"/>
              </w:rPr>
              <w:t>绝缘电阻：试验电压为直流 500 V 时，输入对地的绝缘电阻应不低于2 MΩ</w:t>
            </w:r>
          </w:p>
          <w:p>
            <w:pPr>
              <w:rPr>
                <w:rFonts w:ascii="宋体" w:hAnsi="宋体" w:cs="宋体"/>
              </w:rPr>
            </w:pPr>
            <w:r>
              <w:rPr>
                <w:rFonts w:hint="eastAsia" w:ascii="宋体" w:hAnsi="宋体" w:cs="宋体"/>
              </w:rPr>
              <w:t>抗电强度：输入对地应能承受 50 Hz、有效值为500 V 的交流电压（漏电流≤30 mA）或等效其峰值的710V 直流电压1 min，且无击穿与无飞弧现象</w:t>
            </w:r>
          </w:p>
          <w:p>
            <w:pPr>
              <w:rPr>
                <w:rFonts w:ascii="宋体" w:hAnsi="宋体" w:cs="宋体"/>
              </w:rPr>
            </w:pPr>
            <w:r>
              <w:rPr>
                <w:rFonts w:hint="eastAsia" w:ascii="宋体" w:hAnsi="宋体" w:cs="宋体"/>
              </w:rPr>
              <w:t>材料阻燃性能：备所用的 PCB 的阻燃等级应达到GB4943-2001 中规定的V-0 要求，塑胶导线的阻燃等级应达到GB/T18380.1-2001 中规定的要求，其他绝缘材料的阻燃等级应达到GB4943-2001 中规定的V-1 要求设备可靠性（MTBF）MTBF≥1×105 h</w:t>
            </w:r>
          </w:p>
          <w:p>
            <w:pPr>
              <w:rPr>
                <w:rFonts w:ascii="宋体" w:hAnsi="宋体" w:cs="宋体"/>
              </w:rPr>
            </w:pPr>
            <w:r>
              <w:rPr>
                <w:rFonts w:hint="eastAsia" w:ascii="宋体" w:hAnsi="宋体" w:cs="宋体"/>
              </w:rPr>
              <w:t>电池故障预警功能：设备检测到蓄电池总电压、单体电池电压、电池环境温度电池内阻等参数异常，应通过软件以声光告警的方式在监控终端进行提示</w:t>
            </w:r>
          </w:p>
          <w:p>
            <w:pPr>
              <w:rPr>
                <w:rFonts w:ascii="宋体" w:hAnsi="宋体" w:cs="宋体"/>
              </w:rPr>
            </w:pPr>
            <w:r>
              <w:rPr>
                <w:rFonts w:hint="eastAsia" w:ascii="宋体" w:hAnsi="宋体" w:cs="宋体"/>
              </w:rPr>
              <w:t>在线养护功能：通过养护技术，蓄电逐渐降低电池内阻、恢复电池容量和提高电池活性度，应有曲线图和柱形图对比展示</w:t>
            </w:r>
          </w:p>
          <w:p>
            <w:pPr>
              <w:rPr>
                <w:rFonts w:ascii="宋体" w:hAnsi="宋体" w:cs="宋体"/>
              </w:rPr>
            </w:pPr>
            <w:r>
              <w:rPr>
                <w:rFonts w:hint="eastAsia" w:ascii="宋体" w:hAnsi="宋体" w:cs="宋体"/>
              </w:rPr>
              <w:t>远程控制核容测试和内阻测试功能：设备可以通过平台软件操作，一键操作，实现远程控制，启动核容测试和内阻测试功能。测试人员无需下站。</w:t>
            </w:r>
          </w:p>
          <w:p>
            <w:pPr>
              <w:rPr>
                <w:rFonts w:ascii="宋体" w:hAnsi="宋体" w:cs="宋体"/>
              </w:rPr>
            </w:pPr>
            <w:r>
              <w:rPr>
                <w:rFonts w:hint="eastAsia" w:ascii="宋体" w:hAnsi="宋体" w:cs="宋体"/>
              </w:rPr>
              <w:t>异常状态下蓄电池不离线功能：在系统接入直流电源系统后，在设备核容状态，预充电状态，浮充状态下，出现交流停电，系统关机，网络中断等故障，均能保证蓄电池不离线。</w:t>
            </w:r>
          </w:p>
          <w:p>
            <w:pPr>
              <w:rPr>
                <w:rFonts w:ascii="宋体" w:hAnsi="宋体" w:cs="宋体"/>
              </w:rPr>
            </w:pPr>
            <w:r>
              <w:rPr>
                <w:rFonts w:hint="eastAsia" w:ascii="宋体" w:hAnsi="宋体" w:cs="宋体"/>
              </w:rPr>
              <w:t>在线均衡充电功能：设备应具备主动均衡，不能是被动均衡（即均衡过程不能通过放电来损耗部分电池的能量），应实现组内电池充电均匀性调节，改善现有充电方式下电池组内各单体电池由于一致性差异导致充电不均衡的状况</w:t>
            </w:r>
          </w:p>
          <w:p>
            <w:pPr>
              <w:rPr>
                <w:rFonts w:ascii="宋体" w:hAnsi="宋体" w:cs="宋体"/>
              </w:rPr>
            </w:pPr>
            <w:r>
              <w:rPr>
                <w:rFonts w:hint="eastAsia" w:ascii="宋体" w:hAnsi="宋体" w:cs="宋体"/>
              </w:rPr>
              <w:t>在线充电检测功能：在系统上以曲线、图表等多种形式显示充电过程的充电电流、电池电压、各单体电压、单体内阻电池充入容量、整组蓄电池温度的变化情况</w:t>
            </w:r>
          </w:p>
          <w:p>
            <w:pPr>
              <w:rPr>
                <w:rFonts w:ascii="宋体" w:hAnsi="宋体" w:cs="宋体"/>
              </w:rPr>
            </w:pPr>
            <w:r>
              <w:rPr>
                <w:rFonts w:hint="eastAsia" w:ascii="宋体" w:hAnsi="宋体" w:cs="宋体"/>
              </w:rPr>
              <w:t>停电数据监测功能：在系统上以曲线、图表等多种形式显示放电/充电过程的电池电流、电池电压、各单体电压、单体内阻电池容量的变化情况</w:t>
            </w:r>
          </w:p>
          <w:p>
            <w:pPr>
              <w:rPr>
                <w:rFonts w:ascii="宋体" w:hAnsi="宋体" w:cs="宋体"/>
              </w:rPr>
            </w:pPr>
            <w:r>
              <w:rPr>
                <w:rFonts w:hint="eastAsia" w:ascii="宋体" w:hAnsi="宋体" w:cs="宋体"/>
              </w:rPr>
              <w:t>二、蓄电池监测养护智能运维管理平台</w:t>
            </w:r>
          </w:p>
          <w:p>
            <w:pPr>
              <w:rPr>
                <w:rFonts w:ascii="宋体" w:hAnsi="宋体" w:cs="宋体"/>
              </w:rPr>
            </w:pPr>
            <w:r>
              <w:rPr>
                <w:rFonts w:hint="eastAsia" w:ascii="宋体" w:hAnsi="宋体" w:cs="宋体"/>
              </w:rPr>
              <w:t>软件平台基础架构：架构采用B/S架构</w:t>
            </w:r>
          </w:p>
          <w:p>
            <w:pPr>
              <w:rPr>
                <w:rFonts w:ascii="宋体" w:hAnsi="宋体" w:cs="宋体"/>
              </w:rPr>
            </w:pPr>
            <w:r>
              <w:rPr>
                <w:rFonts w:hint="eastAsia" w:ascii="宋体" w:hAnsi="宋体" w:cs="宋体"/>
              </w:rPr>
              <w:t>软件平台基础功能：软件精细化服务应实现在线监测、在线养护、均衡充电三方面在线维护功能。软件应对上传数据分析处理，实现蓄电池各项参数的实时查看、运行状态隐患智能评估分析、电池健康度准确甄别、维护指导、异常预警等功能</w:t>
            </w:r>
          </w:p>
          <w:p>
            <w:pPr>
              <w:rPr>
                <w:rFonts w:ascii="宋体" w:hAnsi="宋体" w:cs="宋体"/>
              </w:rPr>
            </w:pPr>
            <w:r>
              <w:rPr>
                <w:rFonts w:hint="eastAsia" w:ascii="宋体" w:hAnsi="宋体" w:cs="宋体"/>
              </w:rPr>
              <w:t>蓄电池智能在线评估分析功能：基于蓄电池参数（包括总电压、各单体电压、充/放电电流、极柱温度、内阻、SOC、SOH等），实现蓄电池健康状况智能评估分析功能：包括整组电池的健康度评估分析，单节电池健康状况评估分析，实现蓄电池组健康程度的定性区分以及组内各单节电池健康状况的准确甄别功能，并能够为蓄电池维护提供详细可行的在线指导（包括可继续使用、单节更换、整组更换等方面指导）</w:t>
            </w:r>
          </w:p>
          <w:p>
            <w:pPr>
              <w:rPr>
                <w:rFonts w:ascii="宋体" w:hAnsi="宋体" w:cs="宋体"/>
              </w:rPr>
            </w:pPr>
            <w:r>
              <w:rPr>
                <w:rFonts w:hint="eastAsia" w:ascii="宋体" w:hAnsi="宋体" w:cs="宋体"/>
              </w:rPr>
              <w:t>数据分析和蓄电池健康状况智能评估功能：应能以图表的形式展示各单节蓄电池加装设备前后电池性能变化的趋势，并对各蓄电池的健康状况进行智能评估分析。蓄电池健康状况智能评估应实现：蓄电池组健康程度的定性区分（如：性能良好、性能提升、单只劣化、整组报废等类似区分）、组内单节电池健康状况的准确甄别、组内及组间电池性能相近匹配（对组内及组间（双组配置）各电池进行多方面参数的综合分析，将性能相近、一致性较好的电池进行分类匹配，为蓄电池组间整合使用提供指导）</w:t>
            </w:r>
          </w:p>
          <w:p>
            <w:pPr>
              <w:rPr>
                <w:rFonts w:ascii="宋体" w:hAnsi="宋体" w:cs="宋体"/>
              </w:rPr>
            </w:pPr>
            <w:r>
              <w:rPr>
                <w:rFonts w:hint="eastAsia" w:ascii="宋体" w:hAnsi="宋体" w:cs="宋体"/>
              </w:rPr>
              <w:t>蓄电池服务指导功能：为蓄电池维护提供详细的在线指导（包括继续使用、单节更换、组间整合、降电压等级使用、整组更换等）</w:t>
            </w:r>
          </w:p>
          <w:p>
            <w:pPr>
              <w:rPr>
                <w:rFonts w:ascii="宋体" w:hAnsi="宋体" w:cs="宋体"/>
              </w:rPr>
            </w:pPr>
            <w:r>
              <w:rPr>
                <w:rFonts w:hint="eastAsia" w:ascii="宋体" w:hAnsi="宋体" w:cs="宋体"/>
              </w:rPr>
              <w:t>多站点统一管理：通过软件平台监管实现多站点统一管理，告别逐站逐站进行充放电运维，创建作业计划，远程一键启动完成所有机房运维工作。一台服务器的软件平台能够同时检测几百个站点。</w:t>
            </w:r>
          </w:p>
          <w:p>
            <w:pPr>
              <w:rPr>
                <w:rFonts w:ascii="宋体" w:hAnsi="宋体" w:cs="宋体"/>
              </w:rPr>
            </w:pPr>
            <w:r>
              <w:rPr>
                <w:rFonts w:hint="eastAsia" w:ascii="宋体" w:hAnsi="宋体" w:cs="宋体"/>
              </w:rPr>
              <w:t>操作权限管理：后台软件登录账户一般以superuser和admin为主，其中superuser为最高管理权限，如有需要，可以设置更多合法登录账户，设置不同的操作权限，进行管理。多个账户能够在同一个互通的网络区间，同时登录。</w:t>
            </w:r>
          </w:p>
          <w:p>
            <w:pPr>
              <w:rPr>
                <w:rFonts w:ascii="宋体" w:hAnsi="宋体" w:cs="宋体"/>
              </w:rPr>
            </w:pPr>
            <w:r>
              <w:rPr>
                <w:rFonts w:hint="eastAsia" w:ascii="宋体" w:hAnsi="宋体" w:cs="宋体"/>
              </w:rPr>
              <w:t>运行监控功能：系统网管能够通过曲线、柱状图、表格等多种形式，显示和查看各站点设备、蓄电池组的实时和历史运行信息，且查询内容可支持报表导出功能</w:t>
            </w:r>
          </w:p>
          <w:p>
            <w:pPr>
              <w:rPr>
                <w:rFonts w:ascii="宋体" w:hAnsi="宋体" w:cs="宋体"/>
              </w:rPr>
            </w:pPr>
            <w:r>
              <w:rPr>
                <w:rFonts w:hint="eastAsia" w:ascii="宋体" w:hAnsi="宋体" w:cs="宋体"/>
              </w:rPr>
              <w:t>放电测试/充电监测报告生成和打印功能：蓄电池性能变化趋势全寿命记录功能，报警服务，用户管理，短信发送模块和短信告警发布功能技术，系统可扩展容量；软件升级：可根据甲方需求，随时对软件功能进行升级和优化</w:t>
            </w:r>
          </w:p>
          <w:p>
            <w:pPr>
              <w:pStyle w:val="8"/>
              <w:rPr>
                <w:rFonts w:asciiTheme="minorEastAsia" w:hAnsiTheme="minorEastAsia" w:eastAsiaTheme="minorEastAsia"/>
                <w:bCs/>
                <w:sz w:val="21"/>
                <w:szCs w:val="21"/>
              </w:rPr>
            </w:pPr>
            <w:r>
              <w:rPr>
                <w:rFonts w:hint="eastAsia" w:ascii="宋体" w:hAnsi="宋体" w:cs="宋体"/>
                <w:sz w:val="22"/>
                <w:szCs w:val="22"/>
              </w:rPr>
              <w:t>系统管理平台可提供相关接口协议，可接入现有机房动环系统平台内</w:t>
            </w:r>
          </w:p>
        </w:tc>
        <w:tc>
          <w:tcPr>
            <w:tcW w:w="992" w:type="dxa"/>
            <w:vAlign w:val="center"/>
          </w:tcPr>
          <w:p>
            <w:pPr>
              <w:jc w:val="center"/>
              <w:rPr>
                <w:rFonts w:ascii="宋体" w:hAnsi="宋体"/>
                <w:szCs w:val="21"/>
                <w:u w:color="000000"/>
              </w:rPr>
            </w:pPr>
            <w:r>
              <w:rPr>
                <w:rFonts w:hint="eastAsia" w:ascii="宋体" w:hAnsi="宋体"/>
                <w:szCs w:val="21"/>
              </w:rPr>
              <w:t>1</w:t>
            </w:r>
          </w:p>
        </w:tc>
        <w:tc>
          <w:tcPr>
            <w:tcW w:w="993" w:type="dxa"/>
            <w:vAlign w:val="center"/>
          </w:tcPr>
          <w:p>
            <w:pPr>
              <w:jc w:val="center"/>
              <w:rPr>
                <w:rFonts w:ascii="宋体" w:hAnsi="宋体"/>
                <w:szCs w:val="21"/>
                <w:u w:color="000000"/>
              </w:rPr>
            </w:pPr>
            <w:r>
              <w:rPr>
                <w:rFonts w:hint="eastAsia" w:ascii="宋体"/>
                <w:szCs w:val="21"/>
              </w:rPr>
              <w:t>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jc w:val="center"/>
        </w:trPr>
        <w:tc>
          <w:tcPr>
            <w:tcW w:w="704" w:type="dxa"/>
            <w:vAlign w:val="center"/>
          </w:tcPr>
          <w:p>
            <w:pPr>
              <w:jc w:val="center"/>
              <w:rPr>
                <w:rFonts w:ascii="宋体" w:hAnsi="宋体"/>
                <w:szCs w:val="21"/>
                <w:u w:color="000000"/>
              </w:rPr>
            </w:pPr>
            <w:r>
              <w:rPr>
                <w:rFonts w:hint="eastAsia" w:ascii="宋体" w:hAnsi="宋体"/>
                <w:szCs w:val="21"/>
                <w:u w:color="000000"/>
              </w:rPr>
              <w:t>5</w:t>
            </w:r>
          </w:p>
        </w:tc>
        <w:tc>
          <w:tcPr>
            <w:tcW w:w="709" w:type="dxa"/>
            <w:vAlign w:val="center"/>
          </w:tcPr>
          <w:p>
            <w:pPr>
              <w:jc w:val="center"/>
              <w:rPr>
                <w:rFonts w:ascii="宋体" w:hAnsi="宋体"/>
                <w:szCs w:val="21"/>
                <w:u w:color="000000"/>
              </w:rPr>
            </w:pPr>
            <w:r>
              <w:rPr>
                <w:rFonts w:hint="eastAsia" w:ascii="宋体"/>
                <w:szCs w:val="21"/>
              </w:rPr>
              <w:t>其他</w:t>
            </w:r>
          </w:p>
        </w:tc>
        <w:tc>
          <w:tcPr>
            <w:tcW w:w="6095" w:type="dxa"/>
            <w:vAlign w:val="center"/>
          </w:tcPr>
          <w:p>
            <w:pPr>
              <w:pStyle w:val="8"/>
              <w:rPr>
                <w:rFonts w:cs="宋体" w:asciiTheme="minorEastAsia" w:hAnsiTheme="minorEastAsia" w:eastAsiaTheme="minorEastAsia"/>
                <w:color w:val="auto"/>
                <w:sz w:val="21"/>
                <w:szCs w:val="21"/>
              </w:rPr>
            </w:pPr>
            <w:r>
              <w:rPr>
                <w:rFonts w:hint="eastAsia" w:asciiTheme="minorEastAsia" w:hAnsiTheme="minorEastAsia" w:eastAsiaTheme="minorEastAsia"/>
                <w:sz w:val="21"/>
                <w:szCs w:val="21"/>
              </w:rPr>
              <w:t>★</w:t>
            </w:r>
            <w:r>
              <w:rPr>
                <w:rFonts w:hint="eastAsia" w:asciiTheme="minorEastAsia" w:hAnsiTheme="minorEastAsia" w:eastAsiaTheme="minorEastAsia"/>
                <w:bCs/>
                <w:sz w:val="21"/>
                <w:szCs w:val="21"/>
              </w:rPr>
              <w:t>满足2套模块化100K不间断电源，后备延时2小时蓄电池市电、直流系统，含配电环境柜、直流柜、线缆、蓄电池支撑架、辅助材料等所有零配件（包含但不限于以上产品）；</w:t>
            </w:r>
          </w:p>
        </w:tc>
        <w:tc>
          <w:tcPr>
            <w:tcW w:w="992" w:type="dxa"/>
            <w:vAlign w:val="center"/>
          </w:tcPr>
          <w:p>
            <w:pPr>
              <w:jc w:val="center"/>
              <w:rPr>
                <w:rFonts w:ascii="宋体" w:hAnsi="宋体"/>
                <w:szCs w:val="21"/>
                <w:u w:color="000000"/>
              </w:rPr>
            </w:pPr>
            <w:r>
              <w:rPr>
                <w:rFonts w:hint="eastAsia" w:ascii="宋体" w:hAnsi="宋体"/>
                <w:szCs w:val="21"/>
                <w:u w:color="000000"/>
              </w:rPr>
              <w:t>1</w:t>
            </w:r>
          </w:p>
        </w:tc>
        <w:tc>
          <w:tcPr>
            <w:tcW w:w="993" w:type="dxa"/>
            <w:vAlign w:val="center"/>
          </w:tcPr>
          <w:p>
            <w:pPr>
              <w:jc w:val="center"/>
              <w:rPr>
                <w:rFonts w:ascii="宋体" w:hAnsi="宋体"/>
                <w:szCs w:val="21"/>
                <w:u w:color="000000"/>
              </w:rPr>
            </w:pPr>
            <w:r>
              <w:rPr>
                <w:rFonts w:hint="eastAsia" w:ascii="宋体"/>
                <w:szCs w:val="21"/>
              </w:rPr>
              <w:t>项</w:t>
            </w:r>
          </w:p>
        </w:tc>
      </w:tr>
      <w:bookmarkEnd w:id="0"/>
    </w:tbl>
    <w:p>
      <w:pPr>
        <w:rPr>
          <w:sz w:val="24"/>
        </w:rPr>
      </w:pPr>
    </w:p>
    <w:p>
      <w:r>
        <w:rPr>
          <w:rFonts w:hint="eastAsia"/>
          <w:sz w:val="24"/>
        </w:rPr>
        <w:t>注：</w:t>
      </w:r>
      <w:r>
        <w:rPr>
          <w:rFonts w:hint="eastAsia" w:ascii="宋体" w:hAnsi="宋体" w:cs="宋体"/>
          <w:sz w:val="24"/>
        </w:rPr>
        <w:t>★</w:t>
      </w:r>
      <w:r>
        <w:rPr>
          <w:rFonts w:hint="eastAsia"/>
          <w:sz w:val="24"/>
        </w:rPr>
        <w:t>为实质性要求，加“▲”为加分项技术要求，不符合实质性参数要求的投标单位按废标处理</w:t>
      </w:r>
      <w:r>
        <w:rPr>
          <w:rFonts w:hint="eastAsia"/>
          <w:sz w:val="24"/>
          <w:lang w:eastAsia="zh-CN"/>
        </w:rPr>
        <w:t>。</w:t>
      </w:r>
      <w:bookmarkStart w:id="1" w:name="_GoBack"/>
      <w:bookmarkEnd w:id="1"/>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
    <w:altName w:val="宋体"/>
    <w:panose1 w:val="00000000000000000000"/>
    <w:charset w:val="86"/>
    <w:family w:val="roma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1C16A0"/>
    <w:rsid w:val="00274C72"/>
    <w:rsid w:val="00323B43"/>
    <w:rsid w:val="003D37D8"/>
    <w:rsid w:val="00426133"/>
    <w:rsid w:val="004358AB"/>
    <w:rsid w:val="006E5A32"/>
    <w:rsid w:val="007132FB"/>
    <w:rsid w:val="008B7726"/>
    <w:rsid w:val="009631FF"/>
    <w:rsid w:val="00A73030"/>
    <w:rsid w:val="00B66F90"/>
    <w:rsid w:val="00BB2A1B"/>
    <w:rsid w:val="00CA430B"/>
    <w:rsid w:val="00D31D50"/>
    <w:rsid w:val="00D7604A"/>
    <w:rsid w:val="00FC5677"/>
    <w:rsid w:val="341E44D0"/>
    <w:rsid w:val="487F3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5"/>
    <w:link w:val="3"/>
    <w:qFormat/>
    <w:uiPriority w:val="99"/>
    <w:rPr>
      <w:rFonts w:ascii="Tahoma" w:hAnsi="Tahoma"/>
      <w:sz w:val="18"/>
      <w:szCs w:val="18"/>
    </w:rPr>
  </w:style>
  <w:style w:type="character" w:customStyle="1" w:styleId="7">
    <w:name w:val="页脚 Char"/>
    <w:basedOn w:val="5"/>
    <w:link w:val="2"/>
    <w:semiHidden/>
    <w:qFormat/>
    <w:uiPriority w:val="99"/>
    <w:rPr>
      <w:rFonts w:ascii="Tahoma" w:hAnsi="Tahoma"/>
      <w:sz w:val="18"/>
      <w:szCs w:val="18"/>
    </w:rPr>
  </w:style>
  <w:style w:type="paragraph" w:customStyle="1" w:styleId="8">
    <w:name w:val="Default"/>
    <w:link w:val="9"/>
    <w:qFormat/>
    <w:uiPriority w:val="0"/>
    <w:pPr>
      <w:widowControl w:val="0"/>
      <w:autoSpaceDE w:val="0"/>
      <w:autoSpaceDN w:val="0"/>
      <w:adjustRightInd w:val="0"/>
      <w:spacing w:after="0" w:line="240" w:lineRule="auto"/>
    </w:pPr>
    <w:rPr>
      <w:rFonts w:ascii="......." w:hAnsi="Calibri" w:eastAsia="......." w:cs="......."/>
      <w:color w:val="000000"/>
      <w:sz w:val="24"/>
      <w:szCs w:val="24"/>
      <w:lang w:val="en-US" w:eastAsia="zh-CN" w:bidi="ar-SA"/>
    </w:rPr>
  </w:style>
  <w:style w:type="character" w:customStyle="1" w:styleId="9">
    <w:name w:val="Default Char"/>
    <w:link w:val="8"/>
    <w:qFormat/>
    <w:locked/>
    <w:uiPriority w:val="0"/>
    <w:rPr>
      <w:rFonts w:ascii="......." w:hAnsi="Calibri" w:eastAsia="......." w:cs="......."/>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718</Words>
  <Characters>4093</Characters>
  <Lines>34</Lines>
  <Paragraphs>9</Paragraphs>
  <TotalTime>33</TotalTime>
  <ScaleCrop>false</ScaleCrop>
  <LinksUpToDate>false</LinksUpToDate>
  <CharactersWithSpaces>4802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pc</dc:creator>
  <cp:lastModifiedBy>☀故事很长</cp:lastModifiedBy>
  <dcterms:modified xsi:type="dcterms:W3CDTF">2020-09-24T01:39:03Z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