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sz w:val="24"/>
          <w:szCs w:val="24"/>
          <w:highlight w:val="none"/>
        </w:rPr>
      </w:pPr>
      <w:r>
        <w:rPr>
          <w:rFonts w:ascii="宋体" w:hAnsi="宋体"/>
          <w:b/>
          <w:color w:val="auto"/>
          <w:sz w:val="32"/>
          <w:szCs w:val="32"/>
          <w:highlight w:val="none"/>
        </w:rPr>
        <w:t>项目需求书</w:t>
      </w:r>
      <w:r>
        <w:rPr>
          <w:rFonts w:hint="eastAsia" w:ascii="宋体" w:hAnsi="宋体"/>
          <w:b/>
          <w:color w:val="auto"/>
          <w:sz w:val="30"/>
          <w:szCs w:val="30"/>
          <w:highlight w:val="none"/>
          <w:lang w:eastAsia="zh-CN"/>
        </w:rPr>
        <w:t>（</w:t>
      </w:r>
      <w:r>
        <w:rPr>
          <w:rFonts w:hint="eastAsia" w:ascii="宋体" w:hAnsi="宋体"/>
          <w:b/>
          <w:color w:val="auto"/>
          <w:sz w:val="30"/>
          <w:szCs w:val="30"/>
          <w:highlight w:val="none"/>
          <w:lang w:val="en-US" w:eastAsia="zh-CN"/>
        </w:rPr>
        <w:t>以下</w:t>
      </w:r>
      <w:r>
        <w:rPr>
          <w:rFonts w:hint="eastAsia" w:ascii="宋体" w:hAnsi="宋体"/>
          <w:color w:val="auto"/>
          <w:sz w:val="30"/>
          <w:szCs w:val="30"/>
          <w:highlight w:val="none"/>
        </w:rPr>
        <w:t>★</w:t>
      </w:r>
      <w:r>
        <w:rPr>
          <w:rFonts w:hint="eastAsia" w:ascii="宋体" w:hAnsi="宋体"/>
          <w:b/>
          <w:color w:val="auto"/>
          <w:sz w:val="30"/>
          <w:szCs w:val="30"/>
          <w:highlight w:val="none"/>
        </w:rPr>
        <w:t>号条款</w:t>
      </w:r>
      <w:r>
        <w:rPr>
          <w:rFonts w:hint="eastAsia" w:ascii="宋体" w:hAnsi="宋体"/>
          <w:b/>
          <w:color w:val="auto"/>
          <w:sz w:val="30"/>
          <w:szCs w:val="30"/>
          <w:highlight w:val="none"/>
          <w:lang w:val="en-US" w:eastAsia="zh-CN"/>
        </w:rPr>
        <w:t>为实质性要求</w:t>
      </w:r>
      <w:r>
        <w:rPr>
          <w:rFonts w:hint="eastAsia" w:ascii="宋体" w:hAnsi="宋体"/>
          <w:b/>
          <w:color w:val="auto"/>
          <w:sz w:val="30"/>
          <w:szCs w:val="30"/>
          <w:highlight w:val="none"/>
        </w:rPr>
        <w:t>）</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rPr>
        <w:t>一、</w:t>
      </w:r>
      <w:r>
        <w:rPr>
          <w:rFonts w:hint="eastAsia" w:ascii="宋体" w:hAnsi="宋体" w:eastAsia="宋体" w:cs="宋体"/>
          <w:b/>
          <w:bCs/>
          <w:sz w:val="24"/>
          <w:szCs w:val="24"/>
          <w:highlight w:val="none"/>
          <w:lang w:eastAsia="zh-CN"/>
        </w:rPr>
        <w:t>采购标的需实现的功能或者目标，以及为落实政府采购政策需满足的要求</w:t>
      </w:r>
    </w:p>
    <w:p>
      <w:pPr>
        <w:tabs>
          <w:tab w:val="left" w:pos="900"/>
          <w:tab w:val="left" w:pos="1300"/>
        </w:tabs>
        <w:spacing w:line="360" w:lineRule="auto"/>
        <w:ind w:firstLine="480" w:firstLineChars="200"/>
        <w:rPr>
          <w:rFonts w:hint="eastAsia" w:ascii="宋体" w:hAnsi="宋体" w:cs="宋体"/>
          <w:color w:val="auto"/>
          <w:sz w:val="24"/>
          <w:highlight w:val="none"/>
          <w:lang w:eastAsia="zh-CN"/>
        </w:rPr>
      </w:pPr>
      <w:r>
        <w:rPr>
          <w:rFonts w:hint="eastAsia" w:ascii="宋体" w:hAnsi="宋体" w:cs="宋体"/>
          <w:color w:val="auto"/>
          <w:sz w:val="24"/>
          <w:highlight w:val="none"/>
          <w:lang w:val="en-US" w:eastAsia="zh-CN"/>
        </w:rPr>
        <w:t>1、</w:t>
      </w:r>
      <w:r>
        <w:rPr>
          <w:rFonts w:hint="eastAsia" w:ascii="宋体" w:hAnsi="宋体" w:cs="宋体"/>
          <w:color w:val="auto"/>
          <w:sz w:val="24"/>
          <w:highlight w:val="none"/>
          <w:lang w:eastAsia="zh-CN"/>
        </w:rPr>
        <w:t>采购标的需实现的功能或者目标：</w:t>
      </w:r>
    </w:p>
    <w:p>
      <w:pPr>
        <w:tabs>
          <w:tab w:val="left" w:pos="900"/>
          <w:tab w:val="left" w:pos="1300"/>
        </w:tabs>
        <w:spacing w:line="360" w:lineRule="auto"/>
        <w:ind w:firstLine="480" w:firstLineChars="200"/>
        <w:rPr>
          <w:rFonts w:hint="eastAsia" w:ascii="宋体" w:hAnsi="宋体" w:cs="宋体"/>
          <w:color w:val="auto"/>
          <w:sz w:val="24"/>
          <w:highlight w:val="none"/>
        </w:rPr>
      </w:pPr>
      <w:r>
        <w:rPr>
          <w:rFonts w:hint="eastAsia" w:ascii="宋体" w:hAnsi="宋体" w:cs="宋体"/>
          <w:color w:val="auto"/>
          <w:sz w:val="24"/>
          <w:highlight w:val="none"/>
        </w:rPr>
        <w:t>全民健身中心位于天津滨海旅游区安正路186号滨旅产业园A区02号楼，是中新天津生态城旅游区域内面向公众开放的综合体育场馆，规划建筑面积约为7116平米，为二层建筑物，主要设施包括篮球场、羽毛球场、健身房、台球室、游泳馆、瑜伽室等。</w:t>
      </w:r>
    </w:p>
    <w:p>
      <w:pPr>
        <w:tabs>
          <w:tab w:val="left" w:pos="900"/>
          <w:tab w:val="left" w:pos="1300"/>
        </w:tabs>
        <w:spacing w:line="360" w:lineRule="auto"/>
        <w:ind w:firstLine="480" w:firstLineChars="200"/>
        <w:rPr>
          <w:rFonts w:hint="eastAsia" w:ascii="宋体" w:hAnsi="宋体" w:cs="宋体"/>
          <w:color w:val="auto"/>
          <w:sz w:val="24"/>
          <w:highlight w:val="none"/>
        </w:rPr>
      </w:pPr>
      <w:r>
        <w:rPr>
          <w:rFonts w:hint="eastAsia" w:ascii="宋体" w:hAnsi="宋体" w:cs="宋体"/>
          <w:color w:val="auto"/>
          <w:sz w:val="24"/>
          <w:highlight w:val="none"/>
        </w:rPr>
        <w:t>其中，篮球场地面积为928平方米；健身区面积为335平方米；乒乓球室面积为130.89平方米；泳游馆面积为250平方米；搏击馆面积为139平方米；瑜伽室面积为109平方米；模拟体验室31平方米。</w:t>
      </w:r>
    </w:p>
    <w:p>
      <w:pPr>
        <w:tabs>
          <w:tab w:val="left" w:pos="900"/>
          <w:tab w:val="left" w:pos="1300"/>
        </w:tabs>
        <w:spacing w:line="360" w:lineRule="auto"/>
        <w:ind w:firstLine="480" w:firstLineChars="200"/>
        <w:rPr>
          <w:rFonts w:hint="eastAsia" w:ascii="宋体" w:hAnsi="宋体" w:cs="宋体"/>
          <w:color w:val="auto"/>
          <w:sz w:val="24"/>
          <w:highlight w:val="none"/>
          <w:lang w:val="en-US" w:eastAsia="zh-CN"/>
        </w:rPr>
      </w:pPr>
      <w:r>
        <w:rPr>
          <w:rFonts w:hint="eastAsia" w:ascii="宋体" w:hAnsi="宋体" w:cs="宋体"/>
          <w:color w:val="auto"/>
          <w:sz w:val="24"/>
          <w:highlight w:val="none"/>
          <w:lang w:val="en-US" w:eastAsia="zh-CN"/>
        </w:rPr>
        <w:t>本项目拟聘请第三方专业服务机构对上述场馆进行专业的社会化运营管理服务，发挥综合场馆优势，最终实现全面健身、利民惠民的目标。</w:t>
      </w:r>
    </w:p>
    <w:p>
      <w:pPr>
        <w:tabs>
          <w:tab w:val="left" w:pos="900"/>
          <w:tab w:val="left" w:pos="1300"/>
        </w:tabs>
        <w:spacing w:line="360" w:lineRule="auto"/>
        <w:ind w:firstLine="480" w:firstLineChars="200"/>
        <w:rPr>
          <w:rFonts w:hint="eastAsia" w:ascii="宋体" w:hAnsi="宋体" w:cs="宋体"/>
          <w:color w:val="auto"/>
          <w:sz w:val="24"/>
          <w:highlight w:val="none"/>
          <w:lang w:eastAsia="zh-CN"/>
        </w:rPr>
      </w:pPr>
      <w:r>
        <w:rPr>
          <w:rFonts w:hint="eastAsia" w:ascii="宋体" w:hAnsi="宋体" w:cs="宋体"/>
          <w:color w:val="auto"/>
          <w:sz w:val="24"/>
          <w:highlight w:val="none"/>
          <w:lang w:val="en-US" w:eastAsia="zh-CN"/>
        </w:rPr>
        <w:t>2、</w:t>
      </w:r>
      <w:r>
        <w:rPr>
          <w:rFonts w:hint="eastAsia" w:ascii="宋体" w:hAnsi="宋体" w:cs="宋体"/>
          <w:color w:val="auto"/>
          <w:sz w:val="24"/>
          <w:highlight w:val="none"/>
          <w:lang w:eastAsia="zh-CN"/>
        </w:rPr>
        <w:t>政府采购政策需满足的要求：</w:t>
      </w:r>
    </w:p>
    <w:p>
      <w:pPr>
        <w:tabs>
          <w:tab w:val="left" w:pos="900"/>
          <w:tab w:val="left" w:pos="1300"/>
        </w:tabs>
        <w:spacing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1</w:t>
      </w:r>
      <w:r>
        <w:rPr>
          <w:rFonts w:hint="eastAsia" w:ascii="宋体" w:hAnsi="宋体" w:cs="宋体"/>
          <w:color w:val="auto"/>
          <w:sz w:val="24"/>
          <w:highlight w:val="none"/>
          <w:lang w:eastAsia="zh-CN"/>
        </w:rPr>
        <w:t>.</w:t>
      </w:r>
      <w:r>
        <w:rPr>
          <w:rFonts w:hint="eastAsia" w:ascii="宋体" w:hAnsi="宋体" w:cs="宋体"/>
          <w:color w:val="auto"/>
          <w:sz w:val="24"/>
          <w:highlight w:val="none"/>
        </w:rPr>
        <w:t>根据财政部发布的《政府采购促进中小企业发展暂行办法》规定，对小型和微型企业价格给予6%的扣除（供应商自身为小型或微型企业则给予6%的扣除，否则不予扣除，同时小微企业须提供《中小企业声明函》（中小企业划分见“关于印发中小企业划型标准规定的通知”（工信部联企业〔2011〕300号），未提供《中小企业声明函》的将不给予价格扣除。</w:t>
      </w:r>
    </w:p>
    <w:p>
      <w:pPr>
        <w:tabs>
          <w:tab w:val="left" w:pos="900"/>
          <w:tab w:val="left" w:pos="1300"/>
        </w:tabs>
        <w:spacing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2</w:t>
      </w:r>
      <w:r>
        <w:rPr>
          <w:rFonts w:hint="eastAsia" w:ascii="宋体" w:hAnsi="宋体" w:cs="宋体"/>
          <w:color w:val="auto"/>
          <w:sz w:val="24"/>
          <w:highlight w:val="none"/>
          <w:lang w:eastAsia="zh-CN"/>
        </w:rPr>
        <w:t>.</w:t>
      </w:r>
      <w:r>
        <w:rPr>
          <w:rFonts w:hint="eastAsia" w:ascii="宋体" w:hAnsi="宋体" w:cs="宋体"/>
          <w:color w:val="auto"/>
          <w:sz w:val="24"/>
          <w:szCs w:val="24"/>
          <w:highlight w:val="none"/>
        </w:rPr>
        <w:t>根据财政部、民政部、中国残疾人联合会联合发布的《关于促进残疾人就业政府采购政策的通知》（财库〔2017〕141号）规定，在政府采购活动中，残疾人福利性单位视同小型、微型企业，对其价格给予6%的扣除（供应商所投全部货物生产厂家为残疾人福利性单位则给予6%的扣除，否则不予扣除）。残疾人福利性单位属于小型、微型企业的，不重复享受政策。符合条件的残疾人福利性单位须提供《残疾人福利性单位声明函》，未提供《残疾人福利性单位声明函》的将不给予价格扣除</w:t>
      </w:r>
      <w:r>
        <w:rPr>
          <w:rFonts w:hint="eastAsia" w:ascii="宋体" w:hAnsi="宋体" w:cs="宋体"/>
          <w:color w:val="auto"/>
          <w:sz w:val="24"/>
          <w:highlight w:val="none"/>
        </w:rPr>
        <w:t>。</w:t>
      </w:r>
    </w:p>
    <w:p>
      <w:pPr>
        <w:tabs>
          <w:tab w:val="left" w:pos="900"/>
          <w:tab w:val="left" w:pos="1300"/>
        </w:tabs>
        <w:spacing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3</w:t>
      </w:r>
      <w:r>
        <w:rPr>
          <w:rFonts w:hint="eastAsia" w:ascii="宋体" w:hAnsi="宋体" w:cs="宋体"/>
          <w:color w:val="auto"/>
          <w:sz w:val="24"/>
          <w:highlight w:val="none"/>
          <w:lang w:eastAsia="zh-CN"/>
        </w:rPr>
        <w:t>.</w:t>
      </w:r>
      <w:r>
        <w:rPr>
          <w:rFonts w:hint="eastAsia" w:ascii="宋体" w:hAnsi="宋体" w:cs="宋体"/>
          <w:color w:val="auto"/>
          <w:sz w:val="24"/>
          <w:szCs w:val="24"/>
          <w:highlight w:val="none"/>
        </w:rPr>
        <w:t>执行《关于政府采购支持监狱企业发展有关问题的通知》规定。对监狱企业视同小型、微型企业，享受评审中价格扣除政策，同时监狱企业技术标中须提供由省级以上监狱管理局、戒毒管理局（含新疆生产建设兵团）出具的属于监狱企业的证明文件，未提供的将不给予价格扣除</w:t>
      </w:r>
      <w:r>
        <w:rPr>
          <w:rFonts w:hint="eastAsia" w:ascii="宋体" w:hAnsi="宋体" w:cs="宋体"/>
          <w:color w:val="auto"/>
          <w:sz w:val="24"/>
          <w:highlight w:val="none"/>
        </w:rPr>
        <w:t>。</w:t>
      </w:r>
    </w:p>
    <w:p>
      <w:pPr>
        <w:tabs>
          <w:tab w:val="left" w:pos="900"/>
          <w:tab w:val="left" w:pos="1300"/>
        </w:tabs>
        <w:spacing w:line="360" w:lineRule="auto"/>
        <w:ind w:firstLine="480" w:firstLineChars="200"/>
        <w:rPr>
          <w:rFonts w:ascii="宋体" w:hAnsi="宋体" w:cs="宋体"/>
          <w:bCs/>
          <w:color w:val="auto"/>
          <w:sz w:val="24"/>
          <w:highlight w:val="none"/>
        </w:rPr>
      </w:pPr>
      <w:r>
        <w:rPr>
          <w:rFonts w:hint="eastAsia" w:ascii="宋体" w:hAnsi="宋体" w:cs="宋体"/>
          <w:bCs/>
          <w:color w:val="auto"/>
          <w:sz w:val="24"/>
          <w:highlight w:val="none"/>
        </w:rPr>
        <w:t>4</w:t>
      </w:r>
      <w:r>
        <w:rPr>
          <w:rFonts w:hint="eastAsia" w:ascii="宋体" w:hAnsi="宋体" w:cs="宋体"/>
          <w:bCs/>
          <w:color w:val="auto"/>
          <w:sz w:val="24"/>
          <w:highlight w:val="none"/>
          <w:lang w:eastAsia="zh-CN"/>
        </w:rPr>
        <w:t>.</w:t>
      </w:r>
      <w:r>
        <w:rPr>
          <w:rFonts w:hint="eastAsia" w:ascii="宋体" w:hAnsi="宋体" w:cs="宋体"/>
          <w:bCs/>
          <w:color w:val="auto"/>
          <w:sz w:val="24"/>
          <w:highlight w:val="none"/>
        </w:rPr>
        <w:t>根据《天津市财政局关于在政府采购活动中查询和使用信用记录及做好有关信用主体标识码登记工作的通知》（津财采（2016）27号）文件的规定，采购人、代理机构在项目评审过程中对供应商信用信息进行查询，对列入失信被执行人、重大税收违法案件当事人名单、政府采购严重违法失信行为记录名单的供应商，拒绝其参与政府采购活动。</w:t>
      </w:r>
    </w:p>
    <w:p>
      <w:pPr>
        <w:tabs>
          <w:tab w:val="left" w:pos="900"/>
          <w:tab w:val="left" w:pos="1300"/>
        </w:tabs>
        <w:spacing w:line="360" w:lineRule="auto"/>
        <w:ind w:firstLine="480" w:firstLineChars="200"/>
        <w:rPr>
          <w:rFonts w:ascii="宋体" w:hAnsi="宋体" w:cs="宋体"/>
          <w:bCs/>
          <w:color w:val="auto"/>
          <w:sz w:val="24"/>
          <w:highlight w:val="none"/>
        </w:rPr>
      </w:pPr>
      <w:r>
        <w:rPr>
          <w:rFonts w:hint="eastAsia" w:ascii="宋体" w:hAnsi="宋体" w:cs="宋体"/>
          <w:bCs/>
          <w:color w:val="auto"/>
          <w:sz w:val="24"/>
          <w:highlight w:val="none"/>
        </w:rPr>
        <w:t>（1）信用信息的查询渠道包括“信用中国”网站（www.creditchina.gov.cn）和中国政府采购网（www.ccgp. gov.cn）。</w:t>
      </w:r>
    </w:p>
    <w:p>
      <w:pPr>
        <w:tabs>
          <w:tab w:val="left" w:pos="900"/>
          <w:tab w:val="left" w:pos="1300"/>
        </w:tabs>
        <w:spacing w:line="360" w:lineRule="auto"/>
        <w:ind w:firstLine="480" w:firstLineChars="200"/>
        <w:rPr>
          <w:rFonts w:hint="default"/>
          <w:highlight w:val="none"/>
          <w:lang w:val="en-US" w:eastAsia="zh-CN"/>
        </w:rPr>
      </w:pPr>
      <w:r>
        <w:rPr>
          <w:rFonts w:hint="eastAsia" w:ascii="宋体" w:hAnsi="宋体" w:cs="宋体"/>
          <w:bCs/>
          <w:color w:val="auto"/>
          <w:sz w:val="24"/>
          <w:highlight w:val="none"/>
        </w:rPr>
        <w:t>（2）查询的截止时点为开标时间或响应文件开启时间。</w:t>
      </w:r>
    </w:p>
    <w:p>
      <w:pPr>
        <w:keepNext w:val="0"/>
        <w:keepLines w:val="0"/>
        <w:pageBreakBefore w:val="0"/>
        <w:kinsoku/>
        <w:wordWrap/>
        <w:overflowPunct/>
        <w:topLinePunct w:val="0"/>
        <w:autoSpaceDE/>
        <w:autoSpaceDN/>
        <w:bidi w:val="0"/>
        <w:adjustRightInd w:val="0"/>
        <w:snapToGrid w:val="0"/>
        <w:spacing w:line="360" w:lineRule="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rPr>
        <w:t>二、采购标的需满足的质量、安全、技术规格、物理特性等要求</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负责全民健身中心的运营管理及</w:t>
      </w:r>
      <w:r>
        <w:rPr>
          <w:rFonts w:hint="eastAsia" w:ascii="宋体" w:hAnsi="宋体" w:cs="宋体"/>
          <w:sz w:val="24"/>
          <w:szCs w:val="24"/>
          <w:highlight w:val="none"/>
          <w:lang w:eastAsia="zh-CN"/>
        </w:rPr>
        <w:t>运营服务</w:t>
      </w:r>
      <w:r>
        <w:rPr>
          <w:rFonts w:hint="eastAsia" w:ascii="宋体" w:hAnsi="宋体" w:eastAsia="宋体" w:cs="宋体"/>
          <w:sz w:val="24"/>
          <w:szCs w:val="24"/>
          <w:highlight w:val="none"/>
        </w:rPr>
        <w:t>，包括场馆运营、接待服务、环境保洁、秩序服务、设备设施运行维护服务及其它约定的服务。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1、场馆运营管理：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（1）定期做好场馆活动，执行场馆现有单次收费标准并承担全部会员权益。负责继续开发更丰富的卡种、营销策略、推广宣传，并负责做好企业、政府相关活动的对接等。</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现有收费标准及卡种如下：</w:t>
      </w:r>
    </w:p>
    <w:tbl>
      <w:tblPr>
        <w:tblStyle w:val="3"/>
        <w:tblW w:w="8522" w:type="dxa"/>
        <w:jc w:val="center"/>
        <w:tblLayout w:type="fixed"/>
        <w:tblCellMar>
          <w:top w:w="0" w:type="dxa"/>
          <w:left w:w="108" w:type="dxa"/>
          <w:bottom w:w="0" w:type="dxa"/>
          <w:right w:w="108" w:type="dxa"/>
        </w:tblCellMar>
      </w:tblPr>
      <w:tblGrid>
        <w:gridCol w:w="3675"/>
        <w:gridCol w:w="4847"/>
      </w:tblGrid>
      <w:tr>
        <w:tblPrEx>
          <w:tblCellMar>
            <w:top w:w="0" w:type="dxa"/>
            <w:left w:w="108" w:type="dxa"/>
            <w:bottom w:w="0" w:type="dxa"/>
            <w:right w:w="108" w:type="dxa"/>
          </w:tblCellMar>
        </w:tblPrEx>
        <w:trPr>
          <w:trHeight w:val="270" w:hRule="atLeast"/>
          <w:jc w:val="center"/>
        </w:trPr>
        <w:tc>
          <w:tcPr>
            <w:tcW w:w="8522" w:type="dxa"/>
            <w:gridSpan w:val="2"/>
            <w:tcBorders>
              <w:top w:val="single" w:color="auto" w:sz="4" w:space="0"/>
              <w:left w:val="single" w:color="auto" w:sz="4" w:space="0"/>
              <w:bottom w:val="single" w:color="auto"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单次收费标准</w:t>
            </w:r>
          </w:p>
        </w:tc>
      </w:tr>
      <w:tr>
        <w:tblPrEx>
          <w:tblCellMar>
            <w:top w:w="0" w:type="dxa"/>
            <w:left w:w="108" w:type="dxa"/>
            <w:bottom w:w="0" w:type="dxa"/>
            <w:right w:w="108" w:type="dxa"/>
          </w:tblCellMar>
        </w:tblPrEx>
        <w:trPr>
          <w:trHeight w:val="590" w:hRule="atLeast"/>
          <w:jc w:val="center"/>
        </w:trPr>
        <w:tc>
          <w:tcPr>
            <w:tcW w:w="3675" w:type="dxa"/>
            <w:tcBorders>
              <w:top w:val="nil"/>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桌球</w:t>
            </w:r>
          </w:p>
        </w:tc>
        <w:tc>
          <w:tcPr>
            <w:tcW w:w="4847" w:type="dxa"/>
            <w:tcBorders>
              <w:top w:val="nil"/>
              <w:left w:val="nil"/>
              <w:bottom w:val="single" w:color="auto" w:sz="4" w:space="0"/>
              <w:right w:val="single" w:color="auto" w:sz="4" w:space="0"/>
            </w:tcBorders>
            <w:noWrap w:val="0"/>
            <w:vAlign w:val="top"/>
          </w:tcPr>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20元/小时</w:t>
            </w:r>
          </w:p>
        </w:tc>
      </w:tr>
      <w:tr>
        <w:tblPrEx>
          <w:tblCellMar>
            <w:top w:w="0" w:type="dxa"/>
            <w:left w:w="108" w:type="dxa"/>
            <w:bottom w:w="0" w:type="dxa"/>
            <w:right w:w="108" w:type="dxa"/>
          </w:tblCellMar>
        </w:tblPrEx>
        <w:trPr>
          <w:trHeight w:val="654"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游泳</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lang w:eastAsia="zh-CN"/>
              </w:rPr>
            </w:pPr>
            <w:r>
              <w:rPr>
                <w:rFonts w:hint="eastAsia" w:ascii="宋体" w:hAnsi="宋体" w:eastAsia="宋体" w:cs="宋体"/>
                <w:color w:val="000000"/>
                <w:kern w:val="0"/>
                <w:sz w:val="24"/>
                <w:szCs w:val="24"/>
                <w:highlight w:val="none"/>
              </w:rPr>
              <w:t>40元/次</w:t>
            </w:r>
            <w:r>
              <w:rPr>
                <w:rFonts w:hint="eastAsia" w:ascii="宋体" w:hAnsi="宋体" w:cs="宋体"/>
                <w:color w:val="000000"/>
                <w:kern w:val="0"/>
                <w:sz w:val="24"/>
                <w:szCs w:val="24"/>
                <w:highlight w:val="none"/>
                <w:lang w:eastAsia="zh-CN"/>
              </w:rPr>
              <w:t>（</w:t>
            </w:r>
            <w:r>
              <w:rPr>
                <w:rFonts w:hint="eastAsia" w:ascii="宋体" w:hAnsi="宋体" w:cs="宋体"/>
                <w:color w:val="000000"/>
                <w:kern w:val="0"/>
                <w:sz w:val="24"/>
                <w:szCs w:val="24"/>
                <w:highlight w:val="none"/>
                <w:lang w:val="en-US" w:eastAsia="zh-CN"/>
              </w:rPr>
              <w:t>不限时</w:t>
            </w:r>
            <w:r>
              <w:rPr>
                <w:rFonts w:hint="eastAsia" w:ascii="宋体" w:hAnsi="宋体" w:cs="宋体"/>
                <w:color w:val="000000"/>
                <w:kern w:val="0"/>
                <w:sz w:val="24"/>
                <w:szCs w:val="24"/>
                <w:highlight w:val="none"/>
                <w:lang w:eastAsia="zh-CN"/>
              </w:rPr>
              <w:t>）</w:t>
            </w:r>
          </w:p>
        </w:tc>
      </w:tr>
      <w:tr>
        <w:tblPrEx>
          <w:tblCellMar>
            <w:top w:w="0" w:type="dxa"/>
            <w:left w:w="108" w:type="dxa"/>
            <w:bottom w:w="0" w:type="dxa"/>
            <w:right w:w="108" w:type="dxa"/>
          </w:tblCellMar>
        </w:tblPrEx>
        <w:trPr>
          <w:trHeight w:val="270"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羽毛球</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30/小时</w:t>
            </w:r>
          </w:p>
        </w:tc>
      </w:tr>
      <w:tr>
        <w:tblPrEx>
          <w:tblCellMar>
            <w:top w:w="0" w:type="dxa"/>
            <w:left w:w="108" w:type="dxa"/>
            <w:bottom w:w="0" w:type="dxa"/>
            <w:right w:w="108" w:type="dxa"/>
          </w:tblCellMar>
        </w:tblPrEx>
        <w:trPr>
          <w:trHeight w:val="566"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乒乓球</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20/小时</w:t>
            </w:r>
          </w:p>
        </w:tc>
      </w:tr>
      <w:tr>
        <w:tblPrEx>
          <w:tblCellMar>
            <w:top w:w="0" w:type="dxa"/>
            <w:left w:w="108" w:type="dxa"/>
            <w:bottom w:w="0" w:type="dxa"/>
            <w:right w:w="108" w:type="dxa"/>
          </w:tblCellMar>
        </w:tblPrEx>
        <w:trPr>
          <w:trHeight w:val="653"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篮球场</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200元/小时</w:t>
            </w:r>
          </w:p>
        </w:tc>
      </w:tr>
      <w:tr>
        <w:tblPrEx>
          <w:tblCellMar>
            <w:top w:w="0" w:type="dxa"/>
            <w:left w:w="108" w:type="dxa"/>
            <w:bottom w:w="0" w:type="dxa"/>
            <w:right w:w="108" w:type="dxa"/>
          </w:tblCellMar>
        </w:tblPrEx>
        <w:trPr>
          <w:trHeight w:val="641"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健身房</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lang w:eastAsia="zh-CN"/>
              </w:rPr>
            </w:pPr>
            <w:r>
              <w:rPr>
                <w:rFonts w:hint="eastAsia" w:ascii="宋体" w:hAnsi="宋体" w:eastAsia="宋体" w:cs="宋体"/>
                <w:color w:val="000000"/>
                <w:kern w:val="0"/>
                <w:sz w:val="24"/>
                <w:szCs w:val="24"/>
                <w:highlight w:val="none"/>
              </w:rPr>
              <w:t>30元/次</w:t>
            </w:r>
            <w:r>
              <w:rPr>
                <w:rFonts w:hint="eastAsia" w:ascii="宋体" w:hAnsi="宋体" w:cs="宋体"/>
                <w:color w:val="000000"/>
                <w:kern w:val="0"/>
                <w:sz w:val="24"/>
                <w:szCs w:val="24"/>
                <w:highlight w:val="none"/>
                <w:lang w:eastAsia="zh-CN"/>
              </w:rPr>
              <w:t>（</w:t>
            </w:r>
            <w:r>
              <w:rPr>
                <w:rFonts w:hint="eastAsia" w:ascii="宋体" w:hAnsi="宋体" w:cs="宋体"/>
                <w:color w:val="000000"/>
                <w:kern w:val="0"/>
                <w:sz w:val="24"/>
                <w:szCs w:val="24"/>
                <w:highlight w:val="none"/>
                <w:lang w:val="en-US" w:eastAsia="zh-CN"/>
              </w:rPr>
              <w:t>不限时</w:t>
            </w:r>
            <w:r>
              <w:rPr>
                <w:rFonts w:hint="eastAsia" w:ascii="宋体" w:hAnsi="宋体" w:cs="宋体"/>
                <w:color w:val="000000"/>
                <w:kern w:val="0"/>
                <w:sz w:val="24"/>
                <w:szCs w:val="24"/>
                <w:highlight w:val="none"/>
                <w:lang w:eastAsia="zh-CN"/>
              </w:rPr>
              <w:t>）</w:t>
            </w:r>
          </w:p>
        </w:tc>
      </w:tr>
      <w:tr>
        <w:tblPrEx>
          <w:tblCellMar>
            <w:top w:w="0" w:type="dxa"/>
            <w:left w:w="108" w:type="dxa"/>
            <w:bottom w:w="0" w:type="dxa"/>
            <w:right w:w="108" w:type="dxa"/>
          </w:tblCellMar>
        </w:tblPrEx>
        <w:trPr>
          <w:trHeight w:val="616"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举行活动</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lang w:eastAsia="zh-CN"/>
              </w:rPr>
            </w:pPr>
            <w:r>
              <w:rPr>
                <w:rFonts w:hint="eastAsia" w:ascii="宋体" w:hAnsi="宋体" w:eastAsia="宋体" w:cs="宋体"/>
                <w:color w:val="000000"/>
                <w:kern w:val="0"/>
                <w:sz w:val="24"/>
                <w:szCs w:val="24"/>
                <w:highlight w:val="none"/>
              </w:rPr>
              <w:t>300元/次</w:t>
            </w:r>
            <w:r>
              <w:rPr>
                <w:rFonts w:hint="eastAsia" w:ascii="宋体" w:hAnsi="宋体" w:cs="宋体"/>
                <w:color w:val="000000"/>
                <w:kern w:val="0"/>
                <w:sz w:val="24"/>
                <w:szCs w:val="24"/>
                <w:highlight w:val="none"/>
                <w:lang w:eastAsia="zh-CN"/>
              </w:rPr>
              <w:t>（</w:t>
            </w:r>
            <w:r>
              <w:rPr>
                <w:rFonts w:hint="eastAsia" w:ascii="宋体" w:hAnsi="宋体" w:cs="宋体"/>
                <w:color w:val="000000"/>
                <w:kern w:val="0"/>
                <w:sz w:val="24"/>
                <w:szCs w:val="24"/>
                <w:highlight w:val="none"/>
                <w:lang w:val="en-US" w:eastAsia="zh-CN"/>
              </w:rPr>
              <w:t>最低收费</w:t>
            </w:r>
            <w:r>
              <w:rPr>
                <w:rFonts w:hint="eastAsia" w:ascii="宋体" w:hAnsi="宋体" w:cs="宋体"/>
                <w:color w:val="000000"/>
                <w:kern w:val="0"/>
                <w:sz w:val="24"/>
                <w:szCs w:val="24"/>
                <w:highlight w:val="none"/>
                <w:lang w:eastAsia="zh-CN"/>
              </w:rPr>
              <w:t>）</w:t>
            </w:r>
          </w:p>
        </w:tc>
      </w:tr>
      <w:tr>
        <w:tblPrEx>
          <w:tblCellMar>
            <w:top w:w="0" w:type="dxa"/>
            <w:left w:w="108" w:type="dxa"/>
            <w:bottom w:w="0" w:type="dxa"/>
            <w:right w:w="108" w:type="dxa"/>
          </w:tblCellMar>
        </w:tblPrEx>
        <w:trPr>
          <w:trHeight w:val="270" w:hRule="atLeast"/>
          <w:jc w:val="center"/>
        </w:trPr>
        <w:tc>
          <w:tcPr>
            <w:tcW w:w="3675"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模拟体验</w:t>
            </w:r>
          </w:p>
        </w:tc>
        <w:tc>
          <w:tcPr>
            <w:tcW w:w="4847"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50元/小时</w:t>
            </w:r>
          </w:p>
        </w:tc>
      </w:tr>
    </w:tbl>
    <w:p>
      <w:pPr>
        <w:keepNext w:val="0"/>
        <w:keepLines w:val="0"/>
        <w:pageBreakBefore w:val="0"/>
        <w:kinsoku/>
        <w:wordWrap/>
        <w:overflowPunct/>
        <w:topLinePunct w:val="0"/>
        <w:autoSpaceDE/>
        <w:autoSpaceDN/>
        <w:bidi w:val="0"/>
        <w:adjustRightInd w:val="0"/>
        <w:snapToGrid w:val="0"/>
        <w:spacing w:line="360" w:lineRule="auto"/>
        <w:jc w:val="both"/>
        <w:rPr>
          <w:rFonts w:hint="eastAsia" w:ascii="宋体" w:hAnsi="宋体" w:eastAsia="宋体" w:cs="宋体"/>
          <w:sz w:val="24"/>
          <w:szCs w:val="24"/>
          <w:highlight w:val="none"/>
          <w:lang w:val="en-US" w:eastAsia="zh-CN"/>
        </w:rPr>
      </w:pPr>
    </w:p>
    <w:tbl>
      <w:tblPr>
        <w:tblStyle w:val="3"/>
        <w:tblW w:w="9171" w:type="dxa"/>
        <w:jc w:val="center"/>
        <w:tblLayout w:type="fixed"/>
        <w:tblCellMar>
          <w:top w:w="0" w:type="dxa"/>
          <w:left w:w="108" w:type="dxa"/>
          <w:bottom w:w="0" w:type="dxa"/>
          <w:right w:w="108" w:type="dxa"/>
        </w:tblCellMar>
      </w:tblPr>
      <w:tblGrid>
        <w:gridCol w:w="1528"/>
        <w:gridCol w:w="1493"/>
        <w:gridCol w:w="1465"/>
        <w:gridCol w:w="1564"/>
        <w:gridCol w:w="1845"/>
        <w:gridCol w:w="1276"/>
      </w:tblGrid>
      <w:tr>
        <w:tblPrEx>
          <w:tblCellMar>
            <w:top w:w="0" w:type="dxa"/>
            <w:left w:w="108" w:type="dxa"/>
            <w:bottom w:w="0" w:type="dxa"/>
            <w:right w:w="108" w:type="dxa"/>
          </w:tblCellMar>
        </w:tblPrEx>
        <w:trPr>
          <w:trHeight w:val="270" w:hRule="atLeast"/>
          <w:jc w:val="center"/>
        </w:trPr>
        <w:tc>
          <w:tcPr>
            <w:tcW w:w="15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kern w:val="0"/>
                <w:sz w:val="24"/>
                <w:szCs w:val="24"/>
                <w:highlight w:val="none"/>
              </w:rPr>
            </w:pPr>
          </w:p>
        </w:tc>
        <w:tc>
          <w:tcPr>
            <w:tcW w:w="4522" w:type="dxa"/>
            <w:gridSpan w:val="3"/>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储值卡</w:t>
            </w:r>
          </w:p>
        </w:tc>
        <w:tc>
          <w:tcPr>
            <w:tcW w:w="1845" w:type="dxa"/>
            <w:tcBorders>
              <w:top w:val="single" w:color="auto" w:sz="4" w:space="0"/>
              <w:left w:val="nil"/>
              <w:bottom w:val="single" w:color="auto"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健身卡</w:t>
            </w:r>
          </w:p>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（游泳、健身）</w:t>
            </w:r>
          </w:p>
        </w:tc>
        <w:tc>
          <w:tcPr>
            <w:tcW w:w="1276" w:type="dxa"/>
            <w:tcBorders>
              <w:top w:val="single" w:color="auto" w:sz="4" w:space="0"/>
              <w:left w:val="nil"/>
              <w:bottom w:val="single" w:color="auto"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游泳次卡</w:t>
            </w:r>
          </w:p>
        </w:tc>
      </w:tr>
      <w:tr>
        <w:tblPrEx>
          <w:tblCellMar>
            <w:top w:w="0" w:type="dxa"/>
            <w:left w:w="108" w:type="dxa"/>
            <w:bottom w:w="0" w:type="dxa"/>
            <w:right w:w="108" w:type="dxa"/>
          </w:tblCellMar>
        </w:tblPrEx>
        <w:trPr>
          <w:trHeight w:val="270" w:hRule="atLeast"/>
          <w:jc w:val="center"/>
        </w:trPr>
        <w:tc>
          <w:tcPr>
            <w:tcW w:w="1528"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卡种名称</w:t>
            </w:r>
          </w:p>
        </w:tc>
        <w:tc>
          <w:tcPr>
            <w:tcW w:w="1493"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A</w:t>
            </w:r>
          </w:p>
        </w:tc>
        <w:tc>
          <w:tcPr>
            <w:tcW w:w="146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B</w:t>
            </w:r>
          </w:p>
        </w:tc>
        <w:tc>
          <w:tcPr>
            <w:tcW w:w="15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C</w:t>
            </w:r>
          </w:p>
        </w:tc>
        <w:tc>
          <w:tcPr>
            <w:tcW w:w="184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rPr>
              <w:t>年卡</w:t>
            </w:r>
          </w:p>
        </w:tc>
        <w:tc>
          <w:tcPr>
            <w:tcW w:w="127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游泳次卡</w:t>
            </w:r>
          </w:p>
        </w:tc>
      </w:tr>
      <w:tr>
        <w:tblPrEx>
          <w:tblCellMar>
            <w:top w:w="0" w:type="dxa"/>
            <w:left w:w="108" w:type="dxa"/>
            <w:bottom w:w="0" w:type="dxa"/>
            <w:right w:w="108" w:type="dxa"/>
          </w:tblCellMar>
        </w:tblPrEx>
        <w:trPr>
          <w:trHeight w:val="315" w:hRule="atLeast"/>
          <w:jc w:val="center"/>
        </w:trPr>
        <w:tc>
          <w:tcPr>
            <w:tcW w:w="1528" w:type="dxa"/>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bCs/>
                <w:kern w:val="0"/>
                <w:sz w:val="24"/>
                <w:szCs w:val="24"/>
                <w:highlight w:val="none"/>
              </w:rPr>
            </w:pPr>
            <w:r>
              <w:rPr>
                <w:rFonts w:hint="eastAsia" w:ascii="宋体" w:hAnsi="宋体" w:eastAsia="宋体" w:cs="宋体"/>
                <w:bCs/>
                <w:kern w:val="0"/>
                <w:sz w:val="24"/>
                <w:szCs w:val="24"/>
                <w:highlight w:val="none"/>
              </w:rPr>
              <w:t>金额</w:t>
            </w:r>
          </w:p>
        </w:tc>
        <w:tc>
          <w:tcPr>
            <w:tcW w:w="1493"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充值5000</w:t>
            </w:r>
            <w:r>
              <w:rPr>
                <w:rFonts w:hint="eastAsia" w:ascii="宋体" w:hAnsi="宋体" w:eastAsia="宋体" w:cs="宋体"/>
                <w:kern w:val="0"/>
                <w:sz w:val="24"/>
                <w:szCs w:val="24"/>
                <w:highlight w:val="none"/>
                <w:lang w:val="en-US" w:eastAsia="zh-CN"/>
              </w:rPr>
              <w:t>元</w:t>
            </w:r>
            <w:r>
              <w:rPr>
                <w:rFonts w:hint="eastAsia" w:ascii="宋体" w:hAnsi="宋体" w:eastAsia="宋体" w:cs="宋体"/>
                <w:kern w:val="0"/>
                <w:sz w:val="24"/>
                <w:szCs w:val="24"/>
                <w:highlight w:val="none"/>
              </w:rPr>
              <w:t>打8折（包含馆内所有项目，私教培训除外）</w:t>
            </w:r>
          </w:p>
        </w:tc>
        <w:tc>
          <w:tcPr>
            <w:tcW w:w="146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充值2000</w:t>
            </w:r>
            <w:r>
              <w:rPr>
                <w:rFonts w:hint="eastAsia" w:ascii="宋体" w:hAnsi="宋体" w:eastAsia="宋体" w:cs="宋体"/>
                <w:kern w:val="0"/>
                <w:sz w:val="24"/>
                <w:szCs w:val="24"/>
                <w:highlight w:val="none"/>
                <w:lang w:val="en-US" w:eastAsia="zh-CN"/>
              </w:rPr>
              <w:t>元</w:t>
            </w:r>
            <w:r>
              <w:rPr>
                <w:rFonts w:hint="eastAsia" w:ascii="宋体" w:hAnsi="宋体" w:eastAsia="宋体" w:cs="宋体"/>
                <w:kern w:val="0"/>
                <w:sz w:val="24"/>
                <w:szCs w:val="24"/>
                <w:highlight w:val="none"/>
              </w:rPr>
              <w:t>打9折（包含馆内所有项目，私教培训除外）</w:t>
            </w:r>
          </w:p>
        </w:tc>
        <w:tc>
          <w:tcPr>
            <w:tcW w:w="1564"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充值1000</w:t>
            </w:r>
            <w:r>
              <w:rPr>
                <w:rFonts w:hint="eastAsia" w:ascii="宋体" w:hAnsi="宋体" w:eastAsia="宋体" w:cs="宋体"/>
                <w:kern w:val="0"/>
                <w:sz w:val="24"/>
                <w:szCs w:val="24"/>
                <w:highlight w:val="none"/>
                <w:lang w:val="en-US" w:eastAsia="zh-CN"/>
              </w:rPr>
              <w:t>元无</w:t>
            </w:r>
            <w:r>
              <w:rPr>
                <w:rFonts w:hint="eastAsia" w:ascii="宋体" w:hAnsi="宋体" w:eastAsia="宋体" w:cs="宋体"/>
                <w:kern w:val="0"/>
                <w:sz w:val="24"/>
                <w:szCs w:val="24"/>
                <w:highlight w:val="none"/>
              </w:rPr>
              <w:t>折扣（包含馆内所有项目，私教培训除外）</w:t>
            </w:r>
          </w:p>
        </w:tc>
        <w:tc>
          <w:tcPr>
            <w:tcW w:w="184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rPr>
              <w:t>1380</w:t>
            </w:r>
            <w:r>
              <w:rPr>
                <w:rFonts w:hint="eastAsia" w:ascii="宋体" w:hAnsi="宋体" w:eastAsia="宋体" w:cs="宋体"/>
                <w:kern w:val="0"/>
                <w:sz w:val="24"/>
                <w:szCs w:val="24"/>
                <w:highlight w:val="none"/>
                <w:lang w:val="en-US" w:eastAsia="zh-CN"/>
              </w:rPr>
              <w:t>元</w:t>
            </w:r>
          </w:p>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（包含游泳、健身）</w:t>
            </w:r>
          </w:p>
        </w:tc>
        <w:tc>
          <w:tcPr>
            <w:tcW w:w="1276"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rPr>
              <w:t>999</w:t>
            </w:r>
            <w:r>
              <w:rPr>
                <w:rFonts w:hint="eastAsia" w:ascii="宋体" w:hAnsi="宋体" w:eastAsia="宋体" w:cs="宋体"/>
                <w:kern w:val="0"/>
                <w:sz w:val="24"/>
                <w:szCs w:val="24"/>
                <w:highlight w:val="none"/>
                <w:lang w:val="en-US" w:eastAsia="zh-CN"/>
              </w:rPr>
              <w:t>元</w:t>
            </w:r>
          </w:p>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（30次）</w:t>
            </w:r>
          </w:p>
        </w:tc>
      </w:tr>
      <w:tr>
        <w:tblPrEx>
          <w:tblCellMar>
            <w:top w:w="0" w:type="dxa"/>
            <w:left w:w="108" w:type="dxa"/>
            <w:bottom w:w="0" w:type="dxa"/>
            <w:right w:w="108" w:type="dxa"/>
          </w:tblCellMar>
        </w:tblPrEx>
        <w:trPr>
          <w:trHeight w:val="768" w:hRule="atLeast"/>
          <w:jc w:val="center"/>
        </w:trPr>
        <w:tc>
          <w:tcPr>
            <w:tcW w:w="152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截止2020年</w:t>
            </w:r>
            <w:r>
              <w:rPr>
                <w:rFonts w:hint="eastAsia" w:ascii="宋体" w:hAnsi="宋体" w:cs="宋体"/>
                <w:kern w:val="0"/>
                <w:sz w:val="24"/>
                <w:szCs w:val="24"/>
                <w:highlight w:val="none"/>
                <w:lang w:val="en-US" w:eastAsia="zh-CN"/>
              </w:rPr>
              <w:t>10</w:t>
            </w:r>
            <w:r>
              <w:rPr>
                <w:rFonts w:hint="eastAsia" w:ascii="宋体" w:hAnsi="宋体" w:eastAsia="宋体" w:cs="宋体"/>
                <w:kern w:val="0"/>
                <w:sz w:val="24"/>
                <w:szCs w:val="24"/>
                <w:highlight w:val="none"/>
              </w:rPr>
              <w:t>月20日卡种余额</w:t>
            </w:r>
          </w:p>
        </w:tc>
        <w:tc>
          <w:tcPr>
            <w:tcW w:w="7643" w:type="dxa"/>
            <w:gridSpan w:val="5"/>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19万元</w:t>
            </w:r>
          </w:p>
        </w:tc>
      </w:tr>
      <w:tr>
        <w:tblPrEx>
          <w:tblCellMar>
            <w:top w:w="0" w:type="dxa"/>
            <w:left w:w="108" w:type="dxa"/>
            <w:bottom w:w="0" w:type="dxa"/>
            <w:right w:w="108" w:type="dxa"/>
          </w:tblCellMar>
        </w:tblPrEx>
        <w:trPr>
          <w:trHeight w:val="768" w:hRule="atLeast"/>
          <w:jc w:val="center"/>
        </w:trPr>
        <w:tc>
          <w:tcPr>
            <w:tcW w:w="9171" w:type="dxa"/>
            <w:gridSpan w:val="6"/>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b/>
                <w:bCs/>
                <w:kern w:val="0"/>
                <w:sz w:val="24"/>
                <w:szCs w:val="24"/>
                <w:highlight w:val="none"/>
                <w:lang w:val="en-US" w:eastAsia="zh-CN"/>
              </w:rPr>
            </w:pPr>
            <w:r>
              <w:rPr>
                <w:rFonts w:hint="eastAsia" w:ascii="宋体" w:hAnsi="宋体" w:eastAsia="宋体" w:cs="宋体"/>
                <w:b/>
                <w:bCs/>
                <w:kern w:val="0"/>
                <w:sz w:val="24"/>
                <w:szCs w:val="24"/>
                <w:highlight w:val="none"/>
                <w:lang w:val="en-US" w:eastAsia="zh-CN"/>
              </w:rPr>
              <w:t>备注：</w:t>
            </w:r>
          </w:p>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b/>
                <w:bCs/>
                <w:kern w:val="0"/>
                <w:sz w:val="24"/>
                <w:szCs w:val="24"/>
                <w:highlight w:val="none"/>
              </w:rPr>
            </w:pPr>
            <w:r>
              <w:rPr>
                <w:rFonts w:hint="eastAsia" w:ascii="宋体" w:hAnsi="宋体" w:eastAsia="宋体" w:cs="宋体"/>
                <w:b/>
                <w:bCs/>
                <w:kern w:val="0"/>
                <w:sz w:val="24"/>
                <w:szCs w:val="24"/>
                <w:highlight w:val="none"/>
              </w:rPr>
              <w:t>★</w:t>
            </w:r>
            <w:r>
              <w:rPr>
                <w:rFonts w:hint="eastAsia" w:ascii="宋体" w:hAnsi="宋体" w:eastAsia="宋体" w:cs="宋体"/>
                <w:b/>
                <w:bCs/>
                <w:kern w:val="0"/>
                <w:sz w:val="24"/>
                <w:szCs w:val="24"/>
                <w:highlight w:val="none"/>
                <w:lang w:val="en-US" w:eastAsia="zh-CN"/>
              </w:rPr>
              <w:t>1、</w:t>
            </w:r>
            <w:r>
              <w:rPr>
                <w:rFonts w:hint="eastAsia" w:ascii="宋体" w:hAnsi="宋体" w:eastAsia="宋体" w:cs="宋体"/>
                <w:b/>
                <w:bCs/>
                <w:kern w:val="0"/>
                <w:sz w:val="24"/>
                <w:szCs w:val="24"/>
                <w:highlight w:val="none"/>
              </w:rPr>
              <w:t>投标人须承诺收费标准不高于现行标准，且无条件承接现有会员，并提供原运营单位承诺提供的服务。</w:t>
            </w:r>
          </w:p>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eastAsia="宋体" w:cs="宋体"/>
                <w:b/>
                <w:bCs/>
                <w:kern w:val="0"/>
                <w:sz w:val="24"/>
                <w:szCs w:val="24"/>
                <w:highlight w:val="none"/>
              </w:rPr>
            </w:pPr>
            <w:r>
              <w:rPr>
                <w:rFonts w:hint="eastAsia" w:ascii="宋体" w:hAnsi="宋体" w:eastAsia="宋体" w:cs="宋体"/>
                <w:b/>
                <w:bCs/>
                <w:kern w:val="0"/>
                <w:sz w:val="24"/>
                <w:szCs w:val="24"/>
                <w:highlight w:val="none"/>
              </w:rPr>
              <w:t>★</w:t>
            </w:r>
            <w:r>
              <w:rPr>
                <w:rFonts w:hint="eastAsia" w:ascii="宋体" w:hAnsi="宋体" w:eastAsia="宋体" w:cs="宋体"/>
                <w:b/>
                <w:bCs/>
                <w:kern w:val="0"/>
                <w:sz w:val="24"/>
                <w:szCs w:val="24"/>
                <w:highlight w:val="none"/>
                <w:lang w:val="en-US" w:eastAsia="zh-CN"/>
              </w:rPr>
              <w:t>2、以上项目所需设备均由中标人提供</w:t>
            </w:r>
            <w:r>
              <w:rPr>
                <w:rFonts w:hint="eastAsia" w:ascii="宋体" w:hAnsi="宋体" w:eastAsia="宋体" w:cs="宋体"/>
                <w:b/>
                <w:bCs/>
                <w:kern w:val="0"/>
                <w:sz w:val="24"/>
                <w:szCs w:val="24"/>
                <w:highlight w:val="none"/>
              </w:rPr>
              <w:t>并</w:t>
            </w:r>
            <w:r>
              <w:rPr>
                <w:rFonts w:hint="eastAsia" w:ascii="宋体" w:hAnsi="宋体" w:eastAsia="宋体" w:cs="宋体"/>
                <w:b/>
                <w:bCs/>
                <w:kern w:val="0"/>
                <w:sz w:val="24"/>
                <w:szCs w:val="24"/>
                <w:highlight w:val="none"/>
                <w:lang w:val="en-US" w:eastAsia="zh-CN"/>
              </w:rPr>
              <w:t>承诺按国家及行业规定投保，如因运营管理失误导致发生安全事故的，中标人承担一切由此引起的后果及相关法律责任</w:t>
            </w:r>
            <w:r>
              <w:rPr>
                <w:rFonts w:hint="eastAsia" w:ascii="宋体" w:hAnsi="宋体" w:eastAsia="宋体" w:cs="宋体"/>
                <w:b/>
                <w:bCs/>
                <w:kern w:val="0"/>
                <w:sz w:val="24"/>
                <w:szCs w:val="24"/>
                <w:highlight w:val="none"/>
              </w:rPr>
              <w:t>。</w:t>
            </w:r>
          </w:p>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lang w:val="en-US" w:eastAsia="zh-CN"/>
              </w:rPr>
            </w:pPr>
            <w:r>
              <w:rPr>
                <w:rFonts w:hint="eastAsia" w:ascii="宋体" w:hAnsi="宋体" w:eastAsia="宋体" w:cs="宋体"/>
                <w:b/>
                <w:bCs/>
                <w:kern w:val="0"/>
                <w:sz w:val="24"/>
                <w:szCs w:val="24"/>
                <w:highlight w:val="none"/>
              </w:rPr>
              <w:t>★</w:t>
            </w:r>
            <w:r>
              <w:rPr>
                <w:rFonts w:hint="eastAsia" w:ascii="宋体" w:hAnsi="宋体" w:eastAsia="宋体" w:cs="宋体"/>
                <w:b/>
                <w:bCs/>
                <w:kern w:val="0"/>
                <w:sz w:val="24"/>
                <w:szCs w:val="24"/>
                <w:highlight w:val="none"/>
                <w:lang w:val="en-US" w:eastAsia="zh-CN"/>
              </w:rPr>
              <w:t>3、投标人须提供承诺书原件附在技术标中并承诺场馆可对外收费运营项目，收费标准不高于现行标准，收费项目及价格须经市场监管部门、采购人批准后方可实施。</w:t>
            </w:r>
          </w:p>
        </w:tc>
      </w:tr>
    </w:tbl>
    <w:p>
      <w:pPr>
        <w:pStyle w:val="2"/>
        <w:keepNext w:val="0"/>
        <w:keepLines w:val="0"/>
        <w:pageBreakBefore w:val="0"/>
        <w:kinsoku/>
        <w:wordWrap/>
        <w:overflowPunct/>
        <w:topLinePunct w:val="0"/>
        <w:autoSpaceDE/>
        <w:autoSpaceDN/>
        <w:bidi w:val="0"/>
        <w:adjustRightInd w:val="0"/>
        <w:snapToGrid w:val="0"/>
        <w:spacing w:line="240" w:lineRule="auto"/>
        <w:rPr>
          <w:rFonts w:hint="eastAsia" w:ascii="宋体" w:hAnsi="宋体" w:eastAsia="宋体" w:cs="宋体"/>
          <w:b/>
          <w:sz w:val="24"/>
          <w:szCs w:val="24"/>
          <w:highlight w:val="none"/>
          <w:lang w:val="en-US" w:eastAsia="zh-CN"/>
        </w:rPr>
      </w:pPr>
    </w:p>
    <w:p>
      <w:pPr>
        <w:pStyle w:val="2"/>
        <w:keepNext w:val="0"/>
        <w:keepLines w:val="0"/>
        <w:pageBreakBefore w:val="0"/>
        <w:kinsoku/>
        <w:wordWrap/>
        <w:overflowPunct/>
        <w:topLinePunct w:val="0"/>
        <w:autoSpaceDE/>
        <w:autoSpaceDN/>
        <w:bidi w:val="0"/>
        <w:adjustRightInd w:val="0"/>
        <w:snapToGrid w:val="0"/>
        <w:spacing w:line="240" w:lineRule="auto"/>
        <w:rPr>
          <w:rFonts w:hint="eastAsia" w:ascii="宋体" w:hAnsi="宋体" w:eastAsia="宋体" w:cs="宋体"/>
          <w:sz w:val="24"/>
          <w:szCs w:val="24"/>
          <w:highlight w:val="none"/>
        </w:rPr>
      </w:pPr>
      <w:r>
        <w:rPr>
          <w:rFonts w:hint="eastAsia" w:ascii="宋体" w:hAnsi="宋体" w:eastAsia="宋体" w:cs="宋体"/>
          <w:b/>
          <w:sz w:val="24"/>
          <w:szCs w:val="24"/>
          <w:highlight w:val="none"/>
          <w:lang w:val="en-US" w:eastAsia="zh-CN"/>
        </w:rPr>
        <w:t>三、</w:t>
      </w:r>
      <w:r>
        <w:rPr>
          <w:rFonts w:hint="eastAsia" w:ascii="宋体" w:hAnsi="宋体" w:eastAsia="宋体" w:cs="宋体"/>
          <w:b/>
          <w:sz w:val="24"/>
          <w:szCs w:val="24"/>
          <w:highlight w:val="none"/>
        </w:rPr>
        <w:t>采购标的需满足的服务标准、期限、效率等要求</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sz w:val="24"/>
          <w:szCs w:val="24"/>
          <w:highlight w:val="none"/>
        </w:rPr>
      </w:pPr>
      <w:r>
        <w:rPr>
          <w:rFonts w:hint="eastAsia" w:ascii="宋体" w:hAnsi="宋体" w:eastAsia="宋体" w:cs="宋体"/>
          <w:b/>
          <w:sz w:val="24"/>
          <w:szCs w:val="24"/>
          <w:highlight w:val="none"/>
        </w:rPr>
        <w:t>1、场地管理（含前台）</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（1）场地管理（含前台）人员注意仪容仪表，确保发型着装整齐，佩戴工牌上岗，接电话后仔细聆听、详细记录，并重复一遍相关事宜，明确来电人员姓名并记录电话咨询相关事宜，对场馆日常活动熟知。</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（2）每日按要求做好场馆运营服务的各项内容的更新、维护。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（3）做好来访客户的接待和登记工作，有客户来访要站立服务，对有需要的来访人员通知相应岗位人员进行接洽。</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（4）为预定的客户做好场地的准备，在客户离开后及时对场地进行清理，如有需要通知保洁人员进行清理。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（5）做好场地卫生清洁工作，做到地面整洁无杂物，日常做好办公电脑、电话机、对讲机、打印机及银联收银系统等设备的检查工作，如有异常及时联系维修。</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（6）做好相关收银统计工作，将当日营业账目及时上交入账，做好财款的收缴、交接工作。</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（7）负责场馆运营所需的策划、活动宣传费用，以及有线电视、保险等费用的缴纳。</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（8</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 xml:space="preserve"> 负责场馆的能源运行及费用缴纳，既做到节能减耗，又能确保场馆能源供应。</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sz w:val="24"/>
          <w:szCs w:val="24"/>
          <w:highlight w:val="none"/>
        </w:rPr>
      </w:pPr>
      <w:r>
        <w:rPr>
          <w:rFonts w:hint="eastAsia" w:ascii="宋体" w:hAnsi="宋体" w:eastAsia="宋体" w:cs="宋体"/>
          <w:b/>
          <w:sz w:val="24"/>
          <w:szCs w:val="24"/>
          <w:highlight w:val="none"/>
        </w:rPr>
        <w:t>2、保洁服务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（1）本</w:t>
      </w:r>
      <w:r>
        <w:rPr>
          <w:rFonts w:hint="eastAsia" w:ascii="宋体" w:hAnsi="宋体" w:cs="宋体"/>
          <w:sz w:val="24"/>
          <w:szCs w:val="24"/>
          <w:highlight w:val="none"/>
          <w:lang w:val="en-US" w:eastAsia="zh-CN"/>
        </w:rPr>
        <w:t>运营场馆</w:t>
      </w:r>
      <w:r>
        <w:rPr>
          <w:rFonts w:hint="eastAsia" w:ascii="宋体" w:hAnsi="宋体" w:eastAsia="宋体" w:cs="宋体"/>
          <w:sz w:val="24"/>
          <w:szCs w:val="24"/>
          <w:highlight w:val="none"/>
        </w:rPr>
        <w:t>建筑物红线内的清洁保洁和垃圾清运，包括场院、楼道、大厅、电梯、卫生间等。</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（2）每日清理办公区内垃圾，并对地面进行卫生清洁工作。</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（3）建筑物设施的定期清洁保洁，包括电梯、灯具、标牌及其它附属设备的清洁和保洁。</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（4）建筑物内生活、办公垃圾的收集和清运。</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（5）建筑物区域内的消杀、预防及驱虫。</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（6）提供所有保洁人员服装、使用的工具、设备及耗材（包括纸品、清洁剂等高耗品）。</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（7）场馆内的绿植租摆及场院绿化。</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（8）场馆化粪池清污。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sz w:val="24"/>
          <w:szCs w:val="24"/>
          <w:highlight w:val="none"/>
        </w:rPr>
      </w:pPr>
      <w:r>
        <w:rPr>
          <w:rFonts w:hint="eastAsia" w:ascii="宋体" w:hAnsi="宋体" w:eastAsia="宋体" w:cs="宋体"/>
          <w:b/>
          <w:sz w:val="24"/>
          <w:szCs w:val="24"/>
          <w:highlight w:val="none"/>
        </w:rPr>
        <w:t>3、秩序服务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（1）提供安保人员的服装、对讲机、耳机等，及日常公共秩序的维护。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（2）出入管理及钥匙的管理。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（3）安全监控系统的使用和管理。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（4）突发事件的持续维护。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（5）消防设施的管理和使用。</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（6）场馆日常安保巡视等。</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sz w:val="24"/>
          <w:szCs w:val="24"/>
          <w:highlight w:val="none"/>
        </w:rPr>
      </w:pPr>
      <w:r>
        <w:rPr>
          <w:rFonts w:hint="eastAsia" w:ascii="宋体" w:hAnsi="宋体" w:eastAsia="宋体" w:cs="宋体"/>
          <w:b/>
          <w:sz w:val="24"/>
          <w:szCs w:val="24"/>
          <w:highlight w:val="none"/>
        </w:rPr>
        <w:t>4、设备、设施运行维护服务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（1）根据设备设施运行的需要，制定年度的维修保养计划和预算，并执行。</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（2）图纸与技术资料的管理。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（3）建筑物的日常管理与维护，包括墙面、楼梯、装饰材料等。（楼体沉降等因素导致除外）</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（4）楼内强电系统的维保、巡检、养护、运行。</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（5）弱电系统中门禁、监控、巡更等设施的维保、巡检、养护。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（6）空调系统及新风系统的中风机盘管的清洁、耗品更换、维保、养护、运行。</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（7）消防系统设备设施日常运行、监控及维保。</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（8）电梯（1台，2层）设备设施的日常运行及维护，负责每年年检，定期进行检查、维保。</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（9）给排水系统、污水处理系统设施设备的日常运行及维护，定期进行检查。</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（10）泳池泵房的日常运行及维护，定期维保。</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（11）健身器材的日常运行及维护，定期进行检查和维保，在正常使用期内发生的损坏，采购人负责维修。</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（12）附属设施的维护、保养和管理，包括门窗、灯具等。</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（13）对场馆内有需要的其他相关设备进行定期维保。</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（14）负责场馆每年定期防雷检测。</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对于电梯年检、防雷检测等国家有相关规定的工作，投标人须委托专业机构完成，费用包含在本项目报价中。</w:t>
      </w:r>
    </w:p>
    <w:p>
      <w:pPr>
        <w:keepNext w:val="0"/>
        <w:keepLines w:val="0"/>
        <w:pageBreakBefore w:val="0"/>
        <w:kinsoku/>
        <w:wordWrap/>
        <w:overflowPunct/>
        <w:topLinePunct w:val="0"/>
        <w:autoSpaceDE/>
        <w:autoSpaceDN/>
        <w:bidi w:val="0"/>
        <w:adjustRightInd w:val="0"/>
        <w:snapToGrid w:val="0"/>
        <w:spacing w:line="360" w:lineRule="auto"/>
        <w:ind w:firstLine="241" w:firstLineChars="100"/>
        <w:jc w:val="left"/>
        <w:rPr>
          <w:rFonts w:hint="eastAsia" w:ascii="宋体" w:hAnsi="宋体" w:eastAsia="宋体" w:cs="宋体"/>
          <w:b/>
          <w:sz w:val="24"/>
          <w:szCs w:val="24"/>
          <w:highlight w:val="none"/>
        </w:rPr>
      </w:pPr>
      <w:r>
        <w:rPr>
          <w:rFonts w:hint="eastAsia" w:ascii="宋体" w:hAnsi="宋体" w:eastAsia="宋体" w:cs="宋体"/>
          <w:b/>
          <w:sz w:val="24"/>
          <w:szCs w:val="24"/>
          <w:highlight w:val="none"/>
        </w:rPr>
        <w:t>5、场馆智能化系统及设备、科技化系统及设备及功能化设备设施维护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（1）场馆智能化系统及设备维护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对场馆智能化系统及设备进行维护工作，智能化设备维护标准：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A、保证门厅处电子屏幕每天7*18小时（场馆运营期间）滚动播放各类运动、健身信息服务；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B、 保证“场馆一卡通”管理模式的正常运行，门禁系统、储物系统、会员信息一体化，保障场馆健身方便、快捷；</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C、系统具备智能预约功能并可开放对接生态城智慧城市相关平台，满足生态城智慧城市指标体系建设要求。</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（2）场馆科技化系统及设备维护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对场馆科技化系统及设备进行维护工作，场馆科技化系统及设备维护标准：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场馆科技化系统维护包括：保证场馆对会员、场地、微信订场、商品、培训、移动管理等管理功能的实现即使用，支持灯控、闸机、储物柜、人脸识别、指纹识别等设备，实现体育场馆智能综合体育中心、游泳中心、羽毛球馆、篮球即其他实时功能等综合整体管理，提高全民健身中心服务水平。</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（3）场馆功能化设备设施维护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1）前厅维护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全民健身中心前厅用地红线内建筑物及其附属建筑物、构筑物、一切公共服务设施设备的日常使用管理与维修养护，包括但不限于主体结构（包括基础、墙体、柱、梁、楼板、屋顶、钢结构、外檐、层面、楼面、内墙面）、门厅、走廊通道、门窗、照明灯具、装饰装修等。</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2）篮球场地板维护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对全民健身中心篮球场地地板进行日常的维修、保养、运行和养护管理工作。实时保证场馆内篮球场地的正常使用。</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篮球场地日常维护保养标准：</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须采用专业的篮球场木地板，具有保护性能、运动性能和技术性能的特殊功能性地面材料，不可使用普通的装饰性地材。保持其篮球木地板表面的清洁和干燥性，避免其与大量的水介质有所接触，不可以使用碱水来对其进行清理，以此避免其高碱性介质，对其地板的表面油漆膜有所损坏。专业的篮球场地板具有冲击吸收性能，在篮球场地板日常维护保养中，需要定期对其表面进行打腊处理，使用半干的抹布来对其表面进行均匀涂抹，从而保障其涂层可以有效的渗透于木地板之中。在打腊期间，则需要使用软抹布来回性的在地板表面进行擦拭，直到其表面展现出特有的光亮度即可为止。</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3）功能室维护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全民健身中心各功能室公共服务设施设备的日常使用管理与维修养护，包括但不限于主体结构（包括基础墙体、楼板、屋顶、内墙面）、门窗、照明灯具、装饰装修、地面及地面铺装物、功能室设备设施等，实时保证场馆内各功能室的正常使用。</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4）储物柜维护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对全民健身中心储物柜进行日常的维修、保养、运行和养护管理工作，保证场馆内储物柜的正常使用。</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5）浴室洁具、喷淋维护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对全民健身中心浴室洁具、喷淋进行日常的维修、保养、运行和养护管理工作，保证场馆内浴室洁具、喷淋能正常使用。</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场馆内浴室洁具及喷淋完好、无跑冒滴漏现象。</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6）场馆内墙体维修维护</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对全民健身中心室内墙体进行日常的维修、保养、运行和养护管理工作，。</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场馆内无墙体墙皮脱落、发霉、污迹现象，保证墙体平整、无污渍、无划痕、无霉记。</w:t>
      </w:r>
    </w:p>
    <w:p>
      <w:pPr>
        <w:keepNext w:val="0"/>
        <w:keepLines w:val="0"/>
        <w:pageBreakBefore w:val="0"/>
        <w:kinsoku/>
        <w:wordWrap/>
        <w:overflowPunct/>
        <w:topLinePunct w:val="0"/>
        <w:autoSpaceDE/>
        <w:autoSpaceDN/>
        <w:bidi w:val="0"/>
        <w:adjustRightInd w:val="0"/>
        <w:snapToGrid w:val="0"/>
        <w:spacing w:line="360" w:lineRule="auto"/>
        <w:ind w:firstLine="482" w:firstLineChars="200"/>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6</w:t>
      </w:r>
      <w:r>
        <w:rPr>
          <w:rFonts w:hint="eastAsia" w:ascii="宋体" w:hAnsi="宋体" w:eastAsia="宋体" w:cs="宋体"/>
          <w:b/>
          <w:bCs/>
          <w:sz w:val="24"/>
          <w:szCs w:val="24"/>
          <w:highlight w:val="none"/>
        </w:rPr>
        <w:t>、服务</w:t>
      </w:r>
      <w:r>
        <w:rPr>
          <w:rFonts w:hint="eastAsia" w:ascii="宋体" w:hAnsi="宋体" w:eastAsia="宋体" w:cs="宋体"/>
          <w:b/>
          <w:bCs/>
          <w:sz w:val="24"/>
          <w:szCs w:val="24"/>
          <w:highlight w:val="none"/>
          <w:lang w:val="en-US" w:eastAsia="zh-CN"/>
        </w:rPr>
        <w:t>人员</w:t>
      </w:r>
      <w:r>
        <w:rPr>
          <w:rFonts w:hint="eastAsia" w:ascii="宋体" w:hAnsi="宋体" w:eastAsia="宋体" w:cs="宋体"/>
          <w:b/>
          <w:bCs/>
          <w:sz w:val="24"/>
          <w:szCs w:val="24"/>
          <w:highlight w:val="none"/>
        </w:rPr>
        <w:t>要求：</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投标人对场馆进行全面的运营、管理和服务，保证管理和服务的质量，维护良好的场馆形象。投标人保证其委派的运营及</w:t>
      </w:r>
      <w:r>
        <w:rPr>
          <w:rFonts w:hint="eastAsia" w:ascii="宋体" w:hAnsi="宋体" w:cs="宋体"/>
          <w:sz w:val="24"/>
          <w:szCs w:val="24"/>
          <w:highlight w:val="none"/>
          <w:lang w:val="en-US" w:eastAsia="zh-CN"/>
        </w:rPr>
        <w:t>保洁</w:t>
      </w:r>
      <w:r>
        <w:rPr>
          <w:rFonts w:hint="eastAsia" w:ascii="宋体" w:hAnsi="宋体" w:eastAsia="宋体" w:cs="宋体"/>
          <w:sz w:val="24"/>
          <w:szCs w:val="24"/>
          <w:highlight w:val="none"/>
        </w:rPr>
        <w:t>管理人员具备胜任各自岗位的专业素质和技能，保证所录用的各类专业人员具备相应资质，场馆管理服务人员总数不得少于26人，具体要求如下：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（1）管理人员</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人数不得低于4人，项目经理1人、会计1人、后勤专员1人，服务领班1人，团队配合好，能确保场馆高效运营，为场馆创造最大收益。</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 保洁员</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人数不得低于6人，人员标准：年龄55岁以下，男女不限。具有相关保洁工作经验；身体健康、吃苦耐劳；熟悉保洁相关设备使用；有较强的责任心和团队合作精神，有良好的服务意识。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 工程维修人员</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人数不得低于3人，人员标准：年龄42岁以下，男性。具有中专及以上学历；持有电工证；身体健康、吃苦耐劳；熟悉相关设备设施维修；有较强的责任心和团队合作精神，有较强的沟通和协调能力及良好的服务意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 xml:space="preserve">（4）场地管理（含前台）                            </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人数不得低于6人，人员标准：年龄20-35岁，女性。具有中专及以上学历，身高1.60米以上；体貌端正、身体健康、具有较强责任心及敬业精神；熟悉点钞及电脑操作；具有较强的服务意识，遵循礼貌用语；有服务行业经验者优先。</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（5） 秩序员</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人数不得低于7人，用人标准：年龄40岁以下，男性。负责消防控制室，并保证24小时双人双岗，消控人员必须全部持有消控资格证书；具有中专及以上学历，身高1.70米以上；无犯罪记录；体貌端正、身体健康、吃苦耐劳；具有较强责任心及敬业精神及较强的沟通能力和协调能力，具备良好的服务意识。</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7、场馆运营</w:t>
      </w:r>
      <w:r>
        <w:rPr>
          <w:rFonts w:hint="eastAsia" w:ascii="宋体" w:hAnsi="宋体" w:eastAsia="宋体" w:cs="宋体"/>
          <w:b/>
          <w:bCs/>
          <w:sz w:val="24"/>
          <w:szCs w:val="24"/>
          <w:highlight w:val="none"/>
        </w:rPr>
        <w:t>费用说明：</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rPr>
        <w:t>★（1）本项目场馆运营收入由</w:t>
      </w:r>
      <w:r>
        <w:rPr>
          <w:rFonts w:hint="eastAsia" w:ascii="宋体" w:hAnsi="宋体" w:cs="宋体"/>
          <w:b/>
          <w:bCs/>
          <w:sz w:val="24"/>
          <w:szCs w:val="24"/>
          <w:highlight w:val="none"/>
          <w:lang w:val="en-US" w:eastAsia="zh-CN"/>
        </w:rPr>
        <w:t>中标供应商</w:t>
      </w:r>
      <w:r>
        <w:rPr>
          <w:rFonts w:hint="eastAsia" w:ascii="宋体" w:hAnsi="宋体" w:eastAsia="宋体" w:cs="宋体"/>
          <w:b/>
          <w:bCs/>
          <w:sz w:val="24"/>
          <w:szCs w:val="24"/>
          <w:highlight w:val="none"/>
        </w:rPr>
        <w:t>支配，</w:t>
      </w:r>
      <w:r>
        <w:rPr>
          <w:rFonts w:hint="eastAsia" w:ascii="宋体" w:hAnsi="宋体" w:cs="宋体"/>
          <w:b/>
          <w:bCs/>
          <w:sz w:val="24"/>
          <w:szCs w:val="24"/>
          <w:highlight w:val="none"/>
          <w:lang w:val="en-US" w:eastAsia="zh-CN"/>
        </w:rPr>
        <w:t>本着惠民利民的原则，但中标供应商应为场馆运营提供合理收益，</w:t>
      </w:r>
      <w:r>
        <w:rPr>
          <w:rFonts w:hint="eastAsia" w:ascii="宋体" w:hAnsi="宋体" w:eastAsia="宋体" w:cs="宋体"/>
          <w:b/>
          <w:bCs/>
          <w:sz w:val="24"/>
          <w:szCs w:val="24"/>
          <w:highlight w:val="none"/>
        </w:rPr>
        <w:t>投标人在投标报价测算时</w:t>
      </w:r>
      <w:r>
        <w:rPr>
          <w:rFonts w:hint="eastAsia" w:ascii="宋体" w:hAnsi="宋体" w:cs="宋体"/>
          <w:b/>
          <w:bCs/>
          <w:sz w:val="24"/>
          <w:szCs w:val="24"/>
          <w:highlight w:val="none"/>
          <w:lang w:val="en-US" w:eastAsia="zh-CN"/>
        </w:rPr>
        <w:t>场馆运营</w:t>
      </w:r>
      <w:r>
        <w:rPr>
          <w:rFonts w:hint="eastAsia" w:ascii="宋体" w:hAnsi="宋体" w:eastAsia="宋体" w:cs="宋体"/>
          <w:b/>
          <w:bCs/>
          <w:sz w:val="24"/>
          <w:szCs w:val="24"/>
          <w:highlight w:val="none"/>
        </w:rPr>
        <w:t>盈利额</w:t>
      </w:r>
      <w:r>
        <w:rPr>
          <w:rFonts w:hint="eastAsia" w:ascii="宋体" w:hAnsi="宋体" w:eastAsia="宋体" w:cs="宋体"/>
          <w:b/>
          <w:bCs/>
          <w:sz w:val="24"/>
          <w:szCs w:val="24"/>
          <w:highlight w:val="none"/>
          <w:lang w:val="en-US" w:eastAsia="zh-CN"/>
        </w:rPr>
        <w:t>须</w:t>
      </w:r>
      <w:r>
        <w:rPr>
          <w:rFonts w:hint="eastAsia" w:ascii="宋体" w:hAnsi="宋体" w:cs="宋体"/>
          <w:b/>
          <w:bCs/>
          <w:sz w:val="24"/>
          <w:szCs w:val="24"/>
          <w:highlight w:val="none"/>
          <w:lang w:val="en-US" w:eastAsia="zh-CN"/>
        </w:rPr>
        <w:t>按</w:t>
      </w:r>
      <w:r>
        <w:rPr>
          <w:rFonts w:hint="eastAsia" w:ascii="宋体" w:hAnsi="宋体" w:cs="宋体"/>
          <w:b/>
          <w:bCs/>
          <w:color w:val="auto"/>
          <w:sz w:val="24"/>
          <w:szCs w:val="24"/>
          <w:highlight w:val="none"/>
          <w:lang w:val="en-US" w:eastAsia="zh-CN"/>
        </w:rPr>
        <w:t>不高于人民币260万元</w:t>
      </w:r>
      <w:r>
        <w:rPr>
          <w:rFonts w:hint="eastAsia" w:ascii="宋体" w:hAnsi="宋体" w:eastAsia="宋体" w:cs="宋体"/>
          <w:b/>
          <w:bCs/>
          <w:sz w:val="24"/>
          <w:szCs w:val="24"/>
          <w:highlight w:val="none"/>
        </w:rPr>
        <w:t>进行</w:t>
      </w:r>
      <w:r>
        <w:rPr>
          <w:rFonts w:hint="eastAsia" w:ascii="宋体" w:hAnsi="宋体" w:cs="宋体"/>
          <w:b/>
          <w:bCs/>
          <w:sz w:val="24"/>
          <w:szCs w:val="24"/>
          <w:highlight w:val="none"/>
          <w:lang w:val="en-US" w:eastAsia="zh-CN"/>
        </w:rPr>
        <w:t>测算填报</w:t>
      </w:r>
      <w:r>
        <w:rPr>
          <w:rFonts w:hint="eastAsia" w:ascii="宋体" w:hAnsi="宋体" w:eastAsia="宋体" w:cs="宋体"/>
          <w:b/>
          <w:bCs/>
          <w:sz w:val="24"/>
          <w:szCs w:val="24"/>
          <w:highlight w:val="none"/>
        </w:rPr>
        <w:t>。</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rPr>
        <w:t>投标价=场馆运营及</w:t>
      </w:r>
      <w:r>
        <w:rPr>
          <w:rFonts w:hint="eastAsia" w:ascii="宋体" w:hAnsi="宋体" w:cs="宋体"/>
          <w:b/>
          <w:bCs/>
          <w:sz w:val="24"/>
          <w:szCs w:val="24"/>
          <w:highlight w:val="none"/>
          <w:lang w:val="en-US" w:eastAsia="zh-CN"/>
        </w:rPr>
        <w:t>运营</w:t>
      </w:r>
      <w:r>
        <w:rPr>
          <w:rFonts w:hint="eastAsia" w:ascii="宋体" w:hAnsi="宋体" w:eastAsia="宋体" w:cs="宋体"/>
          <w:b/>
          <w:bCs/>
          <w:sz w:val="24"/>
          <w:szCs w:val="24"/>
          <w:highlight w:val="none"/>
        </w:rPr>
        <w:t>服务成本核算金额—场馆运营收入（该金额</w:t>
      </w:r>
      <w:r>
        <w:rPr>
          <w:rFonts w:hint="eastAsia" w:ascii="宋体" w:hAnsi="宋体" w:cs="宋体"/>
          <w:b/>
          <w:bCs/>
          <w:color w:val="auto"/>
          <w:sz w:val="24"/>
          <w:szCs w:val="24"/>
          <w:highlight w:val="none"/>
          <w:lang w:val="en-US" w:eastAsia="zh-CN"/>
        </w:rPr>
        <w:t>不高于人民币260万元</w:t>
      </w:r>
      <w:r>
        <w:rPr>
          <w:rFonts w:hint="eastAsia" w:ascii="宋体" w:hAnsi="宋体" w:eastAsia="宋体" w:cs="宋体"/>
          <w:b/>
          <w:bCs/>
          <w:sz w:val="24"/>
          <w:szCs w:val="24"/>
          <w:highlight w:val="none"/>
        </w:rPr>
        <w:t>）。</w:t>
      </w:r>
    </w:p>
    <w:p>
      <w:pPr>
        <w:keepNext w:val="0"/>
        <w:keepLines w:val="0"/>
        <w:pageBreakBefore w:val="0"/>
        <w:kinsoku/>
        <w:wordWrap/>
        <w:overflowPunct/>
        <w:topLinePunct w:val="0"/>
        <w:autoSpaceDE/>
        <w:autoSpaceDN/>
        <w:bidi w:val="0"/>
        <w:adjustRightInd w:val="0"/>
        <w:snapToGrid w:val="0"/>
        <w:spacing w:line="360" w:lineRule="auto"/>
        <w:ind w:firstLine="480"/>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rPr>
        <w:t>★（2）项目运行中发生的水费、电费等能源费用包含在投标报价中且须在报价明细</w:t>
      </w:r>
      <w:r>
        <w:rPr>
          <w:rFonts w:hint="eastAsia" w:ascii="宋体" w:hAnsi="宋体" w:cs="宋体"/>
          <w:b/>
          <w:bCs/>
          <w:sz w:val="24"/>
          <w:szCs w:val="24"/>
          <w:highlight w:val="none"/>
          <w:lang w:val="en-US" w:eastAsia="zh-CN"/>
        </w:rPr>
        <w:t>表</w:t>
      </w:r>
      <w:r>
        <w:rPr>
          <w:rFonts w:hint="eastAsia" w:ascii="宋体" w:hAnsi="宋体" w:eastAsia="宋体" w:cs="宋体"/>
          <w:b/>
          <w:bCs/>
          <w:sz w:val="24"/>
          <w:szCs w:val="24"/>
          <w:highlight w:val="none"/>
        </w:rPr>
        <w:t>中单独列项（</w:t>
      </w:r>
      <w:r>
        <w:rPr>
          <w:rFonts w:hint="eastAsia" w:ascii="宋体" w:hAnsi="宋体" w:cs="宋体"/>
          <w:b/>
          <w:bCs/>
          <w:color w:val="auto"/>
          <w:sz w:val="24"/>
          <w:szCs w:val="24"/>
          <w:highlight w:val="none"/>
          <w:lang w:val="en-US" w:eastAsia="zh-CN"/>
        </w:rPr>
        <w:t>须按人民币120万元每年进行填报</w:t>
      </w:r>
      <w:r>
        <w:rPr>
          <w:rFonts w:hint="eastAsia" w:ascii="宋体" w:hAnsi="宋体" w:eastAsia="宋体" w:cs="宋体"/>
          <w:b/>
          <w:bCs/>
          <w:sz w:val="24"/>
          <w:szCs w:val="24"/>
          <w:highlight w:val="none"/>
        </w:rPr>
        <w:t>），投标人负责场馆的能源合理使用、统筹安排。</w:t>
      </w:r>
    </w:p>
    <w:p>
      <w:pPr>
        <w:keepNext w:val="0"/>
        <w:keepLines w:val="0"/>
        <w:pageBreakBefore w:val="0"/>
        <w:kinsoku/>
        <w:wordWrap/>
        <w:overflowPunct/>
        <w:topLinePunct w:val="0"/>
        <w:autoSpaceDE/>
        <w:autoSpaceDN/>
        <w:bidi w:val="0"/>
        <w:adjustRightInd w:val="0"/>
        <w:snapToGrid w:val="0"/>
        <w:spacing w:line="360" w:lineRule="auto"/>
        <w:ind w:firstLine="720" w:firstLineChars="30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 xml:space="preserve">（3）采购人支付的运营管理及服务费不包括以下费用: </w:t>
      </w:r>
    </w:p>
    <w:p>
      <w:pPr>
        <w:keepNext w:val="0"/>
        <w:keepLines w:val="0"/>
        <w:pageBreakBefore w:val="0"/>
        <w:kinsoku/>
        <w:wordWrap/>
        <w:overflowPunct/>
        <w:topLinePunct w:val="0"/>
        <w:autoSpaceDE/>
        <w:autoSpaceDN/>
        <w:bidi w:val="0"/>
        <w:adjustRightInd w:val="0"/>
        <w:snapToGrid w:val="0"/>
        <w:spacing w:line="360" w:lineRule="auto"/>
        <w:ind w:firstLine="787" w:firstLineChars="328"/>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1）建筑物及设施设备由于本身老化、更新换代、不可抗力等因素产生的</w:t>
      </w:r>
      <w:r>
        <w:rPr>
          <w:rFonts w:hint="eastAsia" w:ascii="宋体" w:hAnsi="宋体" w:eastAsia="宋体" w:cs="宋体"/>
          <w:sz w:val="24"/>
          <w:szCs w:val="24"/>
          <w:highlight w:val="none"/>
          <w:lang w:val="en-US" w:eastAsia="zh-CN"/>
        </w:rPr>
        <w:t>房屋大修</w:t>
      </w:r>
      <w:r>
        <w:rPr>
          <w:rFonts w:hint="eastAsia" w:ascii="宋体" w:hAnsi="宋体" w:eastAsia="宋体" w:cs="宋体"/>
          <w:sz w:val="24"/>
          <w:szCs w:val="24"/>
          <w:highlight w:val="none"/>
        </w:rPr>
        <w:t>。</w:t>
      </w:r>
    </w:p>
    <w:p>
      <w:pPr>
        <w:keepNext w:val="0"/>
        <w:keepLines w:val="0"/>
        <w:pageBreakBefore w:val="0"/>
        <w:kinsoku/>
        <w:wordWrap/>
        <w:overflowPunct/>
        <w:topLinePunct w:val="0"/>
        <w:autoSpaceDE/>
        <w:autoSpaceDN/>
        <w:bidi w:val="0"/>
        <w:adjustRightInd w:val="0"/>
        <w:snapToGrid w:val="0"/>
        <w:spacing w:line="360" w:lineRule="auto"/>
        <w:ind w:firstLine="787" w:firstLineChars="328"/>
        <w:jc w:val="left"/>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）政府部门对建筑物及其业主或承租方、使用方收取的各种税费。</w:t>
      </w:r>
    </w:p>
    <w:p>
      <w:pPr>
        <w:keepNext w:val="0"/>
        <w:keepLines w:val="0"/>
        <w:pageBreakBefore w:val="0"/>
        <w:kinsoku/>
        <w:wordWrap/>
        <w:overflowPunct/>
        <w:topLinePunct w:val="0"/>
        <w:autoSpaceDE/>
        <w:autoSpaceDN/>
        <w:bidi w:val="0"/>
        <w:adjustRightInd w:val="0"/>
        <w:snapToGrid w:val="0"/>
        <w:spacing w:line="360" w:lineRule="auto"/>
        <w:ind w:firstLine="787" w:firstLineChars="328"/>
        <w:jc w:val="left"/>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）楼宇的房产税和土地使用费。</w:t>
      </w:r>
    </w:p>
    <w:p>
      <w:pPr>
        <w:keepNext w:val="0"/>
        <w:keepLines w:val="0"/>
        <w:pageBreakBefore w:val="0"/>
        <w:kinsoku/>
        <w:wordWrap/>
        <w:overflowPunct/>
        <w:topLinePunct w:val="0"/>
        <w:autoSpaceDE/>
        <w:autoSpaceDN/>
        <w:bidi w:val="0"/>
        <w:adjustRightInd w:val="0"/>
        <w:snapToGrid w:val="0"/>
        <w:spacing w:line="360" w:lineRule="auto"/>
        <w:ind w:firstLine="482" w:firstLineChars="200"/>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四、采购标的需执行国家相关标准、行业标准、地方标准或者其他标准、规范或遵循的国家政策：</w:t>
      </w:r>
    </w:p>
    <w:p>
      <w:pPr>
        <w:keepNext w:val="0"/>
        <w:keepLines w:val="0"/>
        <w:pageBreakBefore w:val="0"/>
        <w:kinsoku/>
        <w:wordWrap/>
        <w:overflowPunct/>
        <w:topLinePunct w:val="0"/>
        <w:autoSpaceDE/>
        <w:autoSpaceDN/>
        <w:bidi w:val="0"/>
        <w:adjustRightInd w:val="0"/>
        <w:snapToGrid w:val="0"/>
        <w:spacing w:line="360" w:lineRule="auto"/>
        <w:ind w:firstLine="480" w:firstLineChars="200"/>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rPr>
        <w:t>不得私自改变现有场馆的装修及其布局，如需维修改造，须提前报</w:t>
      </w:r>
      <w:r>
        <w:rPr>
          <w:rFonts w:hint="eastAsia" w:ascii="宋体" w:hAnsi="宋体" w:eastAsia="宋体" w:cs="宋体"/>
          <w:color w:val="auto"/>
          <w:sz w:val="24"/>
          <w:szCs w:val="24"/>
          <w:highlight w:val="none"/>
          <w:lang w:val="en-US" w:eastAsia="zh-CN"/>
        </w:rPr>
        <w:t>采购人</w:t>
      </w:r>
      <w:r>
        <w:rPr>
          <w:rFonts w:hint="eastAsia" w:ascii="宋体" w:hAnsi="宋体" w:eastAsia="宋体" w:cs="宋体"/>
          <w:color w:val="auto"/>
          <w:sz w:val="24"/>
          <w:szCs w:val="24"/>
          <w:highlight w:val="none"/>
        </w:rPr>
        <w:t>同意</w:t>
      </w:r>
      <w:r>
        <w:rPr>
          <w:rFonts w:hint="eastAsia" w:ascii="宋体" w:hAnsi="宋体" w:eastAsia="宋体" w:cs="宋体"/>
          <w:color w:val="auto"/>
          <w:sz w:val="24"/>
          <w:szCs w:val="24"/>
          <w:highlight w:val="none"/>
          <w:lang w:eastAsia="zh-CN"/>
        </w:rPr>
        <w:t>。运</w:t>
      </w:r>
      <w:r>
        <w:rPr>
          <w:rFonts w:hint="eastAsia" w:ascii="宋体" w:hAnsi="宋体" w:eastAsia="宋体" w:cs="宋体"/>
          <w:color w:val="auto"/>
          <w:sz w:val="24"/>
          <w:szCs w:val="24"/>
          <w:highlight w:val="none"/>
        </w:rPr>
        <w:t>营期间，场馆的日常维护及因经营所产生的所有税、费均</w:t>
      </w:r>
      <w:r>
        <w:rPr>
          <w:rFonts w:hint="eastAsia" w:ascii="宋体" w:hAnsi="宋体" w:eastAsia="宋体" w:cs="宋体"/>
          <w:color w:val="auto"/>
          <w:sz w:val="24"/>
          <w:szCs w:val="24"/>
          <w:highlight w:val="none"/>
          <w:lang w:eastAsia="zh-CN"/>
        </w:rPr>
        <w:t>自行</w:t>
      </w:r>
      <w:r>
        <w:rPr>
          <w:rFonts w:hint="eastAsia" w:ascii="宋体" w:hAnsi="宋体" w:eastAsia="宋体" w:cs="宋体"/>
          <w:color w:val="auto"/>
          <w:sz w:val="24"/>
          <w:szCs w:val="24"/>
          <w:highlight w:val="none"/>
        </w:rPr>
        <w:t>承担。同时，所开设项目及收费</w:t>
      </w:r>
      <w:r>
        <w:rPr>
          <w:rFonts w:hint="eastAsia" w:ascii="宋体" w:hAnsi="宋体" w:eastAsia="宋体" w:cs="宋体"/>
          <w:color w:val="auto"/>
          <w:sz w:val="24"/>
          <w:szCs w:val="24"/>
          <w:highlight w:val="none"/>
          <w:lang w:val="en-US" w:eastAsia="zh-CN"/>
        </w:rPr>
        <w:t>标准</w:t>
      </w:r>
      <w:r>
        <w:rPr>
          <w:rFonts w:hint="eastAsia" w:ascii="宋体" w:hAnsi="宋体" w:eastAsia="宋体" w:cs="宋体"/>
          <w:color w:val="auto"/>
          <w:sz w:val="24"/>
          <w:szCs w:val="24"/>
          <w:highlight w:val="none"/>
        </w:rPr>
        <w:t>须接受</w:t>
      </w:r>
      <w:r>
        <w:rPr>
          <w:rFonts w:hint="eastAsia" w:ascii="宋体" w:hAnsi="宋体" w:eastAsia="宋体" w:cs="宋体"/>
          <w:color w:val="auto"/>
          <w:sz w:val="24"/>
          <w:szCs w:val="24"/>
          <w:highlight w:val="none"/>
          <w:lang w:val="en-US" w:eastAsia="zh-CN"/>
        </w:rPr>
        <w:t>采购人</w:t>
      </w:r>
      <w:r>
        <w:rPr>
          <w:rFonts w:hint="eastAsia" w:ascii="宋体" w:hAnsi="宋体" w:eastAsia="宋体" w:cs="宋体"/>
          <w:color w:val="auto"/>
          <w:sz w:val="24"/>
          <w:szCs w:val="24"/>
          <w:highlight w:val="none"/>
        </w:rPr>
        <w:t>、物价等部门的监督管理</w:t>
      </w:r>
      <w:r>
        <w:rPr>
          <w:rFonts w:hint="eastAsia" w:ascii="宋体" w:hAnsi="宋体" w:eastAsia="宋体" w:cs="宋体"/>
          <w:color w:val="auto"/>
          <w:sz w:val="24"/>
          <w:szCs w:val="24"/>
          <w:highlight w:val="none"/>
          <w:lang w:eastAsia="zh-CN"/>
        </w:rPr>
        <w:t>。</w:t>
      </w:r>
    </w:p>
    <w:p>
      <w:pPr>
        <w:keepNext w:val="0"/>
        <w:keepLines w:val="0"/>
        <w:pageBreakBefore w:val="0"/>
        <w:kinsoku/>
        <w:wordWrap/>
        <w:overflowPunct/>
        <w:topLinePunct w:val="0"/>
        <w:autoSpaceDE/>
        <w:autoSpaceDN/>
        <w:bidi w:val="0"/>
        <w:adjustRightInd w:val="0"/>
        <w:snapToGrid w:val="0"/>
        <w:spacing w:line="360" w:lineRule="auto"/>
        <w:ind w:firstLine="480" w:firstLineChars="20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rPr>
        <w:t>须按照</w:t>
      </w:r>
      <w:r>
        <w:rPr>
          <w:rFonts w:hint="eastAsia" w:ascii="宋体" w:hAnsi="宋体" w:eastAsia="宋体" w:cs="宋体"/>
          <w:color w:val="auto"/>
          <w:sz w:val="24"/>
          <w:szCs w:val="24"/>
          <w:highlight w:val="none"/>
          <w:lang w:val="en-US" w:eastAsia="zh-CN"/>
        </w:rPr>
        <w:t>国家现行相关行业</w:t>
      </w:r>
      <w:r>
        <w:rPr>
          <w:rFonts w:hint="eastAsia" w:ascii="宋体" w:hAnsi="宋体" w:eastAsia="宋体" w:cs="宋体"/>
          <w:color w:val="auto"/>
          <w:sz w:val="24"/>
          <w:szCs w:val="24"/>
          <w:highlight w:val="none"/>
        </w:rPr>
        <w:t>有关规定，向公众公示其服务内容和开放时间；因维修等原因需要暂时停止开放的，应当提前７日向公众告知。且要保证每周开放时间不少于35小时，全年开放时间不少于330天。体育场馆应当突出体育赛事和群体活动的承载功能，全年举办的活动中非体育类活动次数不得超过总活动次数的40%。</w:t>
      </w:r>
    </w:p>
    <w:p>
      <w:pPr>
        <w:keepNext w:val="0"/>
        <w:keepLines w:val="0"/>
        <w:pageBreakBefore w:val="0"/>
        <w:kinsoku/>
        <w:wordWrap/>
        <w:overflowPunct/>
        <w:topLinePunct w:val="0"/>
        <w:autoSpaceDE/>
        <w:autoSpaceDN/>
        <w:bidi w:val="0"/>
        <w:adjustRightInd w:val="0"/>
        <w:snapToGrid w:val="0"/>
        <w:spacing w:line="360" w:lineRule="auto"/>
        <w:ind w:firstLine="480" w:firstLineChars="200"/>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rPr>
        <w:t>须建立健全安全管理制度，依法配备安全</w:t>
      </w:r>
      <w:r>
        <w:rPr>
          <w:rFonts w:hint="eastAsia" w:ascii="宋体" w:hAnsi="宋体" w:eastAsia="宋体" w:cs="宋体"/>
          <w:color w:val="auto"/>
          <w:sz w:val="24"/>
          <w:szCs w:val="24"/>
          <w:highlight w:val="none"/>
          <w:lang w:eastAsia="zh-CN"/>
        </w:rPr>
        <w:t>管理</w:t>
      </w:r>
      <w:r>
        <w:rPr>
          <w:rFonts w:hint="eastAsia" w:ascii="宋体" w:hAnsi="宋体" w:eastAsia="宋体" w:cs="宋体"/>
          <w:color w:val="auto"/>
          <w:sz w:val="24"/>
          <w:szCs w:val="24"/>
          <w:highlight w:val="none"/>
        </w:rPr>
        <w:t>人员。</w:t>
      </w:r>
      <w:r>
        <w:rPr>
          <w:rFonts w:hint="eastAsia" w:ascii="宋体" w:hAnsi="宋体" w:eastAsia="宋体" w:cs="宋体"/>
          <w:color w:val="auto"/>
          <w:sz w:val="24"/>
          <w:szCs w:val="24"/>
          <w:highlight w:val="none"/>
          <w:lang w:val="en-US" w:eastAsia="zh-CN"/>
        </w:rPr>
        <w:t>具有应对突发事件能力</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CN"/>
        </w:rPr>
        <w:t>并可妥善处置，如因处置不当造成的一切责任由中标单位承担</w:t>
      </w:r>
      <w:r>
        <w:rPr>
          <w:rFonts w:hint="eastAsia" w:ascii="宋体" w:hAnsi="宋体" w:eastAsia="宋体" w:cs="宋体"/>
          <w:color w:val="auto"/>
          <w:sz w:val="24"/>
          <w:szCs w:val="24"/>
          <w:highlight w:val="none"/>
          <w:lang w:eastAsia="zh-CN"/>
        </w:rPr>
        <w:t>。</w:t>
      </w:r>
    </w:p>
    <w:p>
      <w:pPr>
        <w:keepNext w:val="0"/>
        <w:keepLines w:val="0"/>
        <w:pageBreakBefore w:val="0"/>
        <w:kinsoku/>
        <w:wordWrap/>
        <w:overflowPunct/>
        <w:topLinePunct w:val="0"/>
        <w:autoSpaceDE/>
        <w:autoSpaceDN/>
        <w:bidi w:val="0"/>
        <w:adjustRightInd w:val="0"/>
        <w:snapToGrid w:val="0"/>
        <w:spacing w:line="360" w:lineRule="auto"/>
        <w:ind w:firstLine="420" w:firstLineChars="0"/>
        <w:jc w:val="left"/>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rPr>
        <w:t>不得将场馆转让给第三方运营，且应本着公平合理、诚实信用的原则使用场地，不得损害国家利益及其他人的合法权益，并承担因违法经营造成的一切后果。</w:t>
      </w:r>
    </w:p>
    <w:p>
      <w:pPr>
        <w:keepNext w:val="0"/>
        <w:keepLines w:val="0"/>
        <w:pageBreakBefore w:val="0"/>
        <w:kinsoku/>
        <w:wordWrap/>
        <w:overflowPunct/>
        <w:topLinePunct w:val="0"/>
        <w:autoSpaceDE/>
        <w:autoSpaceDN/>
        <w:bidi w:val="0"/>
        <w:adjustRightInd w:val="0"/>
        <w:snapToGrid w:val="0"/>
        <w:spacing w:line="360" w:lineRule="auto"/>
        <w:ind w:firstLine="420" w:firstLineChars="0"/>
        <w:jc w:val="left"/>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5</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lang w:eastAsia="zh-CN"/>
        </w:rPr>
        <w:t>有义务发挥场馆资源优势，接受</w:t>
      </w:r>
      <w:r>
        <w:rPr>
          <w:rFonts w:hint="eastAsia" w:ascii="宋体" w:hAnsi="宋体" w:eastAsia="宋体" w:cs="宋体"/>
          <w:color w:val="auto"/>
          <w:sz w:val="24"/>
          <w:szCs w:val="24"/>
          <w:highlight w:val="none"/>
          <w:lang w:val="en-US" w:eastAsia="zh-CN"/>
        </w:rPr>
        <w:t>相关</w:t>
      </w:r>
      <w:r>
        <w:rPr>
          <w:rFonts w:hint="eastAsia" w:ascii="宋体" w:hAnsi="宋体" w:eastAsia="宋体" w:cs="宋体"/>
          <w:color w:val="auto"/>
          <w:sz w:val="24"/>
          <w:szCs w:val="24"/>
          <w:highlight w:val="none"/>
          <w:lang w:eastAsia="zh-CN"/>
        </w:rPr>
        <w:t>委托，积极参加</w:t>
      </w:r>
      <w:r>
        <w:rPr>
          <w:rFonts w:hint="eastAsia" w:ascii="宋体" w:hAnsi="宋体" w:eastAsia="宋体" w:cs="宋体"/>
          <w:color w:val="auto"/>
          <w:sz w:val="24"/>
          <w:szCs w:val="24"/>
          <w:highlight w:val="none"/>
          <w:lang w:val="en-US" w:eastAsia="zh-CN"/>
        </w:rPr>
        <w:t>举报</w:t>
      </w:r>
      <w:r>
        <w:rPr>
          <w:rFonts w:hint="eastAsia" w:ascii="宋体" w:hAnsi="宋体" w:eastAsia="宋体" w:cs="宋体"/>
          <w:color w:val="auto"/>
          <w:sz w:val="24"/>
          <w:szCs w:val="24"/>
          <w:highlight w:val="none"/>
          <w:lang w:eastAsia="zh-CN"/>
        </w:rPr>
        <w:t>相关项目的比赛。</w:t>
      </w:r>
    </w:p>
    <w:p>
      <w:pPr>
        <w:keepNext w:val="0"/>
        <w:keepLines w:val="0"/>
        <w:pageBreakBefore w:val="0"/>
        <w:kinsoku/>
        <w:wordWrap/>
        <w:overflowPunct/>
        <w:topLinePunct w:val="0"/>
        <w:autoSpaceDE/>
        <w:autoSpaceDN/>
        <w:bidi w:val="0"/>
        <w:adjustRightInd w:val="0"/>
        <w:snapToGrid w:val="0"/>
        <w:spacing w:line="360" w:lineRule="auto"/>
        <w:ind w:firstLine="420" w:firstLineChars="0"/>
        <w:jc w:val="left"/>
        <w:rPr>
          <w:rFonts w:hint="eastAsia" w:eastAsia="宋体"/>
          <w:lang w:eastAsia="zh-CN"/>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中标单位</w:t>
      </w:r>
      <w:r>
        <w:rPr>
          <w:rFonts w:hint="eastAsia" w:ascii="宋体" w:hAnsi="宋体" w:eastAsia="宋体" w:cs="宋体"/>
          <w:color w:val="auto"/>
          <w:sz w:val="24"/>
          <w:szCs w:val="24"/>
          <w:highlight w:val="none"/>
          <w:lang w:eastAsia="zh-CN"/>
        </w:rPr>
        <w:t>可</w:t>
      </w:r>
      <w:r>
        <w:rPr>
          <w:rFonts w:hint="eastAsia" w:ascii="宋体" w:hAnsi="宋体" w:eastAsia="宋体" w:cs="宋体"/>
          <w:color w:val="auto"/>
          <w:sz w:val="24"/>
          <w:szCs w:val="24"/>
          <w:highlight w:val="none"/>
        </w:rPr>
        <w:t>对体育运动中心场馆进行广告和无形资产的开发，但广告内容和开发方案</w:t>
      </w:r>
      <w:r>
        <w:rPr>
          <w:rFonts w:hint="eastAsia" w:ascii="宋体" w:hAnsi="宋体" w:eastAsia="宋体" w:cs="宋体"/>
          <w:color w:val="auto"/>
          <w:sz w:val="24"/>
          <w:szCs w:val="24"/>
          <w:highlight w:val="none"/>
          <w:lang w:val="en-US" w:eastAsia="zh-CN"/>
        </w:rPr>
        <w:t>须报采购人</w:t>
      </w:r>
      <w:r>
        <w:rPr>
          <w:rFonts w:hint="eastAsia" w:ascii="宋体" w:hAnsi="宋体" w:eastAsia="宋体" w:cs="宋体"/>
          <w:color w:val="auto"/>
          <w:sz w:val="24"/>
          <w:szCs w:val="24"/>
          <w:highlight w:val="none"/>
        </w:rPr>
        <w:t>同意</w:t>
      </w:r>
      <w:r>
        <w:rPr>
          <w:rFonts w:hint="eastAsia" w:ascii="宋体" w:hAnsi="宋体" w:eastAsia="宋体" w:cs="宋体"/>
          <w:color w:val="auto"/>
          <w:sz w:val="24"/>
          <w:szCs w:val="24"/>
          <w:highlight w:val="none"/>
          <w:lang w:val="en-US" w:eastAsia="zh-CN"/>
        </w:rPr>
        <w:t>后实施</w:t>
      </w:r>
      <w:r>
        <w:rPr>
          <w:rFonts w:hint="eastAsia" w:ascii="宋体" w:hAnsi="宋体" w:eastAsia="宋体" w:cs="宋体"/>
          <w:color w:val="auto"/>
          <w:sz w:val="24"/>
          <w:szCs w:val="24"/>
          <w:highlight w:val="none"/>
        </w:rPr>
        <w:t>。</w:t>
      </w:r>
    </w:p>
    <w:p>
      <w:pPr>
        <w:keepNext w:val="0"/>
        <w:keepLines w:val="0"/>
        <w:pageBreakBefore w:val="0"/>
        <w:numPr>
          <w:ilvl w:val="0"/>
          <w:numId w:val="1"/>
        </w:numPr>
        <w:kinsoku/>
        <w:wordWrap/>
        <w:overflowPunct/>
        <w:topLinePunct w:val="0"/>
        <w:autoSpaceDE/>
        <w:autoSpaceDN/>
        <w:bidi w:val="0"/>
        <w:adjustRightInd w:val="0"/>
        <w:snapToGrid w:val="0"/>
        <w:spacing w:line="360" w:lineRule="auto"/>
        <w:jc w:val="left"/>
        <w:textAlignment w:val="auto"/>
        <w:rPr>
          <w:rFonts w:hint="eastAsia" w:ascii="宋体" w:hAnsi="宋体" w:cs="宋体"/>
          <w:b/>
          <w:bCs/>
          <w:sz w:val="24"/>
          <w:szCs w:val="24"/>
          <w:highlight w:val="none"/>
          <w:lang w:val="en-US" w:eastAsia="zh-CN"/>
        </w:rPr>
      </w:pPr>
      <w:r>
        <w:rPr>
          <w:rFonts w:hint="eastAsia" w:ascii="宋体" w:hAnsi="宋体" w:cs="宋体"/>
          <w:b/>
          <w:bCs/>
          <w:sz w:val="24"/>
          <w:szCs w:val="24"/>
          <w:highlight w:val="none"/>
          <w:lang w:val="en-US" w:eastAsia="zh-CN"/>
        </w:rPr>
        <w:t>考核标准</w:t>
      </w:r>
    </w:p>
    <w:p>
      <w:pPr>
        <w:pStyle w:val="2"/>
        <w:ind w:firstLine="480" w:firstLineChars="200"/>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rPr>
        <w:t>采购人每年</w:t>
      </w:r>
      <w:r>
        <w:rPr>
          <w:rFonts w:hint="eastAsia" w:ascii="宋体" w:hAnsi="宋体" w:eastAsia="宋体" w:cs="宋体"/>
          <w:b w:val="0"/>
          <w:bCs w:val="0"/>
          <w:sz w:val="24"/>
          <w:szCs w:val="24"/>
          <w:highlight w:val="none"/>
          <w:lang w:val="en-US" w:eastAsia="zh-CN"/>
        </w:rPr>
        <w:t>四季度末将</w:t>
      </w:r>
      <w:r>
        <w:rPr>
          <w:rFonts w:hint="eastAsia" w:ascii="宋体" w:hAnsi="宋体" w:eastAsia="宋体" w:cs="宋体"/>
          <w:b w:val="0"/>
          <w:bCs w:val="0"/>
          <w:sz w:val="24"/>
          <w:szCs w:val="24"/>
          <w:highlight w:val="none"/>
        </w:rPr>
        <w:t>对</w:t>
      </w:r>
      <w:r>
        <w:rPr>
          <w:rFonts w:hint="eastAsia" w:ascii="宋体" w:hAnsi="宋体" w:cs="宋体"/>
          <w:b w:val="0"/>
          <w:bCs w:val="0"/>
          <w:sz w:val="24"/>
          <w:szCs w:val="24"/>
          <w:highlight w:val="none"/>
          <w:lang w:val="en-US" w:eastAsia="zh-CN"/>
        </w:rPr>
        <w:t>中标供应商</w:t>
      </w:r>
      <w:r>
        <w:rPr>
          <w:rFonts w:hint="eastAsia" w:ascii="宋体" w:hAnsi="宋体" w:eastAsia="宋体" w:cs="宋体"/>
          <w:b w:val="0"/>
          <w:bCs w:val="0"/>
          <w:sz w:val="24"/>
          <w:szCs w:val="24"/>
          <w:highlight w:val="none"/>
        </w:rPr>
        <w:t>服务质量进行考核。考核</w:t>
      </w:r>
      <w:r>
        <w:rPr>
          <w:rFonts w:hint="eastAsia" w:ascii="宋体" w:hAnsi="宋体" w:eastAsia="宋体" w:cs="宋体"/>
          <w:b w:val="0"/>
          <w:bCs w:val="0"/>
          <w:sz w:val="24"/>
          <w:szCs w:val="24"/>
          <w:highlight w:val="none"/>
          <w:lang w:val="en-US" w:eastAsia="zh-CN"/>
        </w:rPr>
        <w:t>80分以下扣除合同额的5%</w:t>
      </w:r>
      <w:r>
        <w:rPr>
          <w:rFonts w:hint="eastAsia" w:ascii="宋体" w:hAnsi="宋体" w:eastAsia="宋体" w:cs="宋体"/>
          <w:b w:val="0"/>
          <w:bCs w:val="0"/>
          <w:sz w:val="24"/>
          <w:szCs w:val="24"/>
          <w:highlight w:val="none"/>
        </w:rPr>
        <w:t>，考核</w:t>
      </w:r>
      <w:r>
        <w:rPr>
          <w:rFonts w:hint="eastAsia" w:ascii="宋体" w:hAnsi="宋体" w:eastAsia="宋体" w:cs="宋体"/>
          <w:b w:val="0"/>
          <w:bCs w:val="0"/>
          <w:sz w:val="24"/>
          <w:szCs w:val="24"/>
          <w:highlight w:val="none"/>
          <w:lang w:val="en-US" w:eastAsia="zh-CN"/>
        </w:rPr>
        <w:t>60分以下甲方有权单方解除服务合同</w:t>
      </w:r>
      <w:r>
        <w:rPr>
          <w:rFonts w:hint="eastAsia" w:ascii="宋体" w:hAnsi="宋体" w:eastAsia="宋体" w:cs="宋体"/>
          <w:b w:val="0"/>
          <w:bCs w:val="0"/>
          <w:sz w:val="24"/>
          <w:szCs w:val="24"/>
          <w:highlight w:val="none"/>
        </w:rPr>
        <w:t>。</w:t>
      </w:r>
    </w:p>
    <w:p>
      <w:pPr>
        <w:keepNext w:val="0"/>
        <w:keepLines w:val="0"/>
        <w:pageBreakBefore w:val="0"/>
        <w:kinsoku/>
        <w:wordWrap/>
        <w:overflowPunct/>
        <w:topLinePunct w:val="0"/>
        <w:autoSpaceDE/>
        <w:autoSpaceDN/>
        <w:bidi w:val="0"/>
        <w:adjustRightInd w:val="0"/>
        <w:snapToGrid w:val="0"/>
        <w:spacing w:line="360" w:lineRule="auto"/>
        <w:ind w:firstLine="480" w:firstLineChars="200"/>
        <w:jc w:val="left"/>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rPr>
        <w:t>考核细则：</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671"/>
        <w:gridCol w:w="3314"/>
        <w:gridCol w:w="661"/>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1</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项目经理考核</w:t>
            </w:r>
          </w:p>
        </w:tc>
        <w:tc>
          <w:tcPr>
            <w:tcW w:w="3314"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项目经理常驻本项目</w:t>
            </w:r>
            <w:r>
              <w:rPr>
                <w:rFonts w:hint="eastAsia" w:ascii="宋体" w:hAnsi="宋体" w:cs="宋体"/>
                <w:kern w:val="0"/>
                <w:sz w:val="24"/>
                <w:szCs w:val="24"/>
                <w:highlight w:val="none"/>
                <w:lang w:eastAsia="zh-CN"/>
              </w:rPr>
              <w:t>运营服务</w:t>
            </w:r>
            <w:r>
              <w:rPr>
                <w:rFonts w:hint="eastAsia" w:ascii="宋体" w:hAnsi="宋体" w:eastAsia="宋体" w:cs="宋体"/>
                <w:kern w:val="0"/>
                <w:sz w:val="24"/>
                <w:szCs w:val="24"/>
                <w:highlight w:val="none"/>
              </w:rPr>
              <w:t>现场</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bCs/>
                <w:kern w:val="0"/>
                <w:sz w:val="24"/>
                <w:szCs w:val="24"/>
                <w:highlight w:val="none"/>
              </w:rPr>
              <w:t>10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发现工作时间不在项目现场扣10分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tabs>
                <w:tab w:val="left" w:pos="218"/>
                <w:tab w:val="center" w:pos="378"/>
              </w:tabs>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2</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服务人员考勤考核</w:t>
            </w:r>
          </w:p>
        </w:tc>
        <w:tc>
          <w:tcPr>
            <w:tcW w:w="331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left"/>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服务人员保证工作日到岗；负责的</w:t>
            </w:r>
            <w:r>
              <w:rPr>
                <w:rFonts w:hint="eastAsia" w:ascii="宋体" w:hAnsi="宋体" w:cs="宋体"/>
                <w:kern w:val="0"/>
                <w:sz w:val="24"/>
                <w:szCs w:val="24"/>
                <w:highlight w:val="none"/>
                <w:lang w:val="en-US" w:eastAsia="zh-CN"/>
              </w:rPr>
              <w:t>运维</w:t>
            </w:r>
            <w:r>
              <w:rPr>
                <w:rFonts w:hint="eastAsia" w:ascii="宋体" w:hAnsi="宋体" w:eastAsia="宋体" w:cs="宋体"/>
                <w:kern w:val="0"/>
                <w:sz w:val="24"/>
                <w:szCs w:val="24"/>
                <w:highlight w:val="none"/>
              </w:rPr>
              <w:t>工作按要求达标；休假天数不能超过1个工作日；每月考核</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bCs/>
                <w:kern w:val="0"/>
                <w:sz w:val="24"/>
                <w:szCs w:val="24"/>
                <w:highlight w:val="none"/>
              </w:rPr>
              <w:t>1</w:t>
            </w:r>
            <w:r>
              <w:rPr>
                <w:rFonts w:hint="eastAsia" w:ascii="宋体" w:hAnsi="宋体" w:eastAsia="宋体" w:cs="宋体"/>
                <w:bCs/>
                <w:kern w:val="0"/>
                <w:sz w:val="24"/>
                <w:szCs w:val="24"/>
                <w:highlight w:val="none"/>
                <w:lang w:val="en-US" w:eastAsia="zh-CN"/>
              </w:rPr>
              <w:t>4</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服务人员到岗考核，每人每次缺岗一次扣</w:t>
            </w:r>
            <w:r>
              <w:rPr>
                <w:rFonts w:hint="eastAsia" w:ascii="宋体" w:hAnsi="宋体" w:eastAsia="宋体" w:cs="宋体"/>
                <w:kern w:val="0"/>
                <w:sz w:val="24"/>
                <w:szCs w:val="24"/>
                <w:highlight w:val="none"/>
                <w:lang w:val="en-US" w:eastAsia="zh-CN"/>
              </w:rPr>
              <w:t>3</w:t>
            </w:r>
            <w:r>
              <w:rPr>
                <w:rFonts w:hint="eastAsia" w:ascii="宋体" w:hAnsi="宋体" w:eastAsia="宋体" w:cs="宋体"/>
                <w:kern w:val="0"/>
                <w:sz w:val="24"/>
                <w:szCs w:val="24"/>
                <w:highlight w:val="none"/>
              </w:rPr>
              <w:t>分，3人以上扣除1</w:t>
            </w:r>
            <w:r>
              <w:rPr>
                <w:rFonts w:hint="eastAsia" w:ascii="宋体" w:hAnsi="宋体" w:eastAsia="宋体" w:cs="宋体"/>
                <w:kern w:val="0"/>
                <w:sz w:val="24"/>
                <w:szCs w:val="24"/>
                <w:highlight w:val="none"/>
                <w:lang w:val="en-US" w:eastAsia="zh-CN"/>
              </w:rPr>
              <w:t>4</w:t>
            </w:r>
            <w:r>
              <w:rPr>
                <w:rFonts w:hint="eastAsia" w:ascii="宋体" w:hAnsi="宋体" w:eastAsia="宋体" w:cs="宋体"/>
                <w:kern w:val="0"/>
                <w:sz w:val="24"/>
                <w:szCs w:val="24"/>
                <w:highlight w:val="none"/>
              </w:rPr>
              <w:t>分（特殊情况除外）。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3</w:t>
            </w:r>
          </w:p>
        </w:tc>
        <w:tc>
          <w:tcPr>
            <w:tcW w:w="1671"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月工作计划</w:t>
            </w:r>
          </w:p>
        </w:tc>
        <w:tc>
          <w:tcPr>
            <w:tcW w:w="3314"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left"/>
              <w:rPr>
                <w:rFonts w:hint="default" w:ascii="宋体" w:hAnsi="宋体" w:eastAsia="宋体" w:cs="宋体"/>
                <w:sz w:val="24"/>
                <w:szCs w:val="24"/>
                <w:highlight w:val="none"/>
                <w:lang w:val="en-US" w:eastAsia="zh-CN"/>
              </w:rPr>
            </w:pPr>
            <w:r>
              <w:rPr>
                <w:rFonts w:hint="eastAsia" w:ascii="宋体" w:hAnsi="宋体" w:eastAsia="宋体" w:cs="宋体"/>
                <w:kern w:val="0"/>
                <w:sz w:val="24"/>
                <w:szCs w:val="24"/>
                <w:highlight w:val="none"/>
              </w:rPr>
              <w:t>每月首个工作日提供本月详细工作计划；每月初考核</w:t>
            </w:r>
            <w:r>
              <w:rPr>
                <w:rFonts w:hint="eastAsia" w:ascii="宋体" w:hAnsi="宋体" w:cs="宋体"/>
                <w:kern w:val="0"/>
                <w:sz w:val="24"/>
                <w:szCs w:val="24"/>
                <w:highlight w:val="none"/>
                <w:lang w:eastAsia="zh-CN"/>
              </w:rPr>
              <w:t>、</w:t>
            </w:r>
            <w:r>
              <w:rPr>
                <w:rFonts w:hint="eastAsia" w:ascii="宋体" w:hAnsi="宋体" w:cs="宋体"/>
                <w:kern w:val="0"/>
                <w:sz w:val="24"/>
                <w:szCs w:val="24"/>
                <w:highlight w:val="none"/>
                <w:lang w:val="en-US" w:eastAsia="zh-CN"/>
              </w:rPr>
              <w:t>月末须向采购人上报财务对账信息</w:t>
            </w:r>
          </w:p>
        </w:tc>
        <w:tc>
          <w:tcPr>
            <w:tcW w:w="661"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rPr>
            </w:pPr>
            <w:r>
              <w:rPr>
                <w:rFonts w:hint="eastAsia" w:ascii="宋体" w:hAnsi="宋体" w:eastAsia="宋体" w:cs="宋体"/>
                <w:bCs/>
                <w:kern w:val="0"/>
                <w:sz w:val="24"/>
                <w:szCs w:val="24"/>
                <w:highlight w:val="none"/>
              </w:rPr>
              <w:t>10</w:t>
            </w:r>
          </w:p>
        </w:tc>
        <w:tc>
          <w:tcPr>
            <w:tcW w:w="2134" w:type="dxa"/>
            <w:noWrap w:val="0"/>
            <w:vAlign w:val="center"/>
          </w:tcPr>
          <w:p>
            <w:pPr>
              <w:keepNext w:val="0"/>
              <w:keepLines w:val="0"/>
              <w:pageBreakBefore w:val="0"/>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不按期提供扣5分，计划不详实扣5分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卫生保洁</w:t>
            </w:r>
          </w:p>
        </w:tc>
        <w:tc>
          <w:tcPr>
            <w:tcW w:w="331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1、公共区域：公共场所的栏杆、扶手、窗台等无灰尘，地面无灰尘、积水；</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2、卫生间卫生：卫生间内无积水、无污垢、异味。每周考核</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bCs/>
                <w:kern w:val="0"/>
                <w:sz w:val="24"/>
                <w:szCs w:val="24"/>
                <w:highlight w:val="none"/>
              </w:rPr>
              <w:t>1</w:t>
            </w:r>
            <w:r>
              <w:rPr>
                <w:rFonts w:hint="eastAsia" w:ascii="宋体" w:hAnsi="宋体" w:eastAsia="宋体" w:cs="宋体"/>
                <w:bCs/>
                <w:kern w:val="0"/>
                <w:sz w:val="24"/>
                <w:szCs w:val="24"/>
                <w:highlight w:val="none"/>
                <w:lang w:val="en-US" w:eastAsia="zh-CN"/>
              </w:rPr>
              <w:t>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每项</w:t>
            </w:r>
            <w:r>
              <w:rPr>
                <w:rFonts w:hint="eastAsia" w:ascii="宋体" w:hAnsi="宋体" w:eastAsia="宋体" w:cs="宋体"/>
                <w:kern w:val="0"/>
                <w:sz w:val="24"/>
                <w:szCs w:val="24"/>
                <w:highlight w:val="none"/>
                <w:lang w:val="en-US" w:eastAsia="zh-CN"/>
              </w:rPr>
              <w:t>5</w:t>
            </w:r>
            <w:r>
              <w:rPr>
                <w:rFonts w:hint="eastAsia" w:ascii="宋体" w:hAnsi="宋体" w:eastAsia="宋体" w:cs="宋体"/>
                <w:kern w:val="0"/>
                <w:sz w:val="24"/>
                <w:szCs w:val="24"/>
                <w:highlight w:val="none"/>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sz w:val="24"/>
                <w:szCs w:val="24"/>
                <w:highlight w:val="none"/>
              </w:rPr>
              <w:t>秩序维护巡查</w:t>
            </w:r>
          </w:p>
        </w:tc>
        <w:tc>
          <w:tcPr>
            <w:tcW w:w="331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1、防火巡查：发现安全问题及时上报并做好记录；</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2、防盗巡查：发现安全问题及时上报并做好记录；</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3、防跑冒滴漏问题报修：发现问题及时报修并做好记录；</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4、管理服务：场馆大门开关及时。每周考核</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5、做好每日消毒记录备查。</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bCs/>
                <w:kern w:val="0"/>
                <w:sz w:val="24"/>
                <w:szCs w:val="24"/>
                <w:highlight w:val="none"/>
              </w:rPr>
              <w:t>1</w:t>
            </w:r>
            <w:r>
              <w:rPr>
                <w:rFonts w:hint="eastAsia" w:ascii="宋体" w:hAnsi="宋体" w:eastAsia="宋体" w:cs="宋体"/>
                <w:bCs/>
                <w:kern w:val="0"/>
                <w:sz w:val="24"/>
                <w:szCs w:val="24"/>
                <w:highlight w:val="none"/>
                <w:lang w:val="en-US" w:eastAsia="zh-CN"/>
              </w:rPr>
              <w:t>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每项</w:t>
            </w:r>
            <w:r>
              <w:rPr>
                <w:rFonts w:hint="eastAsia" w:ascii="宋体" w:hAnsi="宋体" w:eastAsia="宋体" w:cs="宋体"/>
                <w:kern w:val="0"/>
                <w:sz w:val="24"/>
                <w:szCs w:val="24"/>
                <w:highlight w:val="none"/>
                <w:lang w:val="en-US" w:eastAsia="zh-CN"/>
              </w:rPr>
              <w:t>2</w:t>
            </w:r>
            <w:r>
              <w:rPr>
                <w:rFonts w:hint="eastAsia" w:ascii="宋体" w:hAnsi="宋体" w:eastAsia="宋体" w:cs="宋体"/>
                <w:kern w:val="0"/>
                <w:sz w:val="24"/>
                <w:szCs w:val="24"/>
                <w:highlight w:val="none"/>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6</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服务规范</w:t>
            </w:r>
          </w:p>
        </w:tc>
        <w:tc>
          <w:tcPr>
            <w:tcW w:w="331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top"/>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1、从业人员统一着印有公司标识工装；</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top"/>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2、从业人员对待老师、学生态度谦和，服务热情，语言规范；</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top"/>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3节约用水、用电、有制度及标识</w:t>
            </w:r>
          </w:p>
          <w:p>
            <w:pPr>
              <w:keepNext w:val="0"/>
              <w:keepLines w:val="0"/>
              <w:pageBreakBefore w:val="0"/>
              <w:widowControl/>
              <w:kinsoku/>
              <w:wordWrap/>
              <w:overflowPunct/>
              <w:topLinePunct w:val="0"/>
              <w:autoSpaceDE/>
              <w:autoSpaceDN/>
              <w:bidi w:val="0"/>
              <w:adjustRightInd w:val="0"/>
              <w:snapToGrid w:val="0"/>
              <w:spacing w:line="288" w:lineRule="auto"/>
              <w:ind w:left="210" w:hanging="240" w:hangingChars="100"/>
              <w:jc w:val="left"/>
              <w:textAlignment w:val="top"/>
              <w:rPr>
                <w:rFonts w:hint="eastAsia" w:ascii="宋体" w:hAnsi="宋体" w:eastAsia="宋体" w:cs="宋体"/>
                <w:sz w:val="24"/>
                <w:szCs w:val="24"/>
                <w:highlight w:val="none"/>
              </w:rPr>
            </w:pPr>
            <w:r>
              <w:rPr>
                <w:rFonts w:hint="eastAsia" w:ascii="宋体" w:hAnsi="宋体" w:eastAsia="宋体" w:cs="宋体"/>
                <w:kern w:val="0"/>
                <w:sz w:val="24"/>
                <w:szCs w:val="24"/>
                <w:highlight w:val="none"/>
              </w:rPr>
              <w:t>4、爱护一草一木、一砖一瓦。每周考核</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bCs/>
                <w:kern w:val="0"/>
                <w:sz w:val="24"/>
                <w:szCs w:val="24"/>
                <w:highlight w:val="none"/>
              </w:rPr>
              <w:t>1</w:t>
            </w:r>
            <w:r>
              <w:rPr>
                <w:rFonts w:hint="eastAsia" w:ascii="宋体" w:hAnsi="宋体" w:eastAsia="宋体" w:cs="宋体"/>
                <w:bCs/>
                <w:kern w:val="0"/>
                <w:sz w:val="24"/>
                <w:szCs w:val="24"/>
                <w:highlight w:val="none"/>
                <w:lang w:val="en-US" w:eastAsia="zh-CN"/>
              </w:rPr>
              <w:t>6</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rPr>
            </w:pPr>
            <w:r>
              <w:rPr>
                <w:rFonts w:hint="eastAsia" w:ascii="宋体" w:hAnsi="宋体" w:eastAsia="宋体" w:cs="宋体"/>
                <w:kern w:val="0"/>
                <w:sz w:val="24"/>
                <w:szCs w:val="24"/>
                <w:highlight w:val="none"/>
              </w:rPr>
              <w:t>每项</w:t>
            </w:r>
            <w:r>
              <w:rPr>
                <w:rFonts w:hint="eastAsia" w:ascii="宋体" w:hAnsi="宋体" w:eastAsia="宋体" w:cs="宋体"/>
                <w:kern w:val="0"/>
                <w:sz w:val="24"/>
                <w:szCs w:val="24"/>
                <w:highlight w:val="none"/>
                <w:lang w:val="en-US" w:eastAsia="zh-CN"/>
              </w:rPr>
              <w:t>4</w:t>
            </w:r>
            <w:r>
              <w:rPr>
                <w:rFonts w:hint="eastAsia" w:ascii="宋体" w:hAnsi="宋体" w:eastAsia="宋体" w:cs="宋体"/>
                <w:kern w:val="0"/>
                <w:sz w:val="24"/>
                <w:szCs w:val="24"/>
                <w:highlight w:val="none"/>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7</w:t>
            </w:r>
          </w:p>
        </w:tc>
        <w:tc>
          <w:tcPr>
            <w:tcW w:w="1671" w:type="dxa"/>
            <w:noWrap w:val="0"/>
            <w:vAlign w:val="center"/>
          </w:tcPr>
          <w:p>
            <w:pPr>
              <w:keepNext w:val="0"/>
              <w:keepLines w:val="0"/>
              <w:pageBreakBefore w:val="0"/>
              <w:widowControl/>
              <w:numPr>
                <w:ilvl w:val="0"/>
                <w:numId w:val="0"/>
              </w:numPr>
              <w:kinsoku/>
              <w:wordWrap/>
              <w:overflowPunct/>
              <w:topLinePunct w:val="0"/>
              <w:autoSpaceDE/>
              <w:autoSpaceDN/>
              <w:bidi w:val="0"/>
              <w:adjustRightInd w:val="0"/>
              <w:snapToGrid w:val="0"/>
              <w:spacing w:line="288" w:lineRule="auto"/>
              <w:jc w:val="center"/>
              <w:textAlignment w:val="top"/>
              <w:rPr>
                <w:rFonts w:hint="eastAsia" w:ascii="宋体" w:hAnsi="宋体" w:eastAsia="宋体" w:cs="宋体"/>
                <w:kern w:val="0"/>
                <w:sz w:val="24"/>
                <w:szCs w:val="24"/>
                <w:highlight w:val="none"/>
              </w:rPr>
            </w:pPr>
            <w:r>
              <w:rPr>
                <w:rFonts w:hint="eastAsia" w:ascii="宋体" w:hAnsi="宋体" w:cs="宋体"/>
                <w:kern w:val="0"/>
                <w:sz w:val="24"/>
                <w:szCs w:val="24"/>
                <w:highlight w:val="none"/>
                <w:lang w:val="en-US" w:eastAsia="zh-CN"/>
              </w:rPr>
              <w:t>场馆安全保障措施、大型</w:t>
            </w:r>
            <w:r>
              <w:rPr>
                <w:rFonts w:hint="eastAsia" w:ascii="宋体" w:hAnsi="宋体" w:eastAsia="宋体" w:cs="宋体"/>
                <w:kern w:val="0"/>
                <w:sz w:val="24"/>
                <w:szCs w:val="24"/>
                <w:highlight w:val="none"/>
              </w:rPr>
              <w:t>活动保障及突发情况应对</w:t>
            </w:r>
          </w:p>
        </w:tc>
        <w:tc>
          <w:tcPr>
            <w:tcW w:w="3314" w:type="dxa"/>
            <w:noWrap w:val="0"/>
            <w:vAlign w:val="center"/>
          </w:tcPr>
          <w:p>
            <w:pPr>
              <w:keepNext w:val="0"/>
              <w:keepLines w:val="0"/>
              <w:pageBreakBefore w:val="0"/>
              <w:widowControl/>
              <w:numPr>
                <w:ilvl w:val="0"/>
                <w:numId w:val="0"/>
              </w:numPr>
              <w:kinsoku/>
              <w:wordWrap/>
              <w:overflowPunct/>
              <w:topLinePunct w:val="0"/>
              <w:autoSpaceDE/>
              <w:autoSpaceDN/>
              <w:bidi w:val="0"/>
              <w:adjustRightInd w:val="0"/>
              <w:snapToGrid w:val="0"/>
              <w:spacing w:line="288" w:lineRule="auto"/>
              <w:jc w:val="left"/>
              <w:textAlignment w:val="top"/>
              <w:rPr>
                <w:rFonts w:hint="eastAsia" w:ascii="宋体" w:hAnsi="宋体" w:eastAsia="宋体" w:cs="宋体"/>
                <w:kern w:val="0"/>
                <w:sz w:val="24"/>
                <w:szCs w:val="24"/>
                <w:highlight w:val="none"/>
              </w:rPr>
            </w:pPr>
            <w:r>
              <w:rPr>
                <w:rFonts w:hint="eastAsia" w:ascii="宋体" w:hAnsi="宋体" w:cs="宋体"/>
                <w:kern w:val="0"/>
                <w:sz w:val="24"/>
                <w:szCs w:val="24"/>
                <w:highlight w:val="none"/>
                <w:lang w:val="en-US" w:eastAsia="zh-CN"/>
              </w:rPr>
              <w:t>1、</w:t>
            </w:r>
            <w:r>
              <w:rPr>
                <w:rFonts w:hint="eastAsia" w:ascii="宋体" w:hAnsi="宋体" w:eastAsia="宋体" w:cs="宋体"/>
                <w:kern w:val="0"/>
                <w:sz w:val="24"/>
                <w:szCs w:val="24"/>
                <w:highlight w:val="none"/>
              </w:rPr>
              <w:t>大型活动积极配合，突发情况有效应对。</w:t>
            </w:r>
          </w:p>
          <w:p>
            <w:pPr>
              <w:keepNext w:val="0"/>
              <w:keepLines w:val="0"/>
              <w:pageBreakBefore w:val="0"/>
              <w:widowControl/>
              <w:numPr>
                <w:ilvl w:val="0"/>
                <w:numId w:val="0"/>
              </w:numPr>
              <w:kinsoku/>
              <w:wordWrap/>
              <w:overflowPunct/>
              <w:topLinePunct w:val="0"/>
              <w:autoSpaceDE/>
              <w:autoSpaceDN/>
              <w:bidi w:val="0"/>
              <w:adjustRightInd w:val="0"/>
              <w:snapToGrid w:val="0"/>
              <w:spacing w:line="288" w:lineRule="auto"/>
              <w:jc w:val="left"/>
              <w:textAlignment w:val="top"/>
              <w:rPr>
                <w:rFonts w:hint="eastAsia" w:ascii="宋体" w:hAnsi="宋体" w:eastAsia="宋体" w:cs="宋体"/>
                <w:kern w:val="0"/>
                <w:sz w:val="24"/>
                <w:szCs w:val="24"/>
                <w:highlight w:val="none"/>
              </w:rPr>
            </w:pPr>
            <w:r>
              <w:rPr>
                <w:rFonts w:hint="eastAsia" w:ascii="宋体" w:hAnsi="宋体" w:cs="宋体"/>
                <w:kern w:val="0"/>
                <w:sz w:val="24"/>
                <w:szCs w:val="24"/>
                <w:highlight w:val="none"/>
                <w:lang w:val="en-US" w:eastAsia="zh-CN"/>
              </w:rPr>
              <w:t>2、</w:t>
            </w:r>
            <w:r>
              <w:rPr>
                <w:rFonts w:hint="eastAsia" w:ascii="宋体" w:hAnsi="宋体" w:eastAsia="宋体" w:cs="宋体"/>
                <w:kern w:val="0"/>
                <w:sz w:val="24"/>
                <w:szCs w:val="24"/>
                <w:highlight w:val="none"/>
                <w:lang w:val="en-US" w:eastAsia="zh-CN"/>
              </w:rPr>
              <w:t>场馆安全保障措施完善、具有定期巡检计划</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sz w:val="24"/>
                <w:szCs w:val="24"/>
                <w:highlight w:val="none"/>
                <w:lang w:val="en-US" w:eastAsia="zh-CN"/>
              </w:rPr>
            </w:pPr>
            <w:r>
              <w:rPr>
                <w:rFonts w:hint="eastAsia" w:ascii="宋体" w:hAnsi="宋体" w:eastAsia="宋体" w:cs="宋体"/>
                <w:bCs/>
                <w:kern w:val="0"/>
                <w:sz w:val="24"/>
                <w:szCs w:val="24"/>
                <w:highlight w:val="none"/>
              </w:rPr>
              <w:t>1</w:t>
            </w:r>
            <w:r>
              <w:rPr>
                <w:rFonts w:hint="eastAsia" w:ascii="宋体" w:hAnsi="宋体" w:eastAsia="宋体" w:cs="宋体"/>
                <w:bCs/>
                <w:kern w:val="0"/>
                <w:sz w:val="24"/>
                <w:szCs w:val="24"/>
                <w:highlight w:val="none"/>
                <w:lang w:val="en-US" w:eastAsia="zh-CN"/>
              </w:rPr>
              <w:t>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default" w:ascii="宋体" w:hAnsi="宋体" w:eastAsia="宋体" w:cs="宋体"/>
                <w:sz w:val="24"/>
                <w:szCs w:val="24"/>
                <w:highlight w:val="none"/>
                <w:lang w:val="en-US" w:eastAsia="zh-CN"/>
              </w:rPr>
            </w:pPr>
            <w:r>
              <w:rPr>
                <w:rFonts w:hint="eastAsia" w:ascii="宋体" w:hAnsi="宋体" w:eastAsia="宋体" w:cs="宋体"/>
                <w:kern w:val="0"/>
                <w:sz w:val="24"/>
                <w:szCs w:val="24"/>
                <w:highlight w:val="none"/>
              </w:rPr>
              <w:t>大型活动积极配合不积极、服务不到位，扣除</w:t>
            </w:r>
            <w:r>
              <w:rPr>
                <w:rFonts w:hint="eastAsia" w:ascii="宋体" w:hAnsi="宋体" w:eastAsia="宋体" w:cs="宋体"/>
                <w:kern w:val="0"/>
                <w:sz w:val="24"/>
                <w:szCs w:val="24"/>
                <w:highlight w:val="none"/>
                <w:lang w:val="en-US" w:eastAsia="zh-CN"/>
              </w:rPr>
              <w:t>5</w:t>
            </w:r>
            <w:r>
              <w:rPr>
                <w:rFonts w:hint="eastAsia" w:ascii="宋体" w:hAnsi="宋体" w:eastAsia="宋体" w:cs="宋体"/>
                <w:kern w:val="0"/>
                <w:sz w:val="24"/>
                <w:szCs w:val="24"/>
                <w:highlight w:val="none"/>
              </w:rPr>
              <w:t>分；恶劣天气未有效应对，扣除</w:t>
            </w:r>
            <w:r>
              <w:rPr>
                <w:rFonts w:hint="eastAsia" w:ascii="宋体" w:hAnsi="宋体" w:eastAsia="宋体" w:cs="宋体"/>
                <w:kern w:val="0"/>
                <w:sz w:val="24"/>
                <w:szCs w:val="24"/>
                <w:highlight w:val="none"/>
                <w:lang w:val="en-US" w:eastAsia="zh-CN"/>
              </w:rPr>
              <w:t>5</w:t>
            </w:r>
            <w:r>
              <w:rPr>
                <w:rFonts w:hint="eastAsia" w:ascii="宋体" w:hAnsi="宋体" w:eastAsia="宋体" w:cs="宋体"/>
                <w:kern w:val="0"/>
                <w:sz w:val="24"/>
                <w:szCs w:val="24"/>
                <w:highlight w:val="none"/>
              </w:rPr>
              <w:t>分</w:t>
            </w:r>
            <w:r>
              <w:rPr>
                <w:rFonts w:hint="eastAsia" w:ascii="宋体" w:hAnsi="宋体" w:cs="宋体"/>
                <w:kern w:val="0"/>
                <w:sz w:val="24"/>
                <w:szCs w:val="24"/>
                <w:highlight w:val="none"/>
                <w:lang w:eastAsia="zh-CN"/>
              </w:rPr>
              <w:t>；</w:t>
            </w:r>
            <w:r>
              <w:rPr>
                <w:rFonts w:hint="eastAsia" w:ascii="宋体" w:hAnsi="宋体" w:cs="宋体"/>
                <w:kern w:val="0"/>
                <w:sz w:val="24"/>
                <w:szCs w:val="24"/>
                <w:highlight w:val="none"/>
                <w:lang w:val="en-US" w:eastAsia="zh-CN"/>
              </w:rPr>
              <w:t>场馆安全保障措施不到位或无巡检计划的，扣除5分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8</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运营情况</w:t>
            </w:r>
          </w:p>
        </w:tc>
        <w:tc>
          <w:tcPr>
            <w:tcW w:w="331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left"/>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1、无乱收费现象</w:t>
            </w:r>
          </w:p>
          <w:p>
            <w:pPr>
              <w:keepNext w:val="0"/>
              <w:keepLines w:val="0"/>
              <w:pageBreakBefore w:val="0"/>
              <w:widowControl/>
              <w:kinsoku/>
              <w:wordWrap/>
              <w:overflowPunct/>
              <w:topLinePunct w:val="0"/>
              <w:autoSpaceDE/>
              <w:autoSpaceDN/>
              <w:bidi w:val="0"/>
              <w:adjustRightInd w:val="0"/>
              <w:snapToGrid w:val="0"/>
              <w:spacing w:line="288" w:lineRule="auto"/>
              <w:jc w:val="left"/>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2、账务清晰</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10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top"/>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每项5分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9</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kern w:val="0"/>
                <w:sz w:val="24"/>
                <w:szCs w:val="24"/>
                <w:highlight w:val="none"/>
                <w:lang w:val="en-US" w:eastAsia="zh-CN"/>
              </w:rPr>
            </w:pPr>
            <w:r>
              <w:rPr>
                <w:rFonts w:hint="eastAsia" w:ascii="宋体" w:hAnsi="宋体" w:eastAsia="宋体" w:cs="宋体"/>
                <w:kern w:val="0"/>
                <w:sz w:val="24"/>
                <w:szCs w:val="24"/>
                <w:highlight w:val="none"/>
                <w:lang w:val="en-US" w:eastAsia="zh-CN"/>
              </w:rPr>
              <w:t>客户服务</w:t>
            </w:r>
          </w:p>
        </w:tc>
        <w:tc>
          <w:tcPr>
            <w:tcW w:w="3314" w:type="dxa"/>
            <w:noWrap w:val="0"/>
            <w:vAlign w:val="center"/>
          </w:tcPr>
          <w:p>
            <w:pPr>
              <w:keepNext w:val="0"/>
              <w:keepLines w:val="0"/>
              <w:pageBreakBefore w:val="0"/>
              <w:widowControl/>
              <w:numPr>
                <w:ilvl w:val="0"/>
                <w:numId w:val="2"/>
              </w:numPr>
              <w:kinsoku/>
              <w:wordWrap/>
              <w:overflowPunct/>
              <w:topLinePunct w:val="0"/>
              <w:autoSpaceDE/>
              <w:autoSpaceDN/>
              <w:bidi w:val="0"/>
              <w:adjustRightInd w:val="0"/>
              <w:snapToGrid w:val="0"/>
              <w:spacing w:line="288" w:lineRule="auto"/>
              <w:jc w:val="left"/>
              <w:textAlignment w:val="top"/>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客户无有效投诉</w:t>
            </w:r>
          </w:p>
          <w:p>
            <w:pPr>
              <w:pStyle w:val="2"/>
              <w:keepNext w:val="0"/>
              <w:keepLines w:val="0"/>
              <w:pageBreakBefore w:val="0"/>
              <w:numPr>
                <w:ilvl w:val="0"/>
                <w:numId w:val="2"/>
              </w:numPr>
              <w:kinsoku/>
              <w:wordWrap/>
              <w:overflowPunct/>
              <w:topLinePunct w:val="0"/>
              <w:autoSpaceDE/>
              <w:autoSpaceDN/>
              <w:bidi w:val="0"/>
              <w:adjustRightInd w:val="0"/>
              <w:snapToGrid w:val="0"/>
              <w:spacing w:line="288" w:lineRule="auto"/>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有客户满意度评价记录</w:t>
            </w:r>
          </w:p>
        </w:tc>
        <w:tc>
          <w:tcPr>
            <w:tcW w:w="66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bCs/>
                <w:kern w:val="0"/>
                <w:sz w:val="24"/>
                <w:szCs w:val="24"/>
                <w:highlight w:val="none"/>
                <w:lang w:val="en-US" w:eastAsia="zh-CN"/>
              </w:rPr>
            </w:pPr>
            <w:r>
              <w:rPr>
                <w:rFonts w:hint="eastAsia" w:ascii="宋体" w:hAnsi="宋体" w:eastAsia="宋体" w:cs="宋体"/>
                <w:bCs/>
                <w:kern w:val="0"/>
                <w:sz w:val="24"/>
                <w:szCs w:val="24"/>
                <w:highlight w:val="none"/>
                <w:lang w:val="en-US" w:eastAsia="zh-CN"/>
              </w:rPr>
              <w:t>10</w:t>
            </w:r>
          </w:p>
        </w:tc>
        <w:tc>
          <w:tcPr>
            <w:tcW w:w="2134"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lang w:val="en-US" w:eastAsia="zh-CN"/>
              </w:rPr>
              <w:t>每项5分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jc w:val="center"/>
        </w:trPr>
        <w:tc>
          <w:tcPr>
            <w:tcW w:w="726"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default" w:ascii="宋体" w:hAnsi="宋体" w:eastAsia="宋体" w:cs="宋体"/>
                <w:kern w:val="0"/>
                <w:sz w:val="24"/>
                <w:szCs w:val="24"/>
                <w:highlight w:val="none"/>
                <w:lang w:val="en-US" w:eastAsia="zh-CN"/>
              </w:rPr>
            </w:pPr>
            <w:r>
              <w:rPr>
                <w:rFonts w:hint="eastAsia" w:ascii="宋体" w:hAnsi="宋体" w:cs="宋体"/>
                <w:kern w:val="0"/>
                <w:sz w:val="24"/>
                <w:szCs w:val="24"/>
                <w:highlight w:val="none"/>
                <w:lang w:val="en-US" w:eastAsia="zh-CN"/>
              </w:rPr>
              <w:t>10</w:t>
            </w:r>
          </w:p>
        </w:tc>
        <w:tc>
          <w:tcPr>
            <w:tcW w:w="1671" w:type="dxa"/>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default" w:ascii="宋体" w:hAnsi="宋体" w:eastAsia="宋体" w:cs="宋体"/>
                <w:kern w:val="0"/>
                <w:sz w:val="24"/>
                <w:szCs w:val="24"/>
                <w:highlight w:val="none"/>
                <w:lang w:val="en-US" w:eastAsia="zh-CN"/>
              </w:rPr>
            </w:pPr>
            <w:r>
              <w:rPr>
                <w:rFonts w:hint="eastAsia" w:ascii="宋体" w:hAnsi="宋体" w:cs="宋体"/>
                <w:b/>
                <w:bCs/>
                <w:kern w:val="0"/>
                <w:sz w:val="24"/>
                <w:szCs w:val="24"/>
                <w:highlight w:val="none"/>
                <w:lang w:val="en-US" w:eastAsia="zh-CN"/>
              </w:rPr>
              <w:t>第四季度场馆年度运营收入专项考核</w:t>
            </w:r>
          </w:p>
        </w:tc>
        <w:tc>
          <w:tcPr>
            <w:tcW w:w="3314" w:type="dxa"/>
            <w:noWrap w:val="0"/>
            <w:vAlign w:val="center"/>
          </w:tcPr>
          <w:p>
            <w:pPr>
              <w:pStyle w:val="2"/>
              <w:keepNext w:val="0"/>
              <w:keepLines w:val="0"/>
              <w:pageBreakBefore w:val="0"/>
              <w:numPr>
                <w:ilvl w:val="0"/>
                <w:numId w:val="0"/>
              </w:numPr>
              <w:kinsoku/>
              <w:wordWrap/>
              <w:overflowPunct/>
              <w:topLinePunct w:val="0"/>
              <w:autoSpaceDE/>
              <w:autoSpaceDN/>
              <w:bidi w:val="0"/>
              <w:adjustRightInd w:val="0"/>
              <w:snapToGrid w:val="0"/>
              <w:spacing w:line="288" w:lineRule="auto"/>
              <w:jc w:val="center"/>
              <w:rPr>
                <w:rFonts w:hint="eastAsia" w:ascii="宋体" w:hAnsi="宋体" w:eastAsia="宋体" w:cs="宋体"/>
                <w:sz w:val="24"/>
                <w:szCs w:val="24"/>
                <w:highlight w:val="none"/>
                <w:lang w:val="en-US" w:eastAsia="zh-CN"/>
              </w:rPr>
            </w:pPr>
            <w:r>
              <w:rPr>
                <w:rFonts w:hint="eastAsia" w:ascii="宋体" w:hAnsi="宋体" w:cs="宋体"/>
                <w:sz w:val="24"/>
                <w:szCs w:val="24"/>
                <w:highlight w:val="none"/>
                <w:lang w:val="en-US" w:eastAsia="zh-CN"/>
              </w:rPr>
              <w:t>场馆运营年收入</w:t>
            </w:r>
            <w:r>
              <w:rPr>
                <w:rFonts w:hint="eastAsia" w:ascii="宋体" w:hAnsi="宋体" w:eastAsia="宋体" w:cs="宋体"/>
                <w:sz w:val="24"/>
                <w:szCs w:val="24"/>
                <w:highlight w:val="none"/>
                <w:lang w:val="en-US" w:eastAsia="zh-CN"/>
              </w:rPr>
              <w:t>盈利额须不低于100万元</w:t>
            </w:r>
          </w:p>
        </w:tc>
        <w:tc>
          <w:tcPr>
            <w:tcW w:w="2795" w:type="dxa"/>
            <w:gridSpan w:val="2"/>
            <w:noWrap w:val="0"/>
            <w:vAlign w:val="center"/>
          </w:tcPr>
          <w:p>
            <w:pPr>
              <w:keepNext w:val="0"/>
              <w:keepLines w:val="0"/>
              <w:pageBreakBefore w:val="0"/>
              <w:widowControl/>
              <w:kinsoku/>
              <w:wordWrap/>
              <w:overflowPunct/>
              <w:topLinePunct w:val="0"/>
              <w:autoSpaceDE/>
              <w:autoSpaceDN/>
              <w:bidi w:val="0"/>
              <w:adjustRightInd w:val="0"/>
              <w:snapToGrid w:val="0"/>
              <w:spacing w:line="288" w:lineRule="auto"/>
              <w:jc w:val="center"/>
              <w:textAlignment w:val="center"/>
              <w:rPr>
                <w:rFonts w:hint="default" w:ascii="宋体" w:hAnsi="宋体" w:eastAsia="宋体" w:cs="宋体"/>
                <w:kern w:val="0"/>
                <w:sz w:val="24"/>
                <w:szCs w:val="24"/>
                <w:highlight w:val="none"/>
                <w:lang w:val="en-US" w:eastAsia="zh-CN"/>
              </w:rPr>
            </w:pPr>
            <w:r>
              <w:rPr>
                <w:rFonts w:hint="eastAsia" w:ascii="宋体" w:hAnsi="宋体" w:cs="宋体"/>
                <w:kern w:val="0"/>
                <w:sz w:val="24"/>
                <w:szCs w:val="24"/>
                <w:highlight w:val="none"/>
                <w:lang w:val="en-US" w:eastAsia="zh-CN"/>
              </w:rPr>
              <w:t>第四季度付款前采购人进行考核，若考核不合格，</w:t>
            </w:r>
            <w:r>
              <w:rPr>
                <w:rFonts w:hint="eastAsia" w:ascii="宋体" w:hAnsi="宋体" w:eastAsia="宋体" w:cs="宋体"/>
                <w:b w:val="0"/>
                <w:bCs w:val="0"/>
                <w:sz w:val="24"/>
                <w:szCs w:val="24"/>
                <w:highlight w:val="none"/>
                <w:lang w:val="en-US" w:eastAsia="zh-CN"/>
              </w:rPr>
              <w:t>扣除合同额的</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w:t>
            </w:r>
            <w:r>
              <w:rPr>
                <w:rFonts w:hint="eastAsia" w:ascii="宋体" w:hAnsi="宋体" w:cs="宋体"/>
                <w:b w:val="0"/>
                <w:bCs w:val="0"/>
                <w:sz w:val="24"/>
                <w:szCs w:val="24"/>
                <w:highlight w:val="none"/>
                <w:lang w:val="en-US" w:eastAsia="zh-CN"/>
              </w:rPr>
              <w:t>款项</w:t>
            </w:r>
          </w:p>
        </w:tc>
      </w:tr>
    </w:tbl>
    <w:p>
      <w:pPr>
        <w:pStyle w:val="2"/>
        <w:rPr>
          <w:rFonts w:hint="eastAsia"/>
          <w:highlight w:val="none"/>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jc w:val="left"/>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 xml:space="preserve">五、采购标的的验收标准 </w:t>
      </w:r>
    </w:p>
    <w:p>
      <w:pPr>
        <w:keepNext w:val="0"/>
        <w:keepLines w:val="0"/>
        <w:pageBreakBefore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1.验收方法：整体项目运营服务完成后，</w:t>
      </w:r>
      <w:r>
        <w:rPr>
          <w:rFonts w:hint="eastAsia" w:ascii="宋体" w:hAnsi="宋体" w:eastAsia="宋体" w:cs="宋体"/>
          <w:sz w:val="24"/>
          <w:szCs w:val="24"/>
          <w:highlight w:val="none"/>
        </w:rPr>
        <w:t>采购单位根据采购项目情况，选取适当的验收方式组织开展验收工作。验收小组综合采用查阅书证材料、听取报告、实物核查、与利益相关方调研座谈等方式，对采购文件和合同中规定的劳务应满足的各项技术指标进行验收。由验收小组形成验收报告，提出明确验收意见，并经小组全体成员签字后提交采购单位。验收阶段产生的验收相关费用由中标供应商支付。</w:t>
      </w:r>
    </w:p>
    <w:p>
      <w:pPr>
        <w:pStyle w:val="2"/>
        <w:spacing w:line="360" w:lineRule="auto"/>
        <w:ind w:firstLine="480" w:firstLineChars="200"/>
        <w:jc w:val="left"/>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2.验收标准:验收时，中标供应商须提供每季度考核结果，每季度考核均为80分以上为验收合格。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F4B69"/>
    <w:multiLevelType w:val="singleLevel"/>
    <w:tmpl w:val="98DF4B69"/>
    <w:lvl w:ilvl="0" w:tentative="0">
      <w:start w:val="1"/>
      <w:numFmt w:val="decimal"/>
      <w:suff w:val="nothing"/>
      <w:lvlText w:val="%1、"/>
      <w:lvlJc w:val="left"/>
    </w:lvl>
  </w:abstractNum>
  <w:abstractNum w:abstractNumId="1">
    <w:nsid w:val="31C4BDED"/>
    <w:multiLevelType w:val="singleLevel"/>
    <w:tmpl w:val="31C4BDED"/>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E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next w:val="1"/>
    <w:unhideWhenUsed/>
    <w:qFormat/>
    <w:uiPriority w:val="99"/>
    <w:pPr>
      <w:spacing w:after="1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2020-10-29T07:22:29Z</dcterms:created>
  <dc:creator>wili 狗云</dc:creator>
  <cp:lastModifiedBy>lonely patient </cp:lastModifiedBy>
  <dcterms:modified xsi:type="dcterms:W3CDTF">2020-10-29T07:23:38Z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