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spacing w:before="0" w:beforeAutospacing="0" w:after="0" w:afterAutospacing="0" w:line="360" w:lineRule="auto"/>
        <w:ind w:firstLine="482" w:firstLineChars="200"/>
        <w:jc w:val="left"/>
        <w:outlineLvl w:val="1"/>
        <w:rPr>
          <w:rFonts w:hint="eastAsia" w:ascii="宋体" w:hAnsi="宋体" w:eastAsia="宋体" w:cs="宋体"/>
          <w:b/>
          <w:bCs/>
          <w:color w:val="auto"/>
          <w:kern w:val="0"/>
          <w:sz w:val="24"/>
          <w:highlight w:val="none"/>
          <w:lang w:val="en-US" w:eastAsia="zh-CN" w:bidi="ar-SA"/>
        </w:rPr>
      </w:pPr>
      <w:r>
        <w:rPr>
          <w:rFonts w:hint="eastAsia" w:ascii="宋体" w:hAnsi="宋体" w:eastAsia="宋体" w:cs="宋体"/>
          <w:b/>
          <w:bCs/>
          <w:color w:val="auto"/>
          <w:kern w:val="0"/>
          <w:sz w:val="24"/>
          <w:highlight w:val="none"/>
          <w:lang w:val="en-US" w:eastAsia="zh-CN" w:bidi="ar-SA"/>
        </w:rPr>
        <w:t>南开区餐厨垃圾收运服务项目</w:t>
      </w:r>
      <w:bookmarkStart w:id="0" w:name="_GoBack"/>
      <w:bookmarkEnd w:id="0"/>
      <w:r>
        <w:rPr>
          <w:rFonts w:hint="eastAsia" w:ascii="宋体" w:hAnsi="宋体" w:eastAsia="宋体" w:cs="宋体"/>
          <w:b/>
          <w:bCs/>
          <w:color w:val="auto"/>
          <w:kern w:val="0"/>
          <w:sz w:val="24"/>
          <w:highlight w:val="none"/>
          <w:lang w:val="en-US" w:eastAsia="zh-CN" w:bidi="ar-SA"/>
        </w:rPr>
        <w:t>项目需求书</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（一）项目背景</w:t>
      </w:r>
    </w:p>
    <w:p>
      <w:pPr>
        <w:ind w:firstLine="480"/>
        <w:jc w:val="left"/>
        <w:rPr>
          <w:rFonts w:hint="eastAsia" w:ascii="宋体" w:hAnsi="宋体" w:cs="宋体"/>
          <w:color w:val="auto"/>
          <w:szCs w:val="24"/>
          <w:highlight w:val="none"/>
        </w:rPr>
      </w:pPr>
      <w:r>
        <w:rPr>
          <w:rFonts w:hint="eastAsia" w:ascii="宋体" w:hAnsi="宋体" w:cs="宋体"/>
          <w:color w:val="auto"/>
          <w:szCs w:val="24"/>
          <w:highlight w:val="none"/>
        </w:rPr>
        <w:t>1.为进一步贯彻落实天津市环保要求并规范餐厨垃圾收运行为，做到餐厨垃圾规范无害化处理，结合我区餐厨垃圾收运工作现状，南开区城管委2020年开始对南开区内事企业单位、餐饮商户、社区区所产生的餐厨垃圾进行集中收运工作，同时完成全区餐饮单位的餐厨垃圾和社区厨余的数量、种类的精确化，2020年推动该项工作的精细化、常态化管理运营。该项目主要是对南开区事企业单位、餐饮商户产生的餐厨垃圾及社区的厨余垃圾进行收运和处理，确保科学统筹、快捷高效，做到日产日清，特制订本方案。</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2.采购方提供临时办公地点。</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（二）收运模式</w:t>
      </w:r>
    </w:p>
    <w:p>
      <w:pPr>
        <w:ind w:firstLine="480"/>
        <w:jc w:val="left"/>
        <w:rPr>
          <w:rFonts w:hint="eastAsia" w:ascii="宋体" w:hAnsi="宋体" w:cs="宋体"/>
          <w:b/>
          <w:color w:val="auto"/>
          <w:szCs w:val="24"/>
          <w:highlight w:val="none"/>
        </w:rPr>
      </w:pPr>
      <w:r>
        <w:rPr>
          <w:rFonts w:hint="eastAsia" w:ascii="宋体" w:hAnsi="宋体" w:cs="宋体"/>
          <w:color w:val="auto"/>
          <w:szCs w:val="24"/>
          <w:highlight w:val="none"/>
        </w:rPr>
        <w:t>餐厨垃圾及厨余垃圾收运采用直运方式，政府购置与前端收运配套的对接转运设备。</w:t>
      </w:r>
    </w:p>
    <w:p>
      <w:pPr>
        <w:ind w:firstLine="480"/>
        <w:jc w:val="left"/>
        <w:rPr>
          <w:rFonts w:hint="eastAsia" w:ascii="宋体" w:hAnsi="宋体" w:cs="宋体"/>
          <w:color w:val="auto"/>
          <w:szCs w:val="24"/>
          <w:highlight w:val="none"/>
        </w:rPr>
      </w:pPr>
      <w:r>
        <w:rPr>
          <w:rFonts w:hint="eastAsia" w:ascii="宋体" w:hAnsi="宋体" w:cs="宋体"/>
          <w:color w:val="auto"/>
          <w:szCs w:val="24"/>
          <w:highlight w:val="none"/>
        </w:rPr>
        <w:t>第一阶段：覆盖200个事企业单位，分两个月完成，配置5台7T餐厨收集车，10台电动三轮车（1T）；</w:t>
      </w:r>
    </w:p>
    <w:p>
      <w:pPr>
        <w:ind w:firstLine="480"/>
        <w:jc w:val="left"/>
        <w:rPr>
          <w:rFonts w:hint="eastAsia" w:ascii="宋体" w:hAnsi="宋体" w:cs="宋体"/>
          <w:color w:val="auto"/>
          <w:szCs w:val="24"/>
          <w:highlight w:val="none"/>
        </w:rPr>
      </w:pPr>
      <w:r>
        <w:rPr>
          <w:rFonts w:hint="eastAsia" w:ascii="宋体" w:hAnsi="宋体" w:cs="宋体"/>
          <w:color w:val="auto"/>
          <w:szCs w:val="24"/>
          <w:highlight w:val="none"/>
        </w:rPr>
        <w:t>第二阶段：覆盖剩余200个事企业单位，分两个月完成，在原有基础设备配置数量上增加5台7T餐厨收集车，5台电动三轮车（1T）；</w:t>
      </w:r>
    </w:p>
    <w:p>
      <w:pPr>
        <w:ind w:firstLine="480"/>
        <w:jc w:val="left"/>
        <w:rPr>
          <w:rFonts w:hint="eastAsia" w:ascii="宋体" w:hAnsi="宋体" w:cs="宋体"/>
          <w:color w:val="auto"/>
          <w:szCs w:val="24"/>
          <w:highlight w:val="none"/>
        </w:rPr>
      </w:pPr>
      <w:r>
        <w:rPr>
          <w:rFonts w:hint="eastAsia" w:ascii="宋体" w:hAnsi="宋体" w:cs="宋体"/>
          <w:color w:val="auto"/>
          <w:szCs w:val="24"/>
          <w:highlight w:val="none"/>
        </w:rPr>
        <w:t>第三阶段:覆盖230个大众餐饮点，分两个月完成，在原有基础设备配置数量上增加3台7T餐厨收集车，10台电动三轮车（1T）；</w:t>
      </w:r>
    </w:p>
    <w:p>
      <w:pPr>
        <w:ind w:firstLine="480"/>
        <w:jc w:val="left"/>
        <w:rPr>
          <w:rFonts w:hint="eastAsia" w:ascii="宋体" w:hAnsi="宋体" w:cs="宋体"/>
          <w:color w:val="auto"/>
          <w:szCs w:val="24"/>
          <w:highlight w:val="none"/>
        </w:rPr>
      </w:pPr>
      <w:r>
        <w:rPr>
          <w:rFonts w:hint="eastAsia" w:ascii="宋体" w:hAnsi="宋体" w:cs="宋体"/>
          <w:color w:val="auto"/>
          <w:szCs w:val="24"/>
          <w:highlight w:val="none"/>
        </w:rPr>
        <w:t>第四阶段：覆盖剩余232个大众餐饮点，分两个月完成，在原有基础设备配置数量上增加3台7T餐厨收集车，5台电动三轮车（1T）；</w:t>
      </w:r>
    </w:p>
    <w:p>
      <w:pPr>
        <w:ind w:firstLine="480"/>
        <w:jc w:val="left"/>
        <w:rPr>
          <w:rFonts w:hint="eastAsia" w:ascii="宋体" w:hAnsi="宋体" w:cs="宋体"/>
          <w:color w:val="auto"/>
          <w:szCs w:val="24"/>
          <w:highlight w:val="none"/>
        </w:rPr>
      </w:pPr>
      <w:r>
        <w:rPr>
          <w:rFonts w:hint="eastAsia" w:ascii="宋体" w:hAnsi="宋体" w:cs="宋体"/>
          <w:color w:val="auto"/>
          <w:szCs w:val="24"/>
          <w:highlight w:val="none"/>
        </w:rPr>
        <w:t>第五阶段：覆盖所有400个事企业单位、462个大众餐饮点需要16台7T餐厨收集车、30台1T电动三轮车</w:t>
      </w:r>
      <w:r>
        <w:rPr>
          <w:rFonts w:hint="eastAsia" w:ascii="宋体" w:hAnsi="宋体" w:cs="宋体"/>
          <w:color w:val="auto"/>
          <w:szCs w:val="24"/>
          <w:highlight w:val="none"/>
          <w:lang w:eastAsia="zh-CN"/>
        </w:rPr>
        <w:t>，在以上基础上，再覆盖南开区所有社区</w:t>
      </w:r>
      <w:r>
        <w:rPr>
          <w:rFonts w:hint="eastAsia" w:ascii="宋体" w:hAnsi="宋体" w:cs="宋体"/>
          <w:color w:val="auto"/>
          <w:szCs w:val="24"/>
          <w:highlight w:val="none"/>
        </w:rPr>
        <w:t>需要增加35台电动三轮车（1T）。</w:t>
      </w:r>
    </w:p>
    <w:p>
      <w:pPr>
        <w:ind w:firstLine="482"/>
        <w:jc w:val="left"/>
        <w:rPr>
          <w:rFonts w:hint="eastAsia" w:ascii="宋体" w:hAnsi="宋体" w:cs="宋体"/>
          <w:b/>
          <w:bCs/>
          <w:color w:val="auto"/>
          <w:szCs w:val="24"/>
          <w:highlight w:val="none"/>
        </w:rPr>
      </w:pPr>
      <w:r>
        <w:rPr>
          <w:rFonts w:hint="eastAsia" w:ascii="宋体" w:hAnsi="宋体" w:cs="宋体"/>
          <w:b/>
          <w:bCs/>
          <w:color w:val="auto"/>
          <w:szCs w:val="24"/>
          <w:highlight w:val="none"/>
        </w:rPr>
        <w:t>备注：</w:t>
      </w:r>
    </w:p>
    <w:p>
      <w:pPr>
        <w:ind w:firstLine="482"/>
        <w:jc w:val="left"/>
        <w:rPr>
          <w:rFonts w:hint="eastAsia" w:ascii="宋体" w:hAnsi="宋体" w:cs="宋体"/>
          <w:b/>
          <w:bCs/>
          <w:color w:val="auto"/>
          <w:szCs w:val="24"/>
          <w:highlight w:val="none"/>
        </w:rPr>
      </w:pPr>
      <w:r>
        <w:rPr>
          <w:rFonts w:hint="eastAsia" w:ascii="宋体" w:hAnsi="宋体" w:cs="宋体"/>
          <w:b/>
          <w:bCs/>
          <w:color w:val="auto"/>
          <w:szCs w:val="24"/>
          <w:highlight w:val="none"/>
        </w:rPr>
        <w:t>（1）如果采购人要求阶段性顺序进行调整，提前通知成交人，成交人须无条件配合调整。</w:t>
      </w:r>
    </w:p>
    <w:p>
      <w:pPr>
        <w:ind w:firstLine="482"/>
        <w:jc w:val="left"/>
        <w:rPr>
          <w:rFonts w:hint="eastAsia" w:ascii="宋体" w:hAnsi="宋体" w:cs="宋体"/>
          <w:b/>
          <w:bCs/>
          <w:color w:val="auto"/>
          <w:szCs w:val="24"/>
          <w:highlight w:val="none"/>
        </w:rPr>
      </w:pPr>
      <w:r>
        <w:rPr>
          <w:rFonts w:hint="eastAsia" w:ascii="宋体" w:hAnsi="宋体" w:cs="宋体"/>
          <w:b/>
          <w:bCs/>
          <w:color w:val="auto"/>
          <w:szCs w:val="24"/>
          <w:highlight w:val="none"/>
        </w:rPr>
        <w:t>（2）7T餐厨收集车为整车总质量，电动三轮车为荷载量1T的密封餐厨车。</w:t>
      </w:r>
    </w:p>
    <w:p>
      <w:pPr>
        <w:ind w:firstLine="482"/>
        <w:jc w:val="left"/>
        <w:rPr>
          <w:rFonts w:hint="eastAsia" w:ascii="宋体" w:hAnsi="宋体" w:cs="宋体"/>
          <w:b/>
          <w:bCs/>
          <w:color w:val="auto"/>
          <w:szCs w:val="24"/>
          <w:highlight w:val="none"/>
        </w:rPr>
      </w:pPr>
      <w:r>
        <w:rPr>
          <w:rFonts w:hint="eastAsia" w:ascii="宋体" w:hAnsi="宋体" w:cs="宋体"/>
          <w:b/>
          <w:bCs/>
          <w:color w:val="auto"/>
          <w:szCs w:val="24"/>
          <w:highlight w:val="none"/>
        </w:rPr>
        <w:t>（3）事企业单位、大众餐饮店、社区数量为目前暂估数量，以实际情况为准。</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（三）收运队伍的人员要求</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1.本项目所需的餐厨垃圾收运队伍人员数量不低于89人，要求为非退休人员，年龄不超过60周岁的男性；</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2.收运队伍设置项目经理1人，具有相关工作经验，有较强的工作协调能力及对收运队伍的组织管理能力，需对本项目全权负责。此外还有收运组长及收运人员，管理人员等。要设置良好的管理架构，以提高本项目的工作效率和服务标准；</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3.供应商要对收运队伍人员进行专业培训后上岗；（需包括厨余垃圾运输车驾驶技能的培训及日常安全教育培训等）</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4.工作人员必须身体健康，无传染病、精神疾病，无不良嗜好，吃苦耐劳；</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5.供应商要切实管理好收运队伍，做好规章制度以及纪律上的约束；</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6.做事认真仔细，听从上级指挥，有良好的团队协作精神；</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 xml:space="preserve">7.因委派人员出现身体健康、主动辞职等不可抗力因素时，供应商须在更换前5个工作日内向采购人提出调动申请； </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8.工作人员持工作证上岗、穿着统一识别服装，做到文明操作，规范收集运输处理。</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（四）服务内容和要求</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1.服务内容和范围：供应商负责对天津市南开区（以中心城区为主）内临街餐饮单位、事企业单位、667个社区产生的餐厨垃圾进行收集、运输到指定地点。</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2.运送地点</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政府指定处理点。</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3.收运要求</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 xml:space="preserve">（1）供应商必须严格落实“及时收运”，做到垃圾须日产日清，在垃圾桶中存放时间不超过 24 小时； </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（2）供应商不得以遗漏、拒收等任何形式拒绝收集餐饮垃圾；</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（3）供应商必须将餐饮废弃物投放在统一标准的</w:t>
      </w:r>
      <w:r>
        <w:rPr>
          <w:rFonts w:hint="eastAsia" w:ascii="宋体" w:hAnsi="宋体" w:cs="宋体"/>
          <w:b/>
          <w:bCs/>
          <w:color w:val="auto"/>
          <w:szCs w:val="24"/>
          <w:highlight w:val="none"/>
        </w:rPr>
        <w:t>240L</w:t>
      </w:r>
      <w:r>
        <w:rPr>
          <w:rFonts w:hint="eastAsia" w:ascii="宋体" w:hAnsi="宋体" w:cs="宋体"/>
          <w:color w:val="auto"/>
          <w:szCs w:val="24"/>
          <w:highlight w:val="none"/>
        </w:rPr>
        <w:t>专用垃圾桶内并进行集中放置；</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（4）供应商不得使用协议内的车辆收集运输本辖区以外的餐饮垃圾；</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（5）供应商严格落实餐饮垃圾收运过程中的卫生工作，保证卫生整洁；</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（6）餐厨垃圾收集运输从业人员在收集、运输餐厨垃圾过程中应维护餐厨垃圾桶和收集运输作业区环境整洁，减少对作业区域及周边居民正常工作、生活的影响；</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（7）供应商应在作业过程中采取有效的安全措施防止车上垃圾“抛、冒、滴、漏”，如发生“落渣、漏渣、漏液”等现象时，供应商应立即将现场清理干净；</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（8）垃圾清理应做到安全、有序，自觉遵守采购人各项安全管理规则制度，做到安全行车，严防作业全过程发生火灾；</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（9）供应商工作人员在收集餐饮垃圾时，必须保持良好的服务态度，不得与餐厨企业发生不必要的冲突；</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（10）平时的工作情况及时向采购人反馈或者提出建议；</w:t>
      </w:r>
    </w:p>
    <w:p>
      <w:pPr>
        <w:ind w:firstLine="480"/>
        <w:rPr>
          <w:rFonts w:hint="eastAsia" w:ascii="宋体" w:hAnsi="宋体" w:cs="宋体"/>
          <w:bCs/>
          <w:color w:val="auto"/>
          <w:szCs w:val="24"/>
          <w:highlight w:val="none"/>
        </w:rPr>
      </w:pPr>
      <w:r>
        <w:rPr>
          <w:rFonts w:hint="eastAsia" w:ascii="宋体" w:hAnsi="宋体" w:cs="宋体"/>
          <w:color w:val="auto"/>
          <w:szCs w:val="24"/>
          <w:highlight w:val="none"/>
        </w:rPr>
        <w:t>（11）各种重大活动（包括国家、省、市大检查）及重要节假日期间的，加强重点产生单位的收集运输作业服务，</w:t>
      </w:r>
      <w:r>
        <w:rPr>
          <w:rFonts w:hint="eastAsia" w:ascii="宋体" w:hAnsi="宋体" w:cs="宋体"/>
          <w:bCs/>
          <w:color w:val="auto"/>
          <w:szCs w:val="24"/>
          <w:highlight w:val="none"/>
        </w:rPr>
        <w:t>须无条件服从、配合采购人的安排，费用均包含在本次采购预算内；</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（12）严禁作业人员私自排放餐厨渗滤液，如违反相关规定，供应商自行承担法律责任；</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（13）在作业期间，若发现餐厨垃圾有混装现象，以照片的形式汇报给相关主管部门；</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（14）若超出政府规定的吨数，由供应商自行协调已具备餐厨垃圾无害化处理资质企业并承担相关费用。</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4.其他要求</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（1）作业人员在收集运输处理餐厨垃圾过程中需要将垃圾称重，必须真实、细致地填写餐厨垃圾收集运输处理数量（内容包括产生单位、垃圾种类、数量等）。</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（2）供应商应在规定期限内上报收集运输处理情况汇总表。</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（3）总结纳入收集运输处理范围内餐饮单位的餐厨垃圾数量。</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（4）供应商必须按要求及时向甲方上报垃圾产量明细汇总，同时按要求做好收集量的记录。</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（5）协助采购人或街道与产生单位签订餐厨垃圾收集运输合同，并配合相关部门开展与餐厨垃圾有关的管理及执法活动。</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（6）供应商应对本项目的车辆和设备进行妥善保存和使用。</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（五）收运工具</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1. 7T餐厨车、1T电动三轮车</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（1）数量要求：</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95"/>
        <w:gridCol w:w="2447"/>
        <w:gridCol w:w="1425"/>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7287" w:type="dxa"/>
            <w:gridSpan w:val="4"/>
            <w:shd w:val="clear" w:color="auto" w:fill="8DB4E2"/>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b/>
                <w:color w:val="auto"/>
                <w:kern w:val="0"/>
                <w:szCs w:val="24"/>
                <w:highlight w:val="none"/>
                <w:lang w:bidi="ar"/>
              </w:rPr>
            </w:pPr>
            <w:r>
              <w:rPr>
                <w:rFonts w:hint="eastAsia" w:ascii="宋体" w:hAnsi="宋体" w:cs="宋体"/>
                <w:b/>
                <w:color w:val="auto"/>
                <w:kern w:val="0"/>
                <w:szCs w:val="24"/>
                <w:highlight w:val="none"/>
                <w:lang w:bidi="ar"/>
              </w:rPr>
              <w:t>收运车辆设备数量配置表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jc w:val="center"/>
        </w:trPr>
        <w:tc>
          <w:tcPr>
            <w:tcW w:w="1995"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b/>
                <w:color w:val="auto"/>
                <w:szCs w:val="24"/>
                <w:highlight w:val="none"/>
              </w:rPr>
            </w:pPr>
            <w:r>
              <w:rPr>
                <w:rFonts w:hint="eastAsia" w:ascii="宋体" w:hAnsi="宋体" w:cs="宋体"/>
                <w:b/>
                <w:color w:val="auto"/>
                <w:szCs w:val="24"/>
                <w:highlight w:val="none"/>
              </w:rPr>
              <w:t>阶段性</w:t>
            </w:r>
          </w:p>
        </w:tc>
        <w:tc>
          <w:tcPr>
            <w:tcW w:w="2447"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b/>
                <w:color w:val="auto"/>
                <w:szCs w:val="24"/>
                <w:highlight w:val="none"/>
              </w:rPr>
            </w:pPr>
            <w:r>
              <w:rPr>
                <w:rFonts w:hint="eastAsia" w:ascii="宋体" w:hAnsi="宋体" w:cs="宋体"/>
                <w:b/>
                <w:color w:val="auto"/>
                <w:szCs w:val="24"/>
                <w:highlight w:val="none"/>
              </w:rPr>
              <w:t>设备名称</w:t>
            </w:r>
          </w:p>
        </w:tc>
        <w:tc>
          <w:tcPr>
            <w:tcW w:w="1425"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b/>
                <w:color w:val="auto"/>
                <w:szCs w:val="24"/>
                <w:highlight w:val="none"/>
              </w:rPr>
            </w:pPr>
            <w:r>
              <w:rPr>
                <w:rFonts w:hint="eastAsia" w:ascii="宋体" w:hAnsi="宋体" w:cs="宋体"/>
                <w:b/>
                <w:color w:val="auto"/>
                <w:kern w:val="0"/>
                <w:szCs w:val="24"/>
                <w:highlight w:val="none"/>
                <w:lang w:bidi="ar"/>
              </w:rPr>
              <w:t>数量（台）</w:t>
            </w:r>
          </w:p>
        </w:tc>
        <w:tc>
          <w:tcPr>
            <w:tcW w:w="1420"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kern w:val="0"/>
                <w:szCs w:val="24"/>
                <w:highlight w:val="none"/>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9" w:hRule="atLeast"/>
          <w:jc w:val="center"/>
        </w:trPr>
        <w:tc>
          <w:tcPr>
            <w:tcW w:w="1995" w:type="dxa"/>
            <w:vMerge w:val="restart"/>
            <w:noWrap w:val="0"/>
            <w:tcMar>
              <w:top w:w="12" w:type="dxa"/>
              <w:left w:w="12" w:type="dxa"/>
              <w:right w:w="12" w:type="dxa"/>
            </w:tcMar>
            <w:vAlign w:val="center"/>
          </w:tcPr>
          <w:p>
            <w:pPr>
              <w:widowControl/>
              <w:spacing w:line="240" w:lineRule="auto"/>
              <w:ind w:firstLine="0" w:firstLineChars="0"/>
              <w:jc w:val="center"/>
              <w:textAlignment w:val="bottom"/>
              <w:rPr>
                <w:rFonts w:hint="eastAsia" w:ascii="宋体" w:hAnsi="宋体" w:cs="宋体"/>
                <w:b/>
                <w:color w:val="auto"/>
                <w:szCs w:val="24"/>
                <w:highlight w:val="none"/>
              </w:rPr>
            </w:pPr>
            <w:r>
              <w:rPr>
                <w:rFonts w:hint="eastAsia" w:ascii="宋体" w:hAnsi="宋体" w:cs="宋体"/>
                <w:b/>
                <w:color w:val="auto"/>
                <w:szCs w:val="24"/>
                <w:highlight w:val="none"/>
              </w:rPr>
              <w:t>第一阶段</w:t>
            </w:r>
          </w:p>
        </w:tc>
        <w:tc>
          <w:tcPr>
            <w:tcW w:w="2447"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kern w:val="0"/>
                <w:szCs w:val="24"/>
                <w:highlight w:val="none"/>
                <w:lang w:bidi="ar"/>
              </w:rPr>
            </w:pPr>
            <w:r>
              <w:rPr>
                <w:rFonts w:hint="eastAsia" w:ascii="宋体" w:hAnsi="宋体" w:cs="宋体"/>
                <w:color w:val="auto"/>
                <w:kern w:val="0"/>
                <w:szCs w:val="24"/>
                <w:highlight w:val="none"/>
                <w:lang w:bidi="ar"/>
              </w:rPr>
              <w:t>7T餐厨车</w:t>
            </w:r>
          </w:p>
        </w:tc>
        <w:tc>
          <w:tcPr>
            <w:tcW w:w="1425"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kern w:val="0"/>
                <w:szCs w:val="24"/>
                <w:highlight w:val="none"/>
                <w:lang w:bidi="ar"/>
              </w:rPr>
            </w:pPr>
            <w:r>
              <w:rPr>
                <w:rFonts w:hint="eastAsia" w:ascii="宋体" w:hAnsi="宋体" w:cs="宋体"/>
                <w:color w:val="auto"/>
                <w:kern w:val="0"/>
                <w:szCs w:val="24"/>
                <w:highlight w:val="none"/>
                <w:lang w:bidi="ar"/>
              </w:rPr>
              <w:t>5</w:t>
            </w:r>
          </w:p>
        </w:tc>
        <w:tc>
          <w:tcPr>
            <w:tcW w:w="1420" w:type="dxa"/>
            <w:vMerge w:val="restart"/>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kern w:val="0"/>
                <w:szCs w:val="24"/>
                <w:highlight w:val="none"/>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1" w:hRule="atLeast"/>
          <w:jc w:val="center"/>
        </w:trPr>
        <w:tc>
          <w:tcPr>
            <w:tcW w:w="1995" w:type="dxa"/>
            <w:vMerge w:val="continue"/>
            <w:noWrap w:val="0"/>
            <w:tcMar>
              <w:top w:w="12" w:type="dxa"/>
              <w:left w:w="12" w:type="dxa"/>
              <w:right w:w="12" w:type="dxa"/>
            </w:tcMar>
            <w:vAlign w:val="center"/>
          </w:tcPr>
          <w:p>
            <w:pPr>
              <w:widowControl/>
              <w:spacing w:line="240" w:lineRule="auto"/>
              <w:ind w:firstLine="0" w:firstLineChars="0"/>
              <w:jc w:val="center"/>
              <w:textAlignment w:val="bottom"/>
              <w:rPr>
                <w:rFonts w:hint="eastAsia" w:ascii="宋体" w:hAnsi="宋体" w:cs="宋体"/>
                <w:b/>
                <w:color w:val="auto"/>
                <w:szCs w:val="24"/>
                <w:highlight w:val="none"/>
              </w:rPr>
            </w:pPr>
          </w:p>
        </w:tc>
        <w:tc>
          <w:tcPr>
            <w:tcW w:w="2447"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szCs w:val="24"/>
                <w:highlight w:val="none"/>
              </w:rPr>
            </w:pPr>
            <w:r>
              <w:rPr>
                <w:rFonts w:hint="eastAsia" w:ascii="宋体" w:hAnsi="宋体" w:cs="宋体"/>
                <w:color w:val="auto"/>
                <w:szCs w:val="24"/>
                <w:highlight w:val="none"/>
              </w:rPr>
              <w:t>1T电动三轮车</w:t>
            </w:r>
          </w:p>
        </w:tc>
        <w:tc>
          <w:tcPr>
            <w:tcW w:w="1425"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szCs w:val="24"/>
                <w:highlight w:val="none"/>
              </w:rPr>
            </w:pPr>
            <w:r>
              <w:rPr>
                <w:rFonts w:hint="eastAsia" w:ascii="宋体" w:hAnsi="宋体" w:cs="宋体"/>
                <w:color w:val="auto"/>
                <w:szCs w:val="24"/>
                <w:highlight w:val="none"/>
              </w:rPr>
              <w:t>10</w:t>
            </w:r>
          </w:p>
        </w:tc>
        <w:tc>
          <w:tcPr>
            <w:tcW w:w="1420" w:type="dxa"/>
            <w:vMerge w:val="continue"/>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kern w:val="0"/>
                <w:szCs w:val="24"/>
                <w:highlight w:val="none"/>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3" w:hRule="atLeast"/>
          <w:jc w:val="center"/>
        </w:trPr>
        <w:tc>
          <w:tcPr>
            <w:tcW w:w="1995" w:type="dxa"/>
            <w:vMerge w:val="restart"/>
            <w:noWrap w:val="0"/>
            <w:tcMar>
              <w:top w:w="12" w:type="dxa"/>
              <w:left w:w="12" w:type="dxa"/>
              <w:right w:w="12" w:type="dxa"/>
            </w:tcMar>
            <w:vAlign w:val="center"/>
          </w:tcPr>
          <w:p>
            <w:pPr>
              <w:widowControl/>
              <w:spacing w:line="240" w:lineRule="auto"/>
              <w:ind w:firstLine="0" w:firstLineChars="0"/>
              <w:jc w:val="center"/>
              <w:textAlignment w:val="bottom"/>
              <w:rPr>
                <w:rFonts w:hint="eastAsia" w:ascii="宋体" w:hAnsi="宋体" w:cs="宋体"/>
                <w:b/>
                <w:color w:val="auto"/>
                <w:szCs w:val="24"/>
                <w:highlight w:val="none"/>
              </w:rPr>
            </w:pPr>
            <w:r>
              <w:rPr>
                <w:rFonts w:hint="eastAsia" w:ascii="宋体" w:hAnsi="宋体" w:cs="宋体"/>
                <w:b/>
                <w:color w:val="auto"/>
                <w:szCs w:val="24"/>
                <w:highlight w:val="none"/>
              </w:rPr>
              <w:t>第二阶段</w:t>
            </w:r>
          </w:p>
        </w:tc>
        <w:tc>
          <w:tcPr>
            <w:tcW w:w="2447"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szCs w:val="24"/>
                <w:highlight w:val="none"/>
              </w:rPr>
            </w:pPr>
            <w:r>
              <w:rPr>
                <w:rFonts w:hint="eastAsia" w:ascii="宋体" w:hAnsi="宋体" w:cs="宋体"/>
                <w:color w:val="auto"/>
                <w:kern w:val="0"/>
                <w:szCs w:val="24"/>
                <w:highlight w:val="none"/>
                <w:lang w:bidi="ar"/>
              </w:rPr>
              <w:t>7T餐厨车</w:t>
            </w:r>
          </w:p>
        </w:tc>
        <w:tc>
          <w:tcPr>
            <w:tcW w:w="1425"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szCs w:val="24"/>
                <w:highlight w:val="none"/>
              </w:rPr>
            </w:pPr>
            <w:r>
              <w:rPr>
                <w:rFonts w:hint="eastAsia" w:ascii="宋体" w:hAnsi="宋体" w:cs="宋体"/>
                <w:color w:val="auto"/>
                <w:szCs w:val="24"/>
                <w:highlight w:val="none"/>
              </w:rPr>
              <w:t>5</w:t>
            </w:r>
          </w:p>
        </w:tc>
        <w:tc>
          <w:tcPr>
            <w:tcW w:w="1420" w:type="dxa"/>
            <w:vMerge w:val="restart"/>
            <w:noWrap w:val="0"/>
            <w:tcMar>
              <w:top w:w="12" w:type="dxa"/>
              <w:left w:w="12" w:type="dxa"/>
              <w:right w:w="12" w:type="dxa"/>
            </w:tcMar>
            <w:vAlign w:val="center"/>
          </w:tcPr>
          <w:p>
            <w:pPr>
              <w:widowControl/>
              <w:spacing w:line="240" w:lineRule="auto"/>
              <w:ind w:firstLine="0" w:firstLineChars="0"/>
              <w:jc w:val="left"/>
              <w:textAlignment w:val="center"/>
              <w:rPr>
                <w:rFonts w:hint="eastAsia" w:ascii="宋体" w:hAnsi="宋体" w:cs="宋体"/>
                <w:color w:val="auto"/>
                <w:kern w:val="0"/>
                <w:szCs w:val="24"/>
                <w:highlight w:val="none"/>
                <w:lang w:bidi="ar"/>
              </w:rPr>
            </w:pPr>
            <w:r>
              <w:rPr>
                <w:rFonts w:hint="eastAsia" w:ascii="宋体" w:hAnsi="宋体" w:cs="宋体"/>
                <w:color w:val="auto"/>
                <w:kern w:val="0"/>
                <w:szCs w:val="24"/>
                <w:highlight w:val="none"/>
                <w:lang w:bidi="ar"/>
              </w:rPr>
              <w:t>车辆数量为此前阶段增加数量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4" w:hRule="atLeast"/>
          <w:jc w:val="center"/>
        </w:trPr>
        <w:tc>
          <w:tcPr>
            <w:tcW w:w="1995" w:type="dxa"/>
            <w:vMerge w:val="continue"/>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b/>
                <w:color w:val="auto"/>
                <w:szCs w:val="24"/>
                <w:highlight w:val="none"/>
              </w:rPr>
            </w:pPr>
          </w:p>
        </w:tc>
        <w:tc>
          <w:tcPr>
            <w:tcW w:w="2447"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kern w:val="0"/>
                <w:szCs w:val="24"/>
                <w:highlight w:val="none"/>
                <w:lang w:bidi="ar"/>
              </w:rPr>
            </w:pPr>
            <w:r>
              <w:rPr>
                <w:rFonts w:hint="eastAsia" w:ascii="宋体" w:hAnsi="宋体" w:cs="宋体"/>
                <w:color w:val="auto"/>
                <w:szCs w:val="24"/>
                <w:highlight w:val="none"/>
              </w:rPr>
              <w:t>1T电动三轮车</w:t>
            </w:r>
          </w:p>
        </w:tc>
        <w:tc>
          <w:tcPr>
            <w:tcW w:w="1425"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kern w:val="0"/>
                <w:szCs w:val="24"/>
                <w:highlight w:val="none"/>
                <w:lang w:bidi="ar"/>
              </w:rPr>
            </w:pPr>
            <w:r>
              <w:rPr>
                <w:rFonts w:hint="eastAsia" w:ascii="宋体" w:hAnsi="宋体" w:cs="宋体"/>
                <w:color w:val="auto"/>
                <w:kern w:val="0"/>
                <w:szCs w:val="24"/>
                <w:highlight w:val="none"/>
                <w:lang w:bidi="ar"/>
              </w:rPr>
              <w:t>5</w:t>
            </w:r>
          </w:p>
        </w:tc>
        <w:tc>
          <w:tcPr>
            <w:tcW w:w="1420" w:type="dxa"/>
            <w:vMerge w:val="continue"/>
            <w:noWrap w:val="0"/>
            <w:tcMar>
              <w:top w:w="12" w:type="dxa"/>
              <w:left w:w="12" w:type="dxa"/>
              <w:right w:w="12" w:type="dxa"/>
            </w:tcMar>
            <w:vAlign w:val="center"/>
          </w:tcPr>
          <w:p>
            <w:pPr>
              <w:widowControl/>
              <w:spacing w:line="240" w:lineRule="auto"/>
              <w:ind w:firstLine="0" w:firstLineChars="0"/>
              <w:jc w:val="left"/>
              <w:textAlignment w:val="center"/>
              <w:rPr>
                <w:rFonts w:hint="eastAsia" w:ascii="宋体" w:hAnsi="宋体" w:cs="宋体"/>
                <w:color w:val="auto"/>
                <w:kern w:val="0"/>
                <w:szCs w:val="24"/>
                <w:highlight w:val="none"/>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3" w:hRule="atLeast"/>
          <w:jc w:val="center"/>
        </w:trPr>
        <w:tc>
          <w:tcPr>
            <w:tcW w:w="1995" w:type="dxa"/>
            <w:vMerge w:val="restart"/>
            <w:noWrap w:val="0"/>
            <w:tcMar>
              <w:top w:w="12" w:type="dxa"/>
              <w:left w:w="12" w:type="dxa"/>
              <w:right w:w="12" w:type="dxa"/>
            </w:tcMar>
            <w:vAlign w:val="center"/>
          </w:tcPr>
          <w:p>
            <w:pPr>
              <w:widowControl/>
              <w:spacing w:line="240" w:lineRule="auto"/>
              <w:ind w:firstLine="0" w:firstLineChars="0"/>
              <w:jc w:val="center"/>
              <w:textAlignment w:val="bottom"/>
              <w:rPr>
                <w:rFonts w:hint="eastAsia" w:ascii="宋体" w:hAnsi="宋体" w:cs="宋体"/>
                <w:b/>
                <w:color w:val="auto"/>
                <w:szCs w:val="24"/>
                <w:highlight w:val="none"/>
              </w:rPr>
            </w:pPr>
            <w:r>
              <w:rPr>
                <w:rFonts w:hint="eastAsia" w:ascii="宋体" w:hAnsi="宋体" w:cs="宋体"/>
                <w:b/>
                <w:color w:val="auto"/>
                <w:szCs w:val="24"/>
                <w:highlight w:val="none"/>
              </w:rPr>
              <w:t>第三阶段</w:t>
            </w:r>
          </w:p>
        </w:tc>
        <w:tc>
          <w:tcPr>
            <w:tcW w:w="2447"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szCs w:val="24"/>
                <w:highlight w:val="none"/>
              </w:rPr>
            </w:pPr>
            <w:r>
              <w:rPr>
                <w:rFonts w:hint="eastAsia" w:ascii="宋体" w:hAnsi="宋体" w:cs="宋体"/>
                <w:color w:val="auto"/>
                <w:kern w:val="0"/>
                <w:szCs w:val="24"/>
                <w:highlight w:val="none"/>
                <w:lang w:bidi="ar"/>
              </w:rPr>
              <w:t>7T餐厨车</w:t>
            </w:r>
          </w:p>
        </w:tc>
        <w:tc>
          <w:tcPr>
            <w:tcW w:w="1425"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szCs w:val="24"/>
                <w:highlight w:val="none"/>
              </w:rPr>
            </w:pPr>
            <w:r>
              <w:rPr>
                <w:rFonts w:hint="eastAsia" w:ascii="宋体" w:hAnsi="宋体" w:cs="宋体"/>
                <w:color w:val="auto"/>
                <w:szCs w:val="24"/>
                <w:highlight w:val="none"/>
              </w:rPr>
              <w:t>3</w:t>
            </w:r>
          </w:p>
        </w:tc>
        <w:tc>
          <w:tcPr>
            <w:tcW w:w="1420" w:type="dxa"/>
            <w:vMerge w:val="restart"/>
            <w:noWrap w:val="0"/>
            <w:tcMar>
              <w:top w:w="12" w:type="dxa"/>
              <w:left w:w="12" w:type="dxa"/>
              <w:right w:w="12" w:type="dxa"/>
            </w:tcMar>
            <w:vAlign w:val="center"/>
          </w:tcPr>
          <w:p>
            <w:pPr>
              <w:widowControl/>
              <w:spacing w:line="240" w:lineRule="auto"/>
              <w:ind w:firstLine="0" w:firstLineChars="0"/>
              <w:jc w:val="left"/>
              <w:textAlignment w:val="center"/>
              <w:rPr>
                <w:rFonts w:hint="eastAsia" w:ascii="宋体" w:hAnsi="宋体" w:cs="宋体"/>
                <w:color w:val="auto"/>
                <w:kern w:val="0"/>
                <w:szCs w:val="24"/>
                <w:highlight w:val="none"/>
                <w:lang w:bidi="ar"/>
              </w:rPr>
            </w:pPr>
            <w:r>
              <w:rPr>
                <w:rFonts w:hint="eastAsia" w:ascii="宋体" w:hAnsi="宋体" w:cs="宋体"/>
                <w:color w:val="auto"/>
                <w:kern w:val="0"/>
                <w:szCs w:val="24"/>
                <w:highlight w:val="none"/>
                <w:lang w:bidi="ar"/>
              </w:rPr>
              <w:t>车辆数量为此前阶段增加数量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4" w:hRule="atLeast"/>
          <w:jc w:val="center"/>
        </w:trPr>
        <w:tc>
          <w:tcPr>
            <w:tcW w:w="1995" w:type="dxa"/>
            <w:vMerge w:val="continue"/>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b/>
                <w:color w:val="auto"/>
                <w:szCs w:val="24"/>
                <w:highlight w:val="none"/>
              </w:rPr>
            </w:pPr>
          </w:p>
        </w:tc>
        <w:tc>
          <w:tcPr>
            <w:tcW w:w="2447"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kern w:val="0"/>
                <w:szCs w:val="24"/>
                <w:highlight w:val="none"/>
                <w:lang w:bidi="ar"/>
              </w:rPr>
            </w:pPr>
            <w:r>
              <w:rPr>
                <w:rFonts w:hint="eastAsia" w:ascii="宋体" w:hAnsi="宋体" w:cs="宋体"/>
                <w:color w:val="auto"/>
                <w:szCs w:val="24"/>
                <w:highlight w:val="none"/>
              </w:rPr>
              <w:t>1T电动三轮车</w:t>
            </w:r>
          </w:p>
        </w:tc>
        <w:tc>
          <w:tcPr>
            <w:tcW w:w="1425"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kern w:val="0"/>
                <w:szCs w:val="24"/>
                <w:highlight w:val="none"/>
                <w:lang w:bidi="ar"/>
              </w:rPr>
            </w:pPr>
            <w:r>
              <w:rPr>
                <w:rFonts w:hint="eastAsia" w:ascii="宋体" w:hAnsi="宋体" w:cs="宋体"/>
                <w:color w:val="auto"/>
                <w:kern w:val="0"/>
                <w:szCs w:val="24"/>
                <w:highlight w:val="none"/>
                <w:lang w:bidi="ar"/>
              </w:rPr>
              <w:t>10</w:t>
            </w:r>
          </w:p>
        </w:tc>
        <w:tc>
          <w:tcPr>
            <w:tcW w:w="1420" w:type="dxa"/>
            <w:vMerge w:val="continue"/>
            <w:noWrap w:val="0"/>
            <w:tcMar>
              <w:top w:w="12" w:type="dxa"/>
              <w:left w:w="12" w:type="dxa"/>
              <w:right w:w="12" w:type="dxa"/>
            </w:tcMar>
            <w:vAlign w:val="center"/>
          </w:tcPr>
          <w:p>
            <w:pPr>
              <w:widowControl/>
              <w:spacing w:line="240" w:lineRule="auto"/>
              <w:ind w:firstLine="0" w:firstLineChars="0"/>
              <w:jc w:val="left"/>
              <w:textAlignment w:val="center"/>
              <w:rPr>
                <w:rFonts w:hint="eastAsia" w:ascii="宋体" w:hAnsi="宋体" w:cs="宋体"/>
                <w:color w:val="auto"/>
                <w:kern w:val="0"/>
                <w:szCs w:val="24"/>
                <w:highlight w:val="none"/>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0" w:hRule="atLeast"/>
          <w:jc w:val="center"/>
        </w:trPr>
        <w:tc>
          <w:tcPr>
            <w:tcW w:w="1995" w:type="dxa"/>
            <w:vMerge w:val="restart"/>
            <w:noWrap w:val="0"/>
            <w:tcMar>
              <w:top w:w="12" w:type="dxa"/>
              <w:left w:w="12" w:type="dxa"/>
              <w:right w:w="12" w:type="dxa"/>
            </w:tcMar>
            <w:vAlign w:val="center"/>
          </w:tcPr>
          <w:p>
            <w:pPr>
              <w:widowControl/>
              <w:spacing w:line="240" w:lineRule="auto"/>
              <w:ind w:firstLine="0" w:firstLineChars="0"/>
              <w:jc w:val="center"/>
              <w:textAlignment w:val="bottom"/>
              <w:rPr>
                <w:rFonts w:hint="eastAsia" w:ascii="宋体" w:hAnsi="宋体" w:cs="宋体"/>
                <w:b/>
                <w:color w:val="auto"/>
                <w:szCs w:val="24"/>
                <w:highlight w:val="none"/>
              </w:rPr>
            </w:pPr>
            <w:r>
              <w:rPr>
                <w:rFonts w:hint="eastAsia" w:ascii="宋体" w:hAnsi="宋体" w:cs="宋体"/>
                <w:b/>
                <w:color w:val="auto"/>
                <w:szCs w:val="24"/>
                <w:highlight w:val="none"/>
              </w:rPr>
              <w:t>第四阶段</w:t>
            </w:r>
          </w:p>
        </w:tc>
        <w:tc>
          <w:tcPr>
            <w:tcW w:w="2447"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szCs w:val="24"/>
                <w:highlight w:val="none"/>
              </w:rPr>
            </w:pPr>
            <w:r>
              <w:rPr>
                <w:rFonts w:hint="eastAsia" w:ascii="宋体" w:hAnsi="宋体" w:cs="宋体"/>
                <w:color w:val="auto"/>
                <w:kern w:val="0"/>
                <w:szCs w:val="24"/>
                <w:highlight w:val="none"/>
                <w:lang w:bidi="ar"/>
              </w:rPr>
              <w:t>7T餐厨车</w:t>
            </w:r>
          </w:p>
        </w:tc>
        <w:tc>
          <w:tcPr>
            <w:tcW w:w="1425"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szCs w:val="24"/>
                <w:highlight w:val="none"/>
              </w:rPr>
            </w:pPr>
            <w:r>
              <w:rPr>
                <w:rFonts w:hint="eastAsia" w:ascii="宋体" w:hAnsi="宋体" w:cs="宋体"/>
                <w:color w:val="auto"/>
                <w:szCs w:val="24"/>
                <w:highlight w:val="none"/>
              </w:rPr>
              <w:t>3</w:t>
            </w:r>
          </w:p>
        </w:tc>
        <w:tc>
          <w:tcPr>
            <w:tcW w:w="1420" w:type="dxa"/>
            <w:vMerge w:val="restart"/>
            <w:noWrap w:val="0"/>
            <w:tcMar>
              <w:top w:w="12" w:type="dxa"/>
              <w:left w:w="12" w:type="dxa"/>
              <w:right w:w="12" w:type="dxa"/>
            </w:tcMar>
            <w:vAlign w:val="center"/>
          </w:tcPr>
          <w:p>
            <w:pPr>
              <w:widowControl/>
              <w:spacing w:line="240" w:lineRule="auto"/>
              <w:ind w:firstLine="0" w:firstLineChars="0"/>
              <w:jc w:val="left"/>
              <w:textAlignment w:val="center"/>
              <w:rPr>
                <w:rFonts w:hint="eastAsia" w:ascii="宋体" w:hAnsi="宋体" w:cs="宋体"/>
                <w:color w:val="auto"/>
                <w:kern w:val="0"/>
                <w:szCs w:val="24"/>
                <w:highlight w:val="none"/>
                <w:lang w:bidi="ar"/>
              </w:rPr>
            </w:pPr>
            <w:r>
              <w:rPr>
                <w:rFonts w:hint="eastAsia" w:ascii="宋体" w:hAnsi="宋体" w:cs="宋体"/>
                <w:color w:val="auto"/>
                <w:kern w:val="0"/>
                <w:szCs w:val="24"/>
                <w:highlight w:val="none"/>
                <w:lang w:bidi="ar"/>
              </w:rPr>
              <w:t>车辆数量为此前阶段增加数量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7" w:hRule="atLeast"/>
          <w:jc w:val="center"/>
        </w:trPr>
        <w:tc>
          <w:tcPr>
            <w:tcW w:w="1995" w:type="dxa"/>
            <w:vMerge w:val="continue"/>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b/>
                <w:color w:val="auto"/>
                <w:szCs w:val="24"/>
                <w:highlight w:val="none"/>
              </w:rPr>
            </w:pPr>
          </w:p>
        </w:tc>
        <w:tc>
          <w:tcPr>
            <w:tcW w:w="2447"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kern w:val="0"/>
                <w:szCs w:val="24"/>
                <w:highlight w:val="none"/>
                <w:lang w:bidi="ar"/>
              </w:rPr>
            </w:pPr>
            <w:r>
              <w:rPr>
                <w:rFonts w:hint="eastAsia" w:ascii="宋体" w:hAnsi="宋体" w:cs="宋体"/>
                <w:color w:val="auto"/>
                <w:szCs w:val="24"/>
                <w:highlight w:val="none"/>
              </w:rPr>
              <w:t>1T电动三轮车</w:t>
            </w:r>
          </w:p>
        </w:tc>
        <w:tc>
          <w:tcPr>
            <w:tcW w:w="1425"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kern w:val="0"/>
                <w:szCs w:val="24"/>
                <w:highlight w:val="none"/>
                <w:lang w:bidi="ar"/>
              </w:rPr>
            </w:pPr>
            <w:r>
              <w:rPr>
                <w:rFonts w:hint="eastAsia" w:ascii="宋体" w:hAnsi="宋体" w:cs="宋体"/>
                <w:color w:val="auto"/>
                <w:kern w:val="0"/>
                <w:szCs w:val="24"/>
                <w:highlight w:val="none"/>
                <w:lang w:bidi="ar"/>
              </w:rPr>
              <w:t>5</w:t>
            </w:r>
          </w:p>
        </w:tc>
        <w:tc>
          <w:tcPr>
            <w:tcW w:w="1420" w:type="dxa"/>
            <w:vMerge w:val="continue"/>
            <w:noWrap w:val="0"/>
            <w:tcMar>
              <w:top w:w="12" w:type="dxa"/>
              <w:left w:w="12" w:type="dxa"/>
              <w:right w:w="12" w:type="dxa"/>
            </w:tcMar>
            <w:vAlign w:val="center"/>
          </w:tcPr>
          <w:p>
            <w:pPr>
              <w:widowControl/>
              <w:spacing w:line="240" w:lineRule="auto"/>
              <w:ind w:firstLine="0" w:firstLineChars="0"/>
              <w:jc w:val="left"/>
              <w:textAlignment w:val="center"/>
              <w:rPr>
                <w:rFonts w:hint="eastAsia" w:ascii="宋体" w:hAnsi="宋体" w:cs="宋体"/>
                <w:color w:val="auto"/>
                <w:kern w:val="0"/>
                <w:szCs w:val="24"/>
                <w:highlight w:val="none"/>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0" w:hRule="atLeast"/>
          <w:jc w:val="center"/>
        </w:trPr>
        <w:tc>
          <w:tcPr>
            <w:tcW w:w="1995" w:type="dxa"/>
            <w:noWrap w:val="0"/>
            <w:tcMar>
              <w:top w:w="12" w:type="dxa"/>
              <w:left w:w="12" w:type="dxa"/>
              <w:right w:w="12" w:type="dxa"/>
            </w:tcMar>
            <w:vAlign w:val="center"/>
          </w:tcPr>
          <w:p>
            <w:pPr>
              <w:widowControl/>
              <w:spacing w:line="240" w:lineRule="auto"/>
              <w:ind w:firstLine="0" w:firstLineChars="0"/>
              <w:jc w:val="center"/>
              <w:textAlignment w:val="bottom"/>
              <w:rPr>
                <w:rFonts w:hint="eastAsia" w:ascii="宋体" w:hAnsi="宋体" w:cs="宋体"/>
                <w:b/>
                <w:color w:val="auto"/>
                <w:szCs w:val="24"/>
                <w:highlight w:val="none"/>
              </w:rPr>
            </w:pPr>
            <w:r>
              <w:rPr>
                <w:rFonts w:hint="eastAsia" w:ascii="宋体" w:hAnsi="宋体" w:cs="宋体"/>
                <w:b/>
                <w:color w:val="auto"/>
                <w:szCs w:val="24"/>
                <w:highlight w:val="none"/>
              </w:rPr>
              <w:t>第五阶段</w:t>
            </w:r>
          </w:p>
        </w:tc>
        <w:tc>
          <w:tcPr>
            <w:tcW w:w="2447"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szCs w:val="24"/>
                <w:highlight w:val="none"/>
              </w:rPr>
            </w:pPr>
            <w:r>
              <w:rPr>
                <w:rFonts w:hint="eastAsia" w:ascii="宋体" w:hAnsi="宋体" w:cs="宋体"/>
                <w:color w:val="auto"/>
                <w:szCs w:val="24"/>
                <w:highlight w:val="none"/>
              </w:rPr>
              <w:t>1T电动三轮车</w:t>
            </w:r>
          </w:p>
        </w:tc>
        <w:tc>
          <w:tcPr>
            <w:tcW w:w="1425" w:type="dxa"/>
            <w:noWrap w:val="0"/>
            <w:tcMar>
              <w:top w:w="12" w:type="dxa"/>
              <w:left w:w="12" w:type="dxa"/>
              <w:right w:w="12" w:type="dxa"/>
            </w:tcMar>
            <w:vAlign w:val="center"/>
          </w:tcPr>
          <w:p>
            <w:pPr>
              <w:widowControl/>
              <w:spacing w:line="240" w:lineRule="auto"/>
              <w:ind w:firstLine="0" w:firstLineChars="0"/>
              <w:jc w:val="center"/>
              <w:textAlignment w:val="center"/>
              <w:rPr>
                <w:rFonts w:hint="eastAsia" w:ascii="宋体" w:hAnsi="宋体" w:cs="宋体"/>
                <w:color w:val="auto"/>
                <w:szCs w:val="24"/>
                <w:highlight w:val="none"/>
              </w:rPr>
            </w:pPr>
            <w:r>
              <w:rPr>
                <w:rFonts w:hint="eastAsia" w:ascii="宋体" w:hAnsi="宋体" w:cs="宋体"/>
                <w:color w:val="auto"/>
                <w:kern w:val="0"/>
                <w:szCs w:val="24"/>
                <w:highlight w:val="none"/>
                <w:lang w:bidi="ar"/>
              </w:rPr>
              <w:t>35</w:t>
            </w:r>
          </w:p>
        </w:tc>
        <w:tc>
          <w:tcPr>
            <w:tcW w:w="1420" w:type="dxa"/>
            <w:noWrap w:val="0"/>
            <w:tcMar>
              <w:top w:w="12" w:type="dxa"/>
              <w:left w:w="12" w:type="dxa"/>
              <w:right w:w="12" w:type="dxa"/>
            </w:tcMar>
            <w:vAlign w:val="center"/>
          </w:tcPr>
          <w:p>
            <w:pPr>
              <w:widowControl/>
              <w:spacing w:line="240" w:lineRule="auto"/>
              <w:ind w:firstLine="0" w:firstLineChars="0"/>
              <w:jc w:val="left"/>
              <w:textAlignment w:val="center"/>
              <w:rPr>
                <w:rFonts w:hint="eastAsia" w:ascii="宋体" w:hAnsi="宋体" w:cs="宋体"/>
                <w:color w:val="auto"/>
                <w:kern w:val="0"/>
                <w:szCs w:val="24"/>
                <w:highlight w:val="none"/>
                <w:lang w:bidi="ar"/>
              </w:rPr>
            </w:pPr>
            <w:r>
              <w:rPr>
                <w:rFonts w:hint="eastAsia" w:ascii="宋体" w:hAnsi="宋体" w:cs="宋体"/>
                <w:color w:val="auto"/>
                <w:kern w:val="0"/>
                <w:szCs w:val="24"/>
                <w:highlight w:val="none"/>
                <w:lang w:bidi="ar"/>
              </w:rPr>
              <w:t>车辆数量为此前阶段增加数量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16" w:hRule="atLeast"/>
          <w:jc w:val="center"/>
        </w:trPr>
        <w:tc>
          <w:tcPr>
            <w:tcW w:w="7287" w:type="dxa"/>
            <w:gridSpan w:val="4"/>
            <w:noWrap w:val="0"/>
            <w:tcMar>
              <w:top w:w="12" w:type="dxa"/>
              <w:left w:w="12" w:type="dxa"/>
              <w:right w:w="12" w:type="dxa"/>
            </w:tcMar>
            <w:vAlign w:val="bottom"/>
          </w:tcPr>
          <w:p>
            <w:pPr>
              <w:ind w:firstLine="0" w:firstLineChars="0"/>
              <w:jc w:val="left"/>
              <w:rPr>
                <w:rFonts w:hint="eastAsia" w:ascii="宋体" w:hAnsi="宋体" w:cs="宋体"/>
                <w:color w:val="auto"/>
                <w:kern w:val="0"/>
                <w:szCs w:val="24"/>
                <w:highlight w:val="none"/>
                <w:lang w:bidi="ar"/>
              </w:rPr>
            </w:pPr>
            <w:r>
              <w:rPr>
                <w:rFonts w:hint="eastAsia" w:ascii="宋体" w:hAnsi="宋体" w:cs="宋体"/>
                <w:b/>
                <w:color w:val="auto"/>
                <w:szCs w:val="24"/>
                <w:highlight w:val="none"/>
              </w:rPr>
              <w:t>备注：全区域餐厨垃圾收运共配置16台7T餐厨车、65台1T电动三轮车。</w:t>
            </w:r>
          </w:p>
        </w:tc>
      </w:tr>
    </w:tbl>
    <w:p>
      <w:pPr>
        <w:ind w:firstLine="0" w:firstLineChars="0"/>
        <w:rPr>
          <w:rFonts w:hint="eastAsia" w:ascii="宋体" w:hAnsi="宋体" w:cs="宋体"/>
          <w:color w:val="auto"/>
          <w:szCs w:val="24"/>
          <w:highlight w:val="none"/>
        </w:rPr>
      </w:pPr>
    </w:p>
    <w:p>
      <w:pPr>
        <w:ind w:firstLine="720" w:firstLineChars="300"/>
        <w:rPr>
          <w:rFonts w:hint="eastAsia" w:ascii="宋体" w:hAnsi="宋体" w:cs="宋体"/>
          <w:color w:val="auto"/>
          <w:szCs w:val="24"/>
          <w:highlight w:val="none"/>
        </w:rPr>
      </w:pPr>
      <w:r>
        <w:rPr>
          <w:rFonts w:hint="eastAsia" w:ascii="宋体" w:hAnsi="宋体" w:cs="宋体"/>
          <w:color w:val="auto"/>
          <w:szCs w:val="24"/>
          <w:highlight w:val="none"/>
        </w:rPr>
        <w:t>（2）餐厨垃圾的收集运输设备的要求及配置：</w:t>
      </w:r>
    </w:p>
    <w:p>
      <w:pPr>
        <w:numPr>
          <w:ilvl w:val="0"/>
          <w:numId w:val="1"/>
        </w:numPr>
        <w:ind w:firstLine="295" w:firstLineChars="0"/>
        <w:rPr>
          <w:rFonts w:hint="eastAsia" w:ascii="宋体" w:hAnsi="宋体" w:cs="宋体"/>
          <w:color w:val="auto"/>
          <w:szCs w:val="24"/>
          <w:highlight w:val="none"/>
        </w:rPr>
      </w:pPr>
      <w:r>
        <w:rPr>
          <w:rFonts w:hint="eastAsia" w:ascii="宋体" w:hAnsi="宋体" w:cs="宋体"/>
          <w:color w:val="auto"/>
          <w:szCs w:val="24"/>
          <w:highlight w:val="none"/>
        </w:rPr>
        <w:t>配备专业餐厨垃圾收运专用车，收集车辆采用密闭式运输车，车上设有挂桶机构，将垃圾标准桶提升至车厢顶部，再通过翻料机构将垃圾倒入车厢内。垃圾被运至处理厂卸料平台之后，密封后盖打开，推料机构将固体垃圾推出。车上所有操作为液压自动控制，可分别在驾驶室和车旁操作；</w:t>
      </w:r>
    </w:p>
    <w:p>
      <w:pPr>
        <w:numPr>
          <w:ilvl w:val="0"/>
          <w:numId w:val="1"/>
        </w:numPr>
        <w:ind w:firstLine="295" w:firstLineChars="0"/>
        <w:rPr>
          <w:rFonts w:hint="eastAsia" w:ascii="宋体" w:hAnsi="宋体" w:cs="宋体"/>
          <w:color w:val="auto"/>
          <w:szCs w:val="24"/>
          <w:highlight w:val="none"/>
        </w:rPr>
      </w:pPr>
      <w:r>
        <w:rPr>
          <w:rFonts w:hint="eastAsia" w:ascii="宋体" w:hAnsi="宋体" w:cs="宋体"/>
          <w:color w:val="auto"/>
          <w:szCs w:val="24"/>
          <w:highlight w:val="none"/>
        </w:rPr>
        <w:t>密闭系统：车辆在装料口及罐体卸料口均需配置高品质密封装置，确保车辆在收集和运输过程中密闭，杜绝洒漏而造成对气体和路面的二次污染问题；</w:t>
      </w:r>
    </w:p>
    <w:p>
      <w:pPr>
        <w:numPr>
          <w:ilvl w:val="0"/>
          <w:numId w:val="1"/>
        </w:numPr>
        <w:ind w:firstLine="295" w:firstLineChars="0"/>
        <w:rPr>
          <w:rFonts w:hint="eastAsia" w:ascii="宋体" w:hAnsi="宋体" w:cs="宋体"/>
          <w:color w:val="auto"/>
          <w:szCs w:val="24"/>
          <w:highlight w:val="none"/>
        </w:rPr>
      </w:pPr>
      <w:r>
        <w:rPr>
          <w:rFonts w:hint="eastAsia" w:ascii="宋体" w:hAnsi="宋体" w:cs="宋体"/>
          <w:color w:val="auto"/>
          <w:szCs w:val="24"/>
          <w:highlight w:val="none"/>
        </w:rPr>
        <w:t>自动控制系统：物料提升、卸桶均配置自动控制系统装置，减少设备故障率，提高效率。同时，设置物料满载报警及自动终止程序装置，避免人工操作易造成的物料过多外溢。</w:t>
      </w:r>
    </w:p>
    <w:p>
      <w:pPr>
        <w:numPr>
          <w:ilvl w:val="0"/>
          <w:numId w:val="1"/>
        </w:numPr>
        <w:ind w:firstLine="295" w:firstLineChars="0"/>
        <w:rPr>
          <w:rFonts w:hint="eastAsia" w:ascii="宋体" w:hAnsi="宋体" w:cs="宋体"/>
          <w:color w:val="auto"/>
          <w:szCs w:val="24"/>
          <w:highlight w:val="none"/>
        </w:rPr>
      </w:pPr>
      <w:r>
        <w:rPr>
          <w:rFonts w:hint="eastAsia" w:ascii="宋体" w:hAnsi="宋体" w:cs="宋体"/>
          <w:color w:val="auto"/>
          <w:szCs w:val="24"/>
          <w:highlight w:val="none"/>
        </w:rPr>
        <w:t>可单人操作：包括可单人完成驾驶车辆和装卸厨余垃圾桶；</w:t>
      </w:r>
    </w:p>
    <w:p>
      <w:pPr>
        <w:numPr>
          <w:ilvl w:val="0"/>
          <w:numId w:val="1"/>
        </w:numPr>
        <w:ind w:firstLine="295" w:firstLineChars="0"/>
        <w:rPr>
          <w:rFonts w:hint="eastAsia" w:ascii="宋体" w:hAnsi="宋体" w:cs="宋体"/>
          <w:color w:val="auto"/>
          <w:szCs w:val="24"/>
          <w:highlight w:val="none"/>
        </w:rPr>
      </w:pPr>
      <w:r>
        <w:rPr>
          <w:rFonts w:hint="eastAsia" w:ascii="宋体" w:hAnsi="宋体" w:cs="宋体"/>
          <w:color w:val="auto"/>
          <w:szCs w:val="24"/>
          <w:highlight w:val="none"/>
        </w:rPr>
        <w:t>厨余垃圾桶装满垃圾时也可以实现单人操作；</w:t>
      </w:r>
    </w:p>
    <w:p>
      <w:pPr>
        <w:numPr>
          <w:ilvl w:val="0"/>
          <w:numId w:val="1"/>
        </w:numPr>
        <w:ind w:firstLine="295" w:firstLineChars="0"/>
        <w:rPr>
          <w:rFonts w:hint="eastAsia" w:ascii="宋体" w:hAnsi="宋体" w:cs="宋体"/>
          <w:color w:val="auto"/>
          <w:szCs w:val="24"/>
          <w:highlight w:val="none"/>
        </w:rPr>
      </w:pPr>
      <w:r>
        <w:rPr>
          <w:rFonts w:hint="eastAsia" w:ascii="宋体" w:hAnsi="宋体" w:cs="宋体"/>
          <w:color w:val="auto"/>
          <w:szCs w:val="24"/>
          <w:highlight w:val="none"/>
        </w:rPr>
        <w:t>用于厨余垃圾的收运，操作简单，不产生垃圾的二次污染。</w:t>
      </w:r>
    </w:p>
    <w:p>
      <w:pPr>
        <w:ind w:firstLine="720" w:firstLineChars="300"/>
        <w:rPr>
          <w:rFonts w:hint="eastAsia" w:ascii="宋体" w:hAnsi="宋体" w:cs="宋体"/>
          <w:color w:val="auto"/>
          <w:szCs w:val="24"/>
          <w:highlight w:val="none"/>
        </w:rPr>
      </w:pPr>
      <w:r>
        <w:rPr>
          <w:rFonts w:hint="eastAsia" w:ascii="宋体" w:hAnsi="宋体" w:cs="宋体"/>
          <w:color w:val="auto"/>
          <w:szCs w:val="24"/>
          <w:highlight w:val="none"/>
        </w:rPr>
        <w:t>（3）根据车辆特点，按法律规定，驾驶人必须持有《中华人民共和国机动车驾驶证》；</w:t>
      </w:r>
    </w:p>
    <w:p>
      <w:pPr>
        <w:ind w:firstLine="723" w:firstLineChars="300"/>
        <w:rPr>
          <w:rFonts w:hint="eastAsia" w:ascii="宋体" w:hAnsi="宋体" w:cs="宋体"/>
          <w:color w:val="auto"/>
          <w:szCs w:val="24"/>
          <w:highlight w:val="none"/>
        </w:rPr>
      </w:pPr>
      <w:r>
        <w:rPr>
          <w:rFonts w:hint="eastAsia" w:ascii="宋体" w:hAnsi="宋体" w:cs="宋体"/>
          <w:b/>
          <w:bCs/>
          <w:color w:val="auto"/>
          <w:szCs w:val="24"/>
          <w:highlight w:val="none"/>
        </w:rPr>
        <w:t>（4）垃圾运输车上需贴有市统一垃圾分类标识</w:t>
      </w:r>
      <w:r>
        <w:rPr>
          <w:rFonts w:hint="eastAsia" w:ascii="宋体" w:hAnsi="宋体" w:cs="宋体"/>
          <w:color w:val="auto"/>
          <w:szCs w:val="24"/>
          <w:highlight w:val="none"/>
        </w:rPr>
        <w:t>；</w:t>
      </w:r>
    </w:p>
    <w:p>
      <w:pPr>
        <w:ind w:firstLine="720" w:firstLineChars="300"/>
        <w:rPr>
          <w:rFonts w:hint="eastAsia" w:ascii="宋体" w:hAnsi="宋体" w:cs="宋体"/>
          <w:color w:val="auto"/>
          <w:szCs w:val="24"/>
          <w:highlight w:val="none"/>
        </w:rPr>
      </w:pPr>
      <w:r>
        <w:rPr>
          <w:rFonts w:hint="eastAsia" w:ascii="宋体" w:hAnsi="宋体" w:cs="宋体"/>
          <w:color w:val="auto"/>
          <w:szCs w:val="24"/>
          <w:highlight w:val="none"/>
        </w:rPr>
        <w:t>（5）每次出车前，司机需对车辆的油、水、电等车况进行检查，确认正常方可出车，回到停车点后做好车辆登记，记录内容包括用车时间、出车地点、车辆状况等。</w:t>
      </w:r>
    </w:p>
    <w:p>
      <w:pPr>
        <w:ind w:firstLine="720" w:firstLineChars="300"/>
        <w:rPr>
          <w:rFonts w:hint="eastAsia" w:ascii="宋体" w:hAnsi="宋体" w:cs="宋体"/>
          <w:color w:val="auto"/>
          <w:szCs w:val="24"/>
          <w:highlight w:val="none"/>
        </w:rPr>
      </w:pPr>
      <w:r>
        <w:rPr>
          <w:rFonts w:hint="eastAsia" w:ascii="宋体" w:hAnsi="宋体" w:cs="宋体"/>
          <w:color w:val="auto"/>
          <w:szCs w:val="24"/>
          <w:highlight w:val="none"/>
        </w:rPr>
        <w:t>（6）司机应安全行驶并严格遵守安全交通法规。</w:t>
      </w:r>
    </w:p>
    <w:p>
      <w:pPr>
        <w:ind w:firstLine="720" w:firstLineChars="300"/>
        <w:rPr>
          <w:rFonts w:hint="eastAsia" w:ascii="宋体" w:hAnsi="宋体" w:cs="宋体"/>
          <w:color w:val="auto"/>
          <w:szCs w:val="24"/>
          <w:highlight w:val="none"/>
        </w:rPr>
      </w:pPr>
      <w:r>
        <w:rPr>
          <w:rFonts w:hint="eastAsia" w:ascii="宋体" w:hAnsi="宋体" w:cs="宋体"/>
          <w:color w:val="auto"/>
          <w:szCs w:val="24"/>
          <w:highlight w:val="none"/>
        </w:rPr>
        <w:t>（7）车辆回到停车点后，用高压清洗水枪及独立冲洗水收集系统进行全面冲洗。</w:t>
      </w:r>
    </w:p>
    <w:p>
      <w:pPr>
        <w:ind w:firstLine="720" w:firstLineChars="300"/>
        <w:rPr>
          <w:rFonts w:hint="eastAsia" w:ascii="宋体" w:hAnsi="宋体" w:cs="宋体"/>
          <w:color w:val="auto"/>
          <w:szCs w:val="24"/>
          <w:highlight w:val="none"/>
        </w:rPr>
      </w:pPr>
      <w:r>
        <w:rPr>
          <w:rFonts w:hint="eastAsia" w:ascii="宋体" w:hAnsi="宋体" w:cs="宋体"/>
          <w:color w:val="auto"/>
          <w:szCs w:val="24"/>
          <w:highlight w:val="none"/>
        </w:rPr>
        <w:t>（8）车辆冲洗完后对车辆进行全面检查，若发现问题即时上报管理人员，以便即时处理。；</w:t>
      </w:r>
    </w:p>
    <w:p>
      <w:pPr>
        <w:ind w:firstLine="720" w:firstLineChars="300"/>
        <w:rPr>
          <w:rFonts w:hint="eastAsia" w:ascii="宋体" w:hAnsi="宋体" w:cs="宋体"/>
          <w:color w:val="auto"/>
          <w:szCs w:val="24"/>
          <w:highlight w:val="none"/>
        </w:rPr>
      </w:pPr>
      <w:r>
        <w:rPr>
          <w:rFonts w:hint="eastAsia" w:ascii="宋体" w:hAnsi="宋体" w:cs="宋体"/>
          <w:color w:val="auto"/>
          <w:szCs w:val="24"/>
          <w:highlight w:val="none"/>
        </w:rPr>
        <w:t>（9）政府现有5辆7吨餐厨收集车，车辆设备采取租赁的方式，租赁费用双方协商后由运输企业承担。</w:t>
      </w:r>
    </w:p>
    <w:p>
      <w:pPr>
        <w:ind w:firstLine="723" w:firstLineChars="300"/>
        <w:rPr>
          <w:rFonts w:hint="eastAsia" w:ascii="宋体" w:hAnsi="宋体" w:cs="宋体"/>
          <w:b/>
          <w:bCs/>
          <w:color w:val="auto"/>
          <w:szCs w:val="24"/>
          <w:highlight w:val="none"/>
        </w:rPr>
      </w:pPr>
      <w:r>
        <w:rPr>
          <w:rFonts w:hint="eastAsia" w:ascii="宋体" w:hAnsi="宋体" w:cs="宋体"/>
          <w:b/>
          <w:bCs/>
          <w:color w:val="auto"/>
          <w:szCs w:val="24"/>
          <w:highlight w:val="none"/>
        </w:rPr>
        <w:t>（10）除政府现有5辆7吨餐厨收集车以外，其他车辆均由投标单位自行提供。</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（六）应急要求</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供应商应当建立投诉处理办法，对产生单位要求收集餐厨垃圾的投诉，应在2个小时内处理完毕；建立应急预案，配置足够数量的应急收运车辆和作业人员，保证餐厨垃圾的及时收运，且应急车辆原则上不得用于其他区域共同使用，保证区域餐厨垃圾的及时收运。</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（七）安全保障要求</w:t>
      </w:r>
    </w:p>
    <w:p>
      <w:pPr>
        <w:ind w:firstLine="480"/>
        <w:rPr>
          <w:rFonts w:hint="eastAsia" w:ascii="宋体" w:hAnsi="宋体" w:cs="宋体"/>
          <w:bCs/>
          <w:color w:val="auto"/>
          <w:szCs w:val="24"/>
          <w:highlight w:val="none"/>
        </w:rPr>
      </w:pPr>
      <w:r>
        <w:rPr>
          <w:rFonts w:hint="eastAsia" w:ascii="宋体" w:hAnsi="宋体" w:cs="宋体"/>
          <w:bCs/>
          <w:color w:val="auto"/>
          <w:szCs w:val="24"/>
          <w:highlight w:val="none"/>
        </w:rPr>
        <w:t>1.供应商加强安全保障工作，确保全年不出安全责任事故。若因供应商的工作失误造成安全责任事故、工伤事故和交通事故等，由供应商承担一切责任及损失。</w:t>
      </w:r>
    </w:p>
    <w:p>
      <w:pPr>
        <w:ind w:firstLine="480"/>
        <w:rPr>
          <w:rFonts w:hint="eastAsia" w:ascii="宋体" w:hAnsi="宋体" w:cs="宋体"/>
          <w:bCs/>
          <w:color w:val="auto"/>
          <w:szCs w:val="24"/>
          <w:highlight w:val="none"/>
        </w:rPr>
      </w:pPr>
      <w:r>
        <w:rPr>
          <w:rFonts w:hint="eastAsia" w:ascii="宋体" w:hAnsi="宋体" w:cs="宋体"/>
          <w:bCs/>
          <w:color w:val="auto"/>
          <w:szCs w:val="24"/>
          <w:highlight w:val="none"/>
        </w:rPr>
        <w:t>2.供应商必须自觉接受采购人及其它管理部门的管理、监督和检查，如遇突发事故，须无条件服从、配合采购人及其它管理部门的调查。</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（八）本项目的费用测算依据</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1.为确保投标企业遵守相关法律法规规定，从而真正满足该项目服务内容和标准；供应商在投标时应对人工费（如工资）、国家法定税费与相关服务费、管理费分开报价，以确保在本项目商务价格竞争中，人工费与税费必须满足国家标准要求。采购人将在项目运营中据实核算，供应商不能以此作为商务竞争手段。</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2.人员工资标准不能低于国家强制规定的标准，劳务时间不得超过国家相应规定。</w:t>
      </w:r>
    </w:p>
    <w:p>
      <w:pPr>
        <w:ind w:firstLine="480"/>
        <w:rPr>
          <w:rFonts w:hint="eastAsia" w:ascii="宋体" w:hAnsi="宋体" w:cs="宋体"/>
          <w:color w:val="auto"/>
          <w:szCs w:val="24"/>
          <w:highlight w:val="none"/>
        </w:rPr>
      </w:pPr>
      <w:r>
        <w:rPr>
          <w:rFonts w:hint="eastAsia" w:ascii="宋体" w:hAnsi="宋体" w:cs="宋体"/>
          <w:color w:val="auto"/>
          <w:szCs w:val="24"/>
          <w:highlight w:val="none"/>
        </w:rPr>
        <w:t>3.基本工资应根据天津市2020年最新基本工资标准发放。</w:t>
      </w:r>
    </w:p>
    <w:p>
      <w:pPr>
        <w:ind w:firstLine="480"/>
        <w:rPr>
          <w:rFonts w:hint="eastAsia" w:ascii="宋体" w:hAnsi="宋体" w:cs="宋体"/>
          <w:bCs/>
          <w:color w:val="auto"/>
          <w:szCs w:val="24"/>
          <w:highlight w:val="none"/>
        </w:rPr>
      </w:pPr>
      <w:r>
        <w:rPr>
          <w:rFonts w:hint="eastAsia" w:ascii="宋体" w:hAnsi="宋体" w:cs="宋体"/>
          <w:color w:val="auto"/>
          <w:szCs w:val="24"/>
          <w:highlight w:val="none"/>
        </w:rPr>
        <w:t>4.</w:t>
      </w:r>
      <w:r>
        <w:rPr>
          <w:rFonts w:hint="eastAsia" w:ascii="宋体" w:hAnsi="宋体" w:cs="宋体"/>
          <w:bCs/>
          <w:color w:val="auto"/>
          <w:szCs w:val="24"/>
          <w:highlight w:val="none"/>
        </w:rPr>
        <w:t>供应商应与作业服务人员签订劳动合同。其工作时间、工资（含社会保险）及福利等必须符合国家、省、市相关法规规定。</w:t>
      </w:r>
    </w:p>
    <w:p>
      <w:pPr>
        <w:ind w:firstLine="480"/>
        <w:rPr>
          <w:rFonts w:hint="eastAsia" w:ascii="宋体" w:hAnsi="宋体" w:cs="宋体"/>
          <w:bCs/>
          <w:color w:val="auto"/>
          <w:szCs w:val="24"/>
          <w:highlight w:val="none"/>
        </w:rPr>
      </w:pPr>
      <w:r>
        <w:rPr>
          <w:rFonts w:hint="eastAsia" w:ascii="宋体" w:hAnsi="宋体" w:cs="宋体"/>
          <w:color w:val="auto"/>
          <w:szCs w:val="24"/>
          <w:highlight w:val="none"/>
        </w:rPr>
        <w:t>5.社会保险按五险计算。</w:t>
      </w:r>
    </w:p>
    <w:p>
      <w:pPr>
        <w:ind w:firstLine="482"/>
        <w:rPr>
          <w:rFonts w:hint="eastAsia" w:ascii="宋体" w:hAnsi="宋体" w:cs="宋体"/>
          <w:b/>
          <w:color w:val="auto"/>
          <w:szCs w:val="24"/>
          <w:highlight w:val="none"/>
        </w:rPr>
      </w:pPr>
      <w:r>
        <w:rPr>
          <w:rFonts w:hint="eastAsia" w:ascii="宋体" w:hAnsi="宋体" w:cs="宋体"/>
          <w:b/>
          <w:color w:val="auto"/>
          <w:szCs w:val="24"/>
          <w:highlight w:val="none"/>
        </w:rPr>
        <w:t>（九）考核要求</w:t>
      </w:r>
    </w:p>
    <w:p>
      <w:pPr>
        <w:ind w:firstLine="480"/>
        <w:rPr>
          <w:rFonts w:hint="eastAsia" w:ascii="宋体" w:hAnsi="宋体" w:cs="宋体"/>
          <w:bCs/>
          <w:color w:val="auto"/>
          <w:szCs w:val="24"/>
          <w:highlight w:val="none"/>
        </w:rPr>
      </w:pPr>
      <w:r>
        <w:rPr>
          <w:rFonts w:hint="eastAsia" w:ascii="宋体" w:hAnsi="宋体" w:cs="宋体"/>
          <w:bCs/>
          <w:color w:val="auto"/>
          <w:szCs w:val="24"/>
          <w:highlight w:val="none"/>
        </w:rPr>
        <w:t>1.服务范围内所有餐饮商户的餐厨废弃物按时收运率达到100%。采购人要求处理的厨余垃圾无害化处理率100%，不能无故拖延正常收运，严禁运输撒漏或处理不及时等造成二次污染，检查发现未正常收运情况每发生一次扣100元，造成严重环境污染问题严肃整改外，每次扣500元，并按倍率递增，三次后采购人有权解除合同。</w:t>
      </w:r>
    </w:p>
    <w:p>
      <w:pPr>
        <w:ind w:firstLine="480"/>
        <w:rPr>
          <w:rFonts w:hint="eastAsia" w:ascii="宋体" w:hAnsi="宋体" w:cs="宋体"/>
          <w:bCs/>
          <w:color w:val="auto"/>
          <w:szCs w:val="24"/>
          <w:highlight w:val="none"/>
        </w:rPr>
      </w:pPr>
      <w:r>
        <w:rPr>
          <w:rFonts w:hint="eastAsia" w:ascii="宋体" w:hAnsi="宋体" w:cs="宋体"/>
          <w:color w:val="auto"/>
          <w:szCs w:val="24"/>
          <w:highlight w:val="none"/>
        </w:rPr>
        <w:t>2.采购人有权监督检查垃圾清运作业质量，若在现场发现 “漏桶、落渣、漏渣”等不符合生活垃圾清运质量的现象，采购人有权要求立即整改。</w:t>
      </w:r>
    </w:p>
    <w:p>
      <w:pPr>
        <w:ind w:firstLine="480"/>
        <w:rPr>
          <w:rFonts w:hint="eastAsia" w:ascii="宋体" w:hAnsi="宋体" w:cs="宋体"/>
          <w:bCs/>
          <w:color w:val="auto"/>
          <w:szCs w:val="24"/>
          <w:highlight w:val="none"/>
        </w:rPr>
      </w:pPr>
      <w:r>
        <w:rPr>
          <w:rFonts w:hint="eastAsia" w:ascii="宋体" w:hAnsi="宋体" w:cs="宋体"/>
          <w:bCs/>
          <w:color w:val="auto"/>
          <w:szCs w:val="24"/>
          <w:highlight w:val="none"/>
        </w:rPr>
        <w:t>3.按月上报收运处理数据、试点运营费用，及时上报政府部门需要掌握的其他数据，保证上报各类数据的准确性，错、漏报每次扣50元，并按倍率递增。</w:t>
      </w:r>
    </w:p>
    <w:p>
      <w:pPr>
        <w:ind w:firstLine="480"/>
        <w:rPr>
          <w:rFonts w:hint="eastAsia" w:ascii="宋体" w:hAnsi="宋体" w:cs="宋体"/>
          <w:bCs/>
          <w:color w:val="auto"/>
          <w:szCs w:val="24"/>
          <w:highlight w:val="none"/>
        </w:rPr>
      </w:pPr>
      <w:r>
        <w:rPr>
          <w:rFonts w:hint="eastAsia" w:ascii="宋体" w:hAnsi="宋体" w:cs="宋体"/>
          <w:bCs/>
          <w:color w:val="auto"/>
          <w:szCs w:val="24"/>
          <w:highlight w:val="none"/>
        </w:rPr>
        <w:t>4.人数要求：按规定时间全员在岗，管理人员、现场工作人员等，无正当理由每少一人扣100元。</w:t>
      </w:r>
    </w:p>
    <w:p>
      <w:pPr>
        <w:ind w:firstLine="480"/>
        <w:rPr>
          <w:rFonts w:hint="eastAsia" w:ascii="宋体" w:hAnsi="宋体" w:cs="宋体"/>
          <w:bCs/>
          <w:color w:val="auto"/>
          <w:szCs w:val="24"/>
          <w:highlight w:val="none"/>
        </w:rPr>
      </w:pPr>
      <w:r>
        <w:rPr>
          <w:rFonts w:hint="eastAsia" w:ascii="宋体" w:hAnsi="宋体" w:cs="宋体"/>
          <w:bCs/>
          <w:color w:val="auto"/>
          <w:szCs w:val="24"/>
          <w:highlight w:val="none"/>
        </w:rPr>
        <w:t>5.供应商全权负责所属员工的管理使用和教育培训及后续事项的协调解决，依法加强员工队伍管理，不发生与工作相关的吃、拿、卡、要等问题，不发生有责纠纷，不发生任何弄虚作假的行为。月计扣办法：出现第一次，经确认视情扣100-500元，出现第二次，经确认视情扣1000-2000元，并提出严正警告，出现第三次，采购人有权解除合同。</w:t>
      </w:r>
    </w:p>
    <w:p>
      <w:pPr>
        <w:ind w:firstLine="480"/>
        <w:rPr>
          <w:rFonts w:hint="eastAsia" w:ascii="宋体" w:hAnsi="宋体" w:cs="宋体"/>
          <w:bCs/>
          <w:color w:val="auto"/>
          <w:szCs w:val="24"/>
          <w:highlight w:val="none"/>
        </w:rPr>
      </w:pPr>
      <w:r>
        <w:rPr>
          <w:rFonts w:hint="eastAsia" w:ascii="宋体" w:hAnsi="宋体" w:cs="宋体"/>
          <w:bCs/>
          <w:color w:val="auto"/>
          <w:szCs w:val="24"/>
          <w:highlight w:val="none"/>
        </w:rPr>
        <w:t>6.日常管理正规有序，工作场所符合安全、环保等作业要求，场所及周边环境卫生干净整洁，设备运转正常、安全设施齐全、员工着装整齐，作业无跑、冒、滴、漏等现象。每发现一个问题或一处（2平米内）脏乱，于当日内解决每个（处）扣100元，同一问题次日仍未解决依次按倍率递增。发现安全隐患每起扣200元，发现重大安全隐患立即停业整改，若供应商拒不整改，不采取实际行动，采购人有权解除合同。</w:t>
      </w:r>
    </w:p>
    <w:p>
      <w:pPr>
        <w:ind w:firstLine="480"/>
        <w:rPr>
          <w:rFonts w:hint="eastAsia" w:ascii="宋体" w:hAnsi="宋体" w:cs="宋体"/>
          <w:bCs/>
          <w:color w:val="auto"/>
          <w:szCs w:val="24"/>
          <w:highlight w:val="none"/>
        </w:rPr>
      </w:pPr>
      <w:r>
        <w:rPr>
          <w:rFonts w:hint="eastAsia" w:ascii="宋体" w:hAnsi="宋体" w:cs="宋体"/>
          <w:bCs/>
          <w:color w:val="auto"/>
          <w:szCs w:val="24"/>
          <w:highlight w:val="none"/>
        </w:rPr>
        <w:t>7.考核方式：采购人成立考核小组，每月不定时考核。</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56A419"/>
    <w:multiLevelType w:val="singleLevel"/>
    <w:tmpl w:val="A256A41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21FF8"/>
    <w:rsid w:val="28C21F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lang w:val="en-US" w:eastAsia="zh-CN" w:bidi="ar-SA"/>
    </w:rPr>
  </w:style>
  <w:style w:type="paragraph" w:styleId="3">
    <w:name w:val="heading 2"/>
    <w:basedOn w:val="1"/>
    <w:next w:val="1"/>
    <w:qFormat/>
    <w:uiPriority w:val="9"/>
    <w:pPr>
      <w:keepNext/>
      <w:keepLines/>
      <w:spacing w:before="20" w:beforeAutospacing="0" w:after="20" w:afterAutospacing="0" w:line="293" w:lineRule="auto"/>
      <w:jc w:val="left"/>
      <w:outlineLvl w:val="1"/>
    </w:pPr>
    <w:rPr>
      <w:rFonts w:ascii="Arial" w:hAnsi="Arial"/>
      <w:kern w:val="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iPriority w:val="0"/>
    <w:rPr>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2020-10-30T08:03:00Z</dcterms:created>
  <dc:creator>田小样</dc:creator>
  <cp:lastModifiedBy>田小样</cp:lastModifiedBy>
  <dcterms:modified xsi:type="dcterms:W3CDTF">2020-10-30T08:03:38Z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