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  <w:highlight w:val="none"/>
        </w:rPr>
      </w:pPr>
      <w:r>
        <w:rPr>
          <w:rFonts w:asciiTheme="minorEastAsia" w:hAnsiTheme="minorEastAsia"/>
          <w:b/>
          <w:sz w:val="32"/>
          <w:szCs w:val="32"/>
          <w:highlight w:val="none"/>
        </w:rPr>
        <w:t>项目需求书</w:t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425"/>
        </w:tabs>
        <w:spacing w:line="360" w:lineRule="auto"/>
        <w:ind w:left="426" w:firstLineChars="0"/>
        <w:rPr>
          <w:rFonts w:ascii="宋体" w:hAnsi="宋体" w:eastAsia="宋体" w:cs="Arial"/>
          <w:b/>
          <w:sz w:val="24"/>
          <w:szCs w:val="24"/>
          <w:highlight w:val="none"/>
        </w:rPr>
      </w:pPr>
      <w:r>
        <w:rPr>
          <w:rFonts w:hint="eastAsia" w:ascii="宋体" w:hAnsi="宋体" w:eastAsia="宋体" w:cs="Arial"/>
          <w:b/>
          <w:sz w:val="24"/>
          <w:szCs w:val="24"/>
          <w:highlight w:val="none"/>
        </w:rPr>
        <w:t>服务范围及要求：</w:t>
      </w:r>
    </w:p>
    <w:tbl>
      <w:tblPr>
        <w:tblStyle w:val="5"/>
        <w:tblW w:w="96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3" w:type="dxa"/>
            <w:tcBorders>
              <w:bottom w:val="nil"/>
            </w:tcBorders>
            <w:shd w:val="clear" w:color="auto" w:fill="auto"/>
          </w:tcPr>
          <w:p>
            <w:pPr>
              <w:numPr>
                <w:ilvl w:val="1"/>
                <w:numId w:val="2"/>
              </w:numPr>
              <w:tabs>
                <w:tab w:val="left" w:pos="540"/>
                <w:tab w:val="left" w:pos="640"/>
                <w:tab w:val="clear" w:pos="850"/>
              </w:tabs>
              <w:spacing w:line="360" w:lineRule="auto"/>
              <w:ind w:hanging="930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为以下</w:t>
            </w: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13座</w:t>
            </w: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公厕提供维护管理服务。</w:t>
            </w:r>
          </w:p>
          <w:tbl>
            <w:tblPr>
              <w:tblStyle w:val="5"/>
              <w:tblW w:w="8465" w:type="dxa"/>
              <w:jc w:val="center"/>
              <w:tblInd w:w="70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29"/>
              <w:gridCol w:w="5936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厕所名称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公厕具体位置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北海东路公厕</w:t>
                  </w:r>
                </w:p>
              </w:tc>
              <w:tc>
                <w:tcPr>
                  <w:tcW w:w="593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天津经济开发区北海东路与发达街交口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252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太湖路公厕</w:t>
                  </w:r>
                </w:p>
              </w:tc>
              <w:tc>
                <w:tcPr>
                  <w:tcW w:w="593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天津经济开发区太湖路与发达街交口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252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天海公寓公厕</w:t>
                  </w:r>
                </w:p>
              </w:tc>
              <w:tc>
                <w:tcPr>
                  <w:tcW w:w="593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天津经济开发区黄海路与第七大街交口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252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泰丰公园公厕</w:t>
                  </w:r>
                </w:p>
              </w:tc>
              <w:tc>
                <w:tcPr>
                  <w:tcW w:w="593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天津经济开发区第四大街与泰华路交口泰丰公园旁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2529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恂园西里公厕</w:t>
                  </w:r>
                </w:p>
              </w:tc>
              <w:tc>
                <w:tcPr>
                  <w:tcW w:w="593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天津经济开发区第二大街嘉德园后身恂园西路丁字路口处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6" w:hRule="atLeast"/>
                <w:jc w:val="center"/>
              </w:trPr>
              <w:tc>
                <w:tcPr>
                  <w:tcW w:w="2529" w:type="dxa"/>
                  <w:tcBorders>
                    <w:top w:val="nil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海通街公厕</w:t>
                  </w:r>
                </w:p>
              </w:tc>
              <w:tc>
                <w:tcPr>
                  <w:tcW w:w="5936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天津经济开发区海通街天润公寓对面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8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花园街公厕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天津经济技术开发区规划展览馆旁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天鸿公寓公厕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天津经济技术开发区西区天虹公寓旁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9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海燕公寓公厕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天津经济技术开发区西区海燕公寓旁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9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腾龙市场公厕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天津经济技术开发区第三大街菜市场院内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9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第二体育场公厕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天津经济技术开发区第二大街第二体育西侧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9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福瑞家园公厕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 xml:space="preserve">天津经济技术开发区福瑞家园临时市场院内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9" w:hRule="atLeast"/>
                <w:jc w:val="center"/>
              </w:trPr>
              <w:tc>
                <w:tcPr>
                  <w:tcW w:w="252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美克公寓公厕</w:t>
                  </w:r>
                </w:p>
              </w:tc>
              <w:tc>
                <w:tcPr>
                  <w:tcW w:w="593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kern w:val="0"/>
                      <w:sz w:val="22"/>
                      <w:highlight w:val="none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2"/>
                      <w:highlight w:val="none"/>
                    </w:rPr>
                    <w:t>天津经济技术开发区第八大街临时市场旁(美克生活区对面)</w:t>
                  </w:r>
                </w:p>
              </w:tc>
            </w:tr>
          </w:tbl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</w:p>
          <w:p>
            <w:pPr>
              <w:numPr>
                <w:ilvl w:val="1"/>
                <w:numId w:val="2"/>
              </w:numPr>
              <w:tabs>
                <w:tab w:val="left" w:pos="540"/>
                <w:tab w:val="left" w:pos="640"/>
                <w:tab w:val="clear" w:pos="850"/>
              </w:tabs>
              <w:spacing w:line="360" w:lineRule="auto"/>
              <w:ind w:hanging="930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人员要求：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620"/>
              </w:tabs>
              <w:spacing w:line="360" w:lineRule="auto"/>
              <w:ind w:left="1188" w:hanging="828"/>
              <w:rPr>
                <w:rFonts w:ascii="宋体" w:hAnsi="宋体" w:eastAsia="宋体" w:cs="Arial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szCs w:val="24"/>
                <w:highlight w:val="none"/>
              </w:rPr>
              <w:t>公厕实施24小时不间断物业式保洁服务，每处公厕至少配备</w:t>
            </w:r>
            <w:r>
              <w:rPr>
                <w:rFonts w:hint="eastAsia" w:ascii="宋体" w:hAnsi="宋体" w:eastAsia="宋体" w:cs="Arial"/>
                <w:sz w:val="24"/>
                <w:szCs w:val="24"/>
                <w:highlight w:val="none"/>
              </w:rPr>
              <w:t>3名(含3名)以上</w:t>
            </w:r>
            <w:r>
              <w:rPr>
                <w:rFonts w:hint="eastAsia" w:ascii="宋体" w:hAnsi="宋体" w:eastAsia="宋体" w:cs="Arial"/>
                <w:sz w:val="24"/>
                <w:szCs w:val="24"/>
                <w:highlight w:val="none"/>
              </w:rPr>
              <w:t>保洁人员。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620"/>
              </w:tabs>
              <w:spacing w:line="360" w:lineRule="auto"/>
              <w:ind w:left="1188" w:hanging="828"/>
              <w:rPr>
                <w:rFonts w:ascii="宋体" w:hAnsi="宋体" w:eastAsia="宋体" w:cs="Arial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szCs w:val="24"/>
                <w:highlight w:val="none"/>
              </w:rPr>
              <w:t>配备专职项目经理。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620"/>
              </w:tabs>
              <w:spacing w:line="360" w:lineRule="auto"/>
              <w:ind w:left="1188" w:hanging="828"/>
              <w:rPr>
                <w:rFonts w:ascii="宋体" w:hAnsi="宋体" w:eastAsia="宋体" w:cs="Arial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配备专职水电设备综合维修人员，具备维修项目的专业资格证书。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620"/>
              </w:tabs>
              <w:spacing w:line="360" w:lineRule="auto"/>
              <w:ind w:left="1188" w:hanging="828"/>
              <w:rPr>
                <w:rFonts w:ascii="宋体" w:hAnsi="宋体" w:eastAsia="宋体" w:cs="Arial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以上所有人员工资均不低于</w:t>
            </w:r>
            <w:r>
              <w:rPr>
                <w:rFonts w:hint="eastAsia" w:ascii="宋体" w:hAnsi="宋体" w:eastAsia="宋体" w:cs="Arial"/>
                <w:sz w:val="24"/>
                <w:highlight w:val="none"/>
              </w:rPr>
              <w:t>天津市最</w:t>
            </w:r>
            <w:r>
              <w:rPr>
                <w:rFonts w:hint="eastAsia" w:ascii="宋体" w:hAnsi="宋体" w:eastAsia="宋体" w:cs="Arial"/>
                <w:sz w:val="24"/>
                <w:highlight w:val="none"/>
              </w:rPr>
              <w:t>低工资标准，并按照《劳动法》缴纳社会保险。</w:t>
            </w:r>
          </w:p>
          <w:p>
            <w:pPr>
              <w:numPr>
                <w:ilvl w:val="1"/>
                <w:numId w:val="2"/>
              </w:numPr>
              <w:tabs>
                <w:tab w:val="left" w:pos="540"/>
                <w:tab w:val="left" w:pos="640"/>
              </w:tabs>
              <w:spacing w:line="360" w:lineRule="auto"/>
              <w:ind w:hanging="930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作业要求：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508"/>
                <w:tab w:val="left" w:pos="1620"/>
              </w:tabs>
              <w:spacing w:line="360" w:lineRule="auto"/>
              <w:ind w:left="1188" w:hanging="828"/>
              <w:rPr>
                <w:rFonts w:ascii="宋体" w:hAnsi="宋体" w:eastAsia="宋体" w:cs="Arial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保洁内容</w:t>
            </w:r>
            <w:r>
              <w:rPr>
                <w:rFonts w:hint="eastAsia" w:ascii="宋体" w:hAnsi="宋体" w:eastAsia="宋体" w:cs="Arial"/>
                <w:b/>
                <w:sz w:val="24"/>
                <w:szCs w:val="24"/>
                <w:highlight w:val="none"/>
              </w:rPr>
              <w:t xml:space="preserve">： 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line="360" w:lineRule="auto"/>
              <w:ind w:left="825" w:hanging="4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内：清理垃圾及清洁室内外垃圾桶、清洁马桶、清洁大、小便池及周边、清洁洗手盆及台面周边、清洁镜面、擦拭地面、墙立面、隔板、吊顶及灯具、清洁电气设备及软装饰、清洁设备间、更换卫生纸、洗手液、熏香剂。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line="360" w:lineRule="auto"/>
              <w:ind w:left="825" w:hanging="4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公厕外：清洁公厕门口台阶及无障碍通道、外墙壁、屋顶、窗户、纱窗。</w:t>
            </w:r>
          </w:p>
          <w:p>
            <w:pPr>
              <w:numPr>
                <w:ilvl w:val="2"/>
                <w:numId w:val="2"/>
              </w:numPr>
              <w:tabs>
                <w:tab w:val="left" w:pos="640"/>
                <w:tab w:val="left" w:pos="1180"/>
                <w:tab w:val="left" w:pos="1508"/>
                <w:tab w:val="left" w:pos="1620"/>
              </w:tabs>
              <w:spacing w:line="360" w:lineRule="auto"/>
              <w:ind w:left="1188" w:hanging="828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保洁标准：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 xml:space="preserve">洗手间内的吊顶、墙体立面、地面、隔板光洁、无污染、无积水、无杂物及乱贴乱画。   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洗手盆台面、镜面洁净无水渍。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大、小便器洁净、周边无污染、无异味。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室内外垃圾桶及周边整洁、无堆积。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公厕内玻璃、纱窗洁净，无破损。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公厕指示牌、标志牌、电器配套设施、软装饰干净整洁，无积尘、无锈痕及乱贴乱画。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残卫配套设施干净整洁，无损坏。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设备间无杂物堆积、无灰尘、无油污、无蜘蛛网。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公厕门口台阶及无障碍通道洁净，无油渍、无杂物堆积、无破损。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卫生间整体通风良好、自来水通；照明电路通；排水管道通。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公厕内卫生要求随脏随清理；每小时不少于公厕外围清洁一次；每天清理公厕所有垃圾篓内的垃圾5次以上。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须负责公厕蚊虫鼠疫的消杀、预防等工作。夏季每天最少2次蚊虫消杀，春秋季每天最少1次蚊虫消杀；定期进行毒鼠饵的补充。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hanging="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须负责13座公厕化粪池所有清掏疏通，保证公厕每日正常运转。</w:t>
            </w:r>
          </w:p>
          <w:p>
            <w:pPr>
              <w:tabs>
                <w:tab w:val="left" w:pos="640"/>
                <w:tab w:val="left" w:pos="1180"/>
                <w:tab w:val="left" w:pos="162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1.4其他要求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公厕24小时免费开放，公厕内管理员服务态度良好，严禁商品经营或收取其它费用，如发生被投诉（含网络投诉）经调查情况属实将进行严惩。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公厕所有设施设备应完好，如有损坏应及时维修，维修期间应告知市民，确保正常使用。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公厕内外设备、设施严禁改变其用途与性质。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公厕内的卫生纸、洗手液、熏香液需足量供应。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公厕内提示牌、标志牌、画框、装饰画、花盆等软装饰，如损坏或丢失，需及时补充。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若非不可抗力因素(如地震、特大飓风、洪水等)或建筑质量问题的原因，乙方须负责对管理维护期间公厕主体及设施设备，如有损失需进行赔偿。</w:t>
            </w:r>
          </w:p>
          <w:p>
            <w:pPr>
              <w:numPr>
                <w:ilvl w:val="0"/>
                <w:numId w:val="5"/>
              </w:numPr>
              <w:tabs>
                <w:tab w:val="left" w:pos="900"/>
                <w:tab w:val="clear" w:pos="425"/>
              </w:tabs>
              <w:spacing w:line="360" w:lineRule="auto"/>
              <w:ind w:left="885" w:hanging="52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应配备有效的消防器材，设有明显的安全警示标志，对管理人员定期开展安全培训。杜绝造成工伤、火灾、爆炸等事故的安全隐患，杜绝明火取暖做饭。如因管理不当导致的任何损失由乙方承担及相关法律责任人。</w:t>
            </w:r>
          </w:p>
          <w:p>
            <w:pPr>
              <w:tabs>
                <w:tab w:val="left" w:pos="900"/>
              </w:tabs>
              <w:spacing w:line="360" w:lineRule="auto"/>
              <w:rPr>
                <w:rFonts w:ascii="宋体" w:hAnsi="宋体" w:eastAsia="宋体" w:cs="Arial"/>
                <w:b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sz w:val="24"/>
                <w:highlight w:val="none"/>
              </w:rPr>
              <w:t>1.5保洁消耗品要求：</w:t>
            </w:r>
          </w:p>
          <w:p>
            <w:pPr>
              <w:tabs>
                <w:tab w:val="left" w:pos="900"/>
              </w:tabs>
              <w:spacing w:line="360" w:lineRule="auto"/>
              <w:ind w:firstLine="480" w:firstLineChars="200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保洁消耗品由乙方提供，包括卫生纸、洁厕剂、除菌液、洗手液、洗衣粉、玻璃清洁剂、不锈钢保养油、万能清洁剂、垃圾袋、芳香球、杀虫剂、熏香剂、手套、抹布、马桶刷、皮搋子、玻璃刮子、墩布、垃圾桶等。所提供的保洁消耗品须为正常渠道购进的品牌产品，须确保使用质量，如因易耗品出现质量问题，甲方有权提出更换及处罚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1.6维修服务内容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须提供公厕内所有项目维护及维修养护等服务，其中包括：公厕内监控、空调、热水器、电视机、风幕机、水龙头、开关、灯具、门锁、纱窗、吊顶、隔板等常用设施维修，管路系统、排风系统、活氧机及一体式抽水泵等重要设备维修、水电维修、公厕外观及顶部维修等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所提供的维修材料，应使用现有品牌型号或同等质量的维修配件(有质量合格证)，如因材料质量导致公厕不能正常运行、设备损坏、投诉的，采购人有权提出更换配件及处罚。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应对维修工作做详细记录的台账，对于比较重大的维修工作应及时报采购人备案。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1.7项目管理架构</w:t>
            </w:r>
          </w:p>
          <w:p>
            <w:pPr>
              <w:spacing w:line="360" w:lineRule="auto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 xml:space="preserve">    需提供项目整体管理组织架构及各架构组成的具体工作分工及职责。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1.8应急情况处理方案</w:t>
            </w:r>
          </w:p>
          <w:p>
            <w:pPr>
              <w:spacing w:line="360" w:lineRule="auto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 xml:space="preserve">     应提供遇到地震、特大飓风等特殊情况下的应急处理方案。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1.9保洁服务总体方案</w:t>
            </w:r>
          </w:p>
          <w:p>
            <w:pPr>
              <w:spacing w:line="360" w:lineRule="auto"/>
              <w:ind w:firstLine="4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需提供维护保洁服务总体方案，其中包括详细保洁作业流程、管理标准等内容。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2、移交</w:t>
            </w:r>
          </w:p>
          <w:p>
            <w:pPr>
              <w:spacing w:line="360" w:lineRule="auto"/>
              <w:ind w:firstLine="465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公厕由原服务公司移交给中标单位，双方签署交接单（说明公厕详细现状）。本项目结束后，中标单位应做好移交工作。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3、服务承诺</w:t>
            </w:r>
          </w:p>
          <w:p>
            <w:pPr>
              <w:spacing w:line="360" w:lineRule="auto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 xml:space="preserve">    需提供针对本项目的保洁服务承诺。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4、处罚规定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 w:eastAsia="宋体" w:cs="Arial"/>
                <w:sz w:val="24"/>
                <w:highlight w:val="none"/>
              </w:rPr>
            </w:pPr>
            <w:r>
              <w:rPr>
                <w:rFonts w:hint="eastAsia" w:ascii="宋体" w:hAnsi="宋体" w:eastAsia="宋体" w:cs="Arial"/>
                <w:sz w:val="24"/>
                <w:highlight w:val="none"/>
              </w:rPr>
              <w:t>日常及月度综合检查实行实查实扣款制度，扣款金额与月度综合评分挂钩，如当月扣款5000元，月度综合评分即为95分；当月扣款10000元，月度综合评分即为90分；当月扣款20000元，月度综合评分即为85分，当月扣款50000元，月度综合评分即为80分。</w:t>
            </w:r>
            <w:r>
              <w:rPr>
                <w:rFonts w:ascii="宋体" w:hAnsi="宋体" w:eastAsia="宋体" w:cs="Arial"/>
                <w:sz w:val="24"/>
                <w:highlight w:val="none"/>
              </w:rPr>
              <w:t>当月综合评分值为90分以下，</w:t>
            </w:r>
            <w:r>
              <w:rPr>
                <w:rFonts w:hint="eastAsia" w:ascii="宋体" w:hAnsi="宋体" w:eastAsia="宋体" w:cs="Arial"/>
                <w:sz w:val="24"/>
                <w:highlight w:val="none"/>
              </w:rPr>
              <w:t>甲方</w:t>
            </w:r>
            <w:r>
              <w:rPr>
                <w:rFonts w:ascii="宋体" w:hAnsi="宋体" w:eastAsia="宋体" w:cs="Arial"/>
                <w:sz w:val="24"/>
                <w:highlight w:val="none"/>
              </w:rPr>
              <w:t>向</w:t>
            </w:r>
            <w:r>
              <w:rPr>
                <w:rFonts w:hint="eastAsia" w:ascii="宋体" w:hAnsi="宋体" w:eastAsia="宋体" w:cs="Arial"/>
                <w:sz w:val="24"/>
                <w:highlight w:val="none"/>
              </w:rPr>
              <w:t>乙方</w:t>
            </w:r>
            <w:r>
              <w:rPr>
                <w:rFonts w:ascii="宋体" w:hAnsi="宋体" w:eastAsia="宋体" w:cs="Arial"/>
                <w:sz w:val="24"/>
                <w:highlight w:val="none"/>
              </w:rPr>
              <w:t>发出黄牌警告，书面通知</w:t>
            </w:r>
            <w:r>
              <w:rPr>
                <w:rFonts w:hint="eastAsia" w:ascii="宋体" w:hAnsi="宋体" w:eastAsia="宋体" w:cs="Arial"/>
                <w:sz w:val="24"/>
                <w:highlight w:val="none"/>
              </w:rPr>
              <w:t>乙方单位</w:t>
            </w:r>
            <w:r>
              <w:rPr>
                <w:rFonts w:ascii="宋体" w:hAnsi="宋体" w:eastAsia="宋体" w:cs="Arial"/>
                <w:sz w:val="24"/>
                <w:highlight w:val="none"/>
              </w:rPr>
              <w:t>进行整顿；每年黄牌警告超过2次，</w:t>
            </w:r>
            <w:r>
              <w:rPr>
                <w:rFonts w:hint="eastAsia" w:ascii="宋体" w:hAnsi="宋体" w:eastAsia="宋体" w:cs="Arial"/>
                <w:sz w:val="24"/>
                <w:highlight w:val="none"/>
              </w:rPr>
              <w:t>甲方</w:t>
            </w:r>
            <w:r>
              <w:rPr>
                <w:rFonts w:ascii="宋体" w:hAnsi="宋体" w:eastAsia="宋体" w:cs="Arial"/>
                <w:sz w:val="24"/>
                <w:highlight w:val="none"/>
              </w:rPr>
              <w:t>有权立即终止本承包合同。</w:t>
            </w:r>
          </w:p>
          <w:p>
            <w:pPr>
              <w:tabs>
                <w:tab w:val="left" w:pos="540"/>
                <w:tab w:val="left" w:pos="640"/>
              </w:tabs>
              <w:spacing w:line="360" w:lineRule="auto"/>
              <w:rPr>
                <w:rFonts w:ascii="宋体" w:hAnsi="宋体" w:eastAsia="宋体" w:cs="Arial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Arial"/>
                <w:b/>
                <w:bCs/>
                <w:sz w:val="24"/>
                <w:szCs w:val="24"/>
                <w:highlight w:val="none"/>
              </w:rPr>
              <w:t>5、处罚标准</w:t>
            </w:r>
          </w:p>
          <w:tbl>
            <w:tblPr>
              <w:tblStyle w:val="5"/>
              <w:tblW w:w="8925" w:type="dxa"/>
              <w:tblInd w:w="93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4"/>
              <w:gridCol w:w="567"/>
              <w:gridCol w:w="5127"/>
              <w:gridCol w:w="1559"/>
              <w:gridCol w:w="948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1" w:hRule="atLeast"/>
              </w:trPr>
              <w:tc>
                <w:tcPr>
                  <w:tcW w:w="8925" w:type="dxa"/>
                  <w:gridSpan w:val="5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 w:val="32"/>
                      <w:szCs w:val="32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 w:val="32"/>
                      <w:szCs w:val="32"/>
                      <w:highlight w:val="none"/>
                    </w:rPr>
                    <w:t>公厕维护管理验评标准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  <w:t>项目</w:t>
                  </w:r>
                </w:p>
              </w:tc>
              <w:tc>
                <w:tcPr>
                  <w:tcW w:w="5694" w:type="dxa"/>
                  <w:gridSpan w:val="2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  <w:t>考核内容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  <w:t>扣款标准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bottom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  <w:t>备注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restart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  <w:t>保洁</w:t>
                  </w: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公厕内地面不洁，有积水、脚印(大厅、男卫、女卫、残卫)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5元/座</w:t>
                  </w:r>
                  <w:r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  <w:t>•</w:t>
                  </w: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公厕内立面不洁，有水印、乱贴乱画(大厅、男卫、女卫、残卫)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5元/座</w:t>
                  </w:r>
                  <w:r>
                    <w:rPr>
                      <w:rFonts w:hint="cs" w:ascii="宋体" w:hAnsi="宋体" w:eastAsia="宋体" w:cs="Times New Roman"/>
                      <w:kern w:val="0"/>
                      <w:szCs w:val="21"/>
                      <w:highlight w:val="none"/>
                    </w:rPr>
                    <w:t>•</w:t>
                  </w: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3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公厕内小便池、马桶、蹲位及周边卫生不洁，有污垢、粪便、杂物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4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公厕内外指示牌、标志牌、装饰品不整洁，有乱贴乱画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公厕内设施、设备有积尘、污垢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6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镜面映像应清晰、无水渍、锈迹，不锈钢扶手、通风玻璃等无水渍（迹），否则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7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公厕内有恶臭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8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小便器未按时投放或更换（每周2次）除臭球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9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垃圾篓内垃圾应及时清理,超过容积2/3的，否则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管理间、设备间应保持整洁，否则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20元/间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11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工具、杂物乱堆乱放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12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瓷兜堵塞不通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13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隔板（天花板）或其它易腐烂变质的材料不得直接用水喷淋冲洗，否则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14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公厕外围周围环境不清洁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15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公厕门口地面、楼梯应光洁，无垃圾，无积水，否则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20元/处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16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公厕门口、屋顶、窗台、地漏、拖布池有蜘蛛网</w:t>
                  </w:r>
                </w:p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杂草、烟头、废弃物垃圾等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10元/项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17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公厕内有蚊虫鼠疫未及时治理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18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卫生纸，洗手液、熏香等消耗品应供应充足否则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19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保洁公厕的过程中不得污染或破坏周围的绿化，否则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公厕化粪池满溢，未及时清掏，影响正常使用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21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清粪后不清走粪渣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22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清渣后地面不冲洗或地面冲洗干净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23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公厕开放期间，专人管理公厕保洁人员擅离岗位的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200元/人·次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24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管理人员和保洁人员必须穿着统一工作服、佩证上岗，工作服应整洁、无破损，否则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10元/人·次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nil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25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公厕清洁时，应在门口或显眼处放置告示牌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restart"/>
                  <w:tcBorders>
                    <w:top w:val="single" w:color="000000" w:sz="8" w:space="0"/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  <w:t>设备</w:t>
                  </w:r>
                </w:p>
                <w:p>
                  <w:pPr>
                    <w:rPr>
                      <w:rFonts w:ascii="宋体" w:hAnsi="宋体" w:eastAsia="宋体" w:cs="Times New Roman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26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公厕的所有设施设备应完好，闲置、补充、维修的应符合甲方要求的标准，否则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50元/个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27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公厕设施遭到被盗或破坏时,未及时补充维修，影响正常使用，否则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100元/件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28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擅自更改公厕内设施设备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500元/次·项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29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擅自关闭公厕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30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维修时，应在明显位置张贴告示告知市民，否则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31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无消防器材或消防器材不能正常使用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restar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  <w:t>其他</w:t>
                  </w: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32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擅自公厕内经营或收费(含广告机、播音广告)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33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遭居民投诉，问题核实属实的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500元/次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8" w:hRule="atLeast"/>
              </w:trPr>
              <w:tc>
                <w:tcPr>
                  <w:tcW w:w="724" w:type="dxa"/>
                  <w:vMerge w:val="continue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kern w:val="0"/>
                      <w:szCs w:val="21"/>
                      <w:highlight w:val="none"/>
                    </w:rPr>
                  </w:pPr>
                </w:p>
              </w:tc>
              <w:tc>
                <w:tcPr>
                  <w:tcW w:w="56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34</w:t>
                  </w:r>
                </w:p>
              </w:tc>
              <w:tc>
                <w:tcPr>
                  <w:tcW w:w="5127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停用公厕有弄虚作假行为的</w:t>
                  </w:r>
                </w:p>
              </w:tc>
              <w:tc>
                <w:tcPr>
                  <w:tcW w:w="1559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Cs w:val="21"/>
                      <w:highlight w:val="none"/>
                    </w:rPr>
                    <w:t>200元/次</w:t>
                  </w:r>
                </w:p>
              </w:tc>
              <w:tc>
                <w:tcPr>
                  <w:tcW w:w="948" w:type="dxa"/>
                  <w:tcBorders>
                    <w:top w:val="single" w:color="000000" w:sz="8" w:space="0"/>
                    <w:left w:val="nil"/>
                    <w:bottom w:val="single" w:color="000000" w:sz="8" w:space="0"/>
                    <w:right w:val="single" w:color="000000" w:sz="8" w:space="0"/>
                  </w:tcBorders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kern w:val="0"/>
                      <w:szCs w:val="21"/>
                      <w:highlight w:val="none"/>
                    </w:rPr>
                  </w:pPr>
                </w:p>
              </w:tc>
            </w:tr>
          </w:tbl>
          <w:p>
            <w:pPr>
              <w:tabs>
                <w:tab w:val="left" w:pos="900"/>
                <w:tab w:val="left" w:pos="1080"/>
              </w:tabs>
              <w:adjustRightInd w:val="0"/>
              <w:snapToGrid w:val="0"/>
              <w:spacing w:line="360" w:lineRule="auto"/>
              <w:rPr>
                <w:rFonts w:ascii="宋体" w:hAnsi="宋体" w:eastAsia="宋体" w:cs="Times New Roman"/>
                <w:sz w:val="24"/>
                <w:szCs w:val="24"/>
                <w:highlight w:val="none"/>
              </w:rPr>
            </w:pP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  <w:highlight w:val="none"/>
        </w:rPr>
      </w:pPr>
    </w:p>
    <w:p>
      <w:pPr>
        <w:pStyle w:val="3"/>
        <w:jc w:val="center"/>
        <w:rPr>
          <w:sz w:val="32"/>
          <w:szCs w:val="32"/>
          <w:highlight w:val="none"/>
        </w:rPr>
      </w:pPr>
    </w:p>
    <w:p>
      <w:pPr>
        <w:pStyle w:val="3"/>
        <w:jc w:val="center"/>
        <w:rPr>
          <w:sz w:val="32"/>
          <w:szCs w:val="32"/>
          <w:highlight w:val="none"/>
        </w:rPr>
      </w:pPr>
    </w:p>
    <w:p>
      <w:pPr>
        <w:pStyle w:val="3"/>
        <w:jc w:val="center"/>
        <w:rPr>
          <w:sz w:val="32"/>
          <w:szCs w:val="32"/>
          <w:highlight w:val="none"/>
        </w:rPr>
      </w:pPr>
    </w:p>
    <w:p>
      <w:pPr>
        <w:rPr>
          <w:sz w:val="32"/>
          <w:szCs w:val="32"/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0268"/>
    <w:multiLevelType w:val="multilevel"/>
    <w:tmpl w:val="161D0268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56769664"/>
    <w:multiLevelType w:val="multilevel"/>
    <w:tmpl w:val="5676966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969"/>
        </w:tabs>
        <w:ind w:left="3969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67698A0"/>
    <w:multiLevelType w:val="singleLevel"/>
    <w:tmpl w:val="567698A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76990A"/>
    <w:multiLevelType w:val="singleLevel"/>
    <w:tmpl w:val="5676990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769A32"/>
    <w:multiLevelType w:val="singleLevel"/>
    <w:tmpl w:val="56769A3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20E81"/>
    <w:rsid w:val="43D20E8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32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2018-04-20T10:25:00Z</dcterms:created>
  <dc:creator>影子</dc:creator>
  <cp:lastModifiedBy>影子</cp:lastModifiedBy>
  <dcterms:modified xsi:type="dcterms:W3CDTF">2018-04-20T10:26:55Z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