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451"/>
        <w:jc w:val="center"/>
        <w:rPr>
          <w:rStyle w:val="5"/>
          <w:rFonts w:hint="eastAsia" w:ascii="宋体" w:hAnsi="宋体" w:cs="宋体"/>
          <w:b/>
          <w:bCs/>
          <w:szCs w:val="24"/>
        </w:rPr>
      </w:pPr>
      <w:bookmarkStart w:id="0" w:name="_Toc451803896"/>
      <w:bookmarkStart w:id="1" w:name="_Toc3124"/>
      <w:bookmarkStart w:id="2" w:name="_Toc26627"/>
      <w:bookmarkStart w:id="3" w:name="_Toc4450"/>
      <w:bookmarkStart w:id="4" w:name="_Toc25556"/>
      <w:bookmarkStart w:id="5" w:name="_Toc22185"/>
      <w:bookmarkStart w:id="6" w:name="_Toc1787"/>
      <w:bookmarkStart w:id="7" w:name="_Toc8632"/>
      <w:bookmarkStart w:id="8" w:name="_Toc26435"/>
      <w:bookmarkStart w:id="9" w:name="_Toc8354"/>
      <w:bookmarkStart w:id="10" w:name="_Toc7124"/>
      <w:bookmarkStart w:id="11" w:name="_Toc18562"/>
      <w:r>
        <w:rPr>
          <w:rStyle w:val="5"/>
          <w:rFonts w:hint="eastAsia" w:ascii="宋体" w:hAnsi="宋体" w:cs="宋体"/>
          <w:b/>
          <w:bCs/>
          <w:szCs w:val="24"/>
        </w:rPr>
        <w:t>项目需求书</w:t>
      </w:r>
      <w:bookmarkEnd w:id="0"/>
      <w:bookmarkEnd w:id="1"/>
    </w:p>
    <w:bookmarkEnd w:id="2"/>
    <w:bookmarkEnd w:id="3"/>
    <w:bookmarkEnd w:id="4"/>
    <w:bookmarkEnd w:id="5"/>
    <w:bookmarkEnd w:id="6"/>
    <w:bookmarkEnd w:id="7"/>
    <w:bookmarkEnd w:id="8"/>
    <w:bookmarkEnd w:id="9"/>
    <w:bookmarkEnd w:id="10"/>
    <w:bookmarkEnd w:id="11"/>
    <w:p>
      <w:pPr>
        <w:numPr>
          <w:ilvl w:val="0"/>
          <w:numId w:val="1"/>
        </w:numPr>
        <w:ind w:firstLineChars="0"/>
        <w:rPr>
          <w:rFonts w:hint="eastAsia" w:ascii="宋体" w:hAnsi="宋体" w:cs="宋体"/>
        </w:rPr>
      </w:pPr>
      <w:r>
        <w:rPr>
          <w:rFonts w:hint="eastAsia" w:ascii="宋体" w:hAnsi="宋体" w:cs="宋体"/>
        </w:rPr>
        <w:t>甲方提供现有垃圾转运站，面积约100㎡，在不破坏现结构的前提下，乙方负责提升改造并配置垃圾渗滤液处理设备，改造中的土建及设备的全部投入由乙方投资。处理过程中产生的水费、电费等相关费用由乙方支付。</w:t>
      </w:r>
    </w:p>
    <w:p>
      <w:pPr>
        <w:numPr>
          <w:ilvl w:val="0"/>
          <w:numId w:val="1"/>
        </w:numPr>
        <w:ind w:firstLineChars="0"/>
        <w:rPr>
          <w:rFonts w:hint="eastAsia" w:ascii="宋体" w:hAnsi="宋体" w:cs="宋体"/>
        </w:rPr>
      </w:pPr>
      <w:r>
        <w:rPr>
          <w:rFonts w:hint="eastAsia" w:ascii="宋体" w:hAnsi="宋体" w:cs="宋体"/>
        </w:rPr>
        <w:t>乙方需要提供合理的工艺布局和流程图。</w:t>
      </w:r>
    </w:p>
    <w:p>
      <w:pPr>
        <w:numPr>
          <w:ilvl w:val="0"/>
          <w:numId w:val="1"/>
        </w:numPr>
        <w:ind w:firstLineChars="0"/>
        <w:rPr>
          <w:rFonts w:hint="eastAsia" w:ascii="宋体" w:hAnsi="宋体" w:cs="宋体"/>
          <w:highlight w:val="none"/>
        </w:rPr>
      </w:pPr>
      <w:r>
        <w:rPr>
          <w:rFonts w:hint="eastAsia" w:ascii="宋体" w:hAnsi="宋体" w:cs="宋体"/>
        </w:rPr>
        <w:t>乙方在规定时间内完成转运</w:t>
      </w:r>
      <w:r>
        <w:rPr>
          <w:rFonts w:hint="eastAsia" w:ascii="宋体" w:hAnsi="宋体" w:cs="宋体"/>
          <w:highlight w:val="none"/>
        </w:rPr>
        <w:t>站改造和设施设备安装调试，经过规定的试运行阶段后，保证垃圾渗滤液日处理能力达到100吨/天的标准，以应对因季节等因素造成的增量。</w:t>
      </w:r>
      <w:r>
        <w:rPr>
          <w:rFonts w:hint="eastAsia" w:ascii="宋体" w:hAnsi="宋体" w:cs="宋体"/>
          <w:highlight w:val="none"/>
          <w:lang w:val="en-US" w:eastAsia="zh-CN"/>
        </w:rPr>
        <w:t>本项目预计需处理总量为54750吨。</w:t>
      </w:r>
    </w:p>
    <w:p>
      <w:pPr>
        <w:numPr>
          <w:ilvl w:val="0"/>
          <w:numId w:val="1"/>
        </w:numPr>
        <w:ind w:firstLineChars="0"/>
        <w:rPr>
          <w:rFonts w:hint="eastAsia" w:ascii="宋体" w:hAnsi="宋体" w:cs="宋体"/>
        </w:rPr>
      </w:pPr>
      <w:r>
        <w:rPr>
          <w:rFonts w:hint="eastAsia" w:ascii="宋体" w:hAnsi="宋体" w:cs="宋体"/>
          <w:highlight w:val="none"/>
        </w:rPr>
        <w:t>甲方负责将渗滤液处理后残留的无水固体废弃</w:t>
      </w:r>
      <w:r>
        <w:rPr>
          <w:rFonts w:hint="eastAsia" w:ascii="宋体" w:hAnsi="宋体" w:cs="宋体"/>
        </w:rPr>
        <w:t>物转运至生活垃圾处理终端进行无害化处理，乙方负责对渗滤液处理后的废水和其他残留废弃物进行无害化处理。处理后的废水必须符合天津市地方标准的三级标准。</w:t>
      </w:r>
    </w:p>
    <w:p>
      <w:pPr>
        <w:numPr>
          <w:ilvl w:val="0"/>
          <w:numId w:val="1"/>
        </w:numPr>
        <w:ind w:firstLineChars="0"/>
        <w:rPr>
          <w:rFonts w:hint="eastAsia" w:ascii="宋体" w:hAnsi="宋体" w:cs="宋体"/>
        </w:rPr>
      </w:pPr>
      <w:r>
        <w:rPr>
          <w:rFonts w:hint="eastAsia" w:ascii="宋体" w:hAnsi="宋体" w:cs="宋体"/>
        </w:rPr>
        <w:t>甲方统一收集、运输生活垃圾渗滤液至转运站，在甲方运力不足时乙方须无条件补充运力达到日处理量的要求。</w:t>
      </w:r>
    </w:p>
    <w:p>
      <w:pPr>
        <w:numPr>
          <w:ilvl w:val="0"/>
          <w:numId w:val="1"/>
        </w:numPr>
        <w:ind w:firstLineChars="0"/>
        <w:rPr>
          <w:rFonts w:hint="eastAsia" w:ascii="宋体" w:hAnsi="宋体" w:cs="宋体"/>
        </w:rPr>
      </w:pPr>
      <w:r>
        <w:rPr>
          <w:rFonts w:hint="eastAsia" w:ascii="宋体" w:hAnsi="宋体" w:cs="宋体"/>
        </w:rPr>
        <w:t>乙方处理过程中不能产生恶臭、噪声和不符合标准的污水排放等扰民或污染环境的问题。如因乙方处理过程中的相关因素产生居民投诉信访案件或环保部门督办案件，乙方需立即进行整改并根据规定时限妥善处理相关案件，若不能在规定时限内妥善处理，乙方无理由撤场同时担负所有投入的损失。</w:t>
      </w:r>
    </w:p>
    <w:p>
      <w:pPr>
        <w:numPr>
          <w:ilvl w:val="0"/>
          <w:numId w:val="1"/>
        </w:numPr>
        <w:ind w:firstLineChars="0"/>
        <w:rPr>
          <w:rFonts w:hint="eastAsia" w:ascii="宋体" w:hAnsi="宋体" w:cs="宋体"/>
          <w:highlight w:val="none"/>
        </w:rPr>
      </w:pPr>
      <w:r>
        <w:rPr>
          <w:rFonts w:hint="eastAsia" w:ascii="宋体" w:hAnsi="宋体" w:cs="宋体"/>
        </w:rPr>
        <w:t>乙方如果改造完毕开始运营，</w:t>
      </w:r>
      <w:r>
        <w:rPr>
          <w:rFonts w:hint="eastAsia" w:ascii="宋体" w:hAnsi="宋体" w:cs="宋体"/>
          <w:highlight w:val="none"/>
        </w:rPr>
        <w:t>达不到之前制定的排放标准，在规定的时间内未能调试好的情况，乙方无理由撤场同时承担所有投入的损失。</w:t>
      </w:r>
    </w:p>
    <w:p>
      <w:pPr>
        <w:numPr>
          <w:ilvl w:val="0"/>
          <w:numId w:val="1"/>
        </w:numPr>
        <w:ind w:firstLineChars="0"/>
        <w:rPr>
          <w:rFonts w:hint="eastAsia" w:ascii="宋体" w:hAnsi="宋体" w:cs="宋体"/>
          <w:highlight w:val="none"/>
        </w:rPr>
      </w:pPr>
      <w:r>
        <w:rPr>
          <w:rFonts w:hint="eastAsia" w:ascii="宋体" w:hAnsi="宋体" w:cs="宋体"/>
          <w:highlight w:val="none"/>
        </w:rPr>
        <w:t>甲方根据乙方每季度实际垃圾渗滤液处理量按照170元/吨支付处理费。</w:t>
      </w:r>
    </w:p>
    <w:p>
      <w:pPr>
        <w:numPr>
          <w:ilvl w:val="0"/>
          <w:numId w:val="1"/>
        </w:numPr>
        <w:ind w:firstLineChars="0"/>
        <w:rPr>
          <w:rFonts w:hint="eastAsia" w:ascii="宋体" w:hAnsi="宋体" w:cs="宋体"/>
          <w:highlight w:val="none"/>
        </w:rPr>
      </w:pPr>
      <w:r>
        <w:rPr>
          <w:rFonts w:hint="eastAsia" w:ascii="宋体" w:hAnsi="宋体" w:cs="宋体"/>
          <w:highlight w:val="none"/>
          <w:lang w:val="en-US" w:eastAsia="zh-CN"/>
        </w:rPr>
        <w:t>★</w:t>
      </w:r>
      <w:r>
        <w:rPr>
          <w:rFonts w:hint="eastAsia" w:ascii="宋体" w:hAnsi="宋体" w:cs="宋体"/>
          <w:highlight w:val="none"/>
        </w:rPr>
        <w:t>在垃圾渗滤液处理过程中不能</w:t>
      </w:r>
      <w:bookmarkStart w:id="12" w:name="_GoBack"/>
      <w:bookmarkEnd w:id="12"/>
      <w:r>
        <w:rPr>
          <w:rFonts w:hint="eastAsia" w:ascii="宋体" w:hAnsi="宋体" w:cs="宋体"/>
          <w:highlight w:val="none"/>
        </w:rPr>
        <w:t>产生浓缩液</w:t>
      </w:r>
      <w:r>
        <w:rPr>
          <w:rFonts w:hint="eastAsia" w:ascii="宋体" w:hAnsi="宋体" w:cs="宋体"/>
          <w:highlight w:val="none"/>
          <w:lang w:eastAsia="zh-CN"/>
        </w:rPr>
        <w:t>。</w:t>
      </w:r>
    </w:p>
    <w:p>
      <w:pPr>
        <w:numPr>
          <w:ilvl w:val="0"/>
          <w:numId w:val="0"/>
        </w:numPr>
        <w:ind w:firstLine="720" w:firstLineChars="300"/>
        <w:rPr>
          <w:rFonts w:hint="eastAsia" w:ascii="宋体" w:hAnsi="宋体" w:cs="宋体"/>
          <w:highlight w:val="none"/>
        </w:rPr>
      </w:pPr>
      <w:r>
        <w:rPr>
          <w:rFonts w:hint="eastAsia" w:ascii="宋体" w:hAnsi="宋体" w:cs="宋体"/>
          <w:highlight w:val="none"/>
          <w:lang w:val="en-US" w:eastAsia="zh-CN"/>
        </w:rPr>
        <w:t>注：标★号为实质性条款，不满足予以废标处理。</w:t>
      </w:r>
      <w:r>
        <w:rPr>
          <w:rFonts w:hint="eastAsia" w:ascii="宋体" w:hAnsi="宋体" w:cs="宋体"/>
          <w:highlight w:val="none"/>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43F51"/>
    <w:multiLevelType w:val="multilevel"/>
    <w:tmpl w:val="0F543F51"/>
    <w:lvl w:ilvl="0" w:tentative="0">
      <w:start w:val="1"/>
      <w:numFmt w:val="chineseCountingThousand"/>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3E32B9"/>
    <w:rsid w:val="5B3E32B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648" w:firstLineChars="200"/>
      <w:jc w:val="both"/>
    </w:pPr>
    <w:rPr>
      <w:rFonts w:ascii="Times New Roman" w:hAnsi="Times New Roman" w:eastAsia="宋体" w:cs="Times New Roman"/>
      <w:kern w:val="2"/>
      <w:sz w:val="24"/>
      <w:lang w:val="en-US" w:eastAsia="zh-CN" w:bidi="ar-SA"/>
    </w:rPr>
  </w:style>
  <w:style w:type="paragraph" w:styleId="2">
    <w:name w:val="heading 2"/>
    <w:basedOn w:val="1"/>
    <w:next w:val="1"/>
    <w:link w:val="5"/>
    <w:qFormat/>
    <w:uiPriority w:val="9"/>
    <w:pPr>
      <w:keepNext/>
      <w:keepLines/>
      <w:spacing w:before="0" w:beforeLines="0" w:beforeAutospacing="0" w:after="0" w:afterLines="0" w:afterAutospacing="0" w:line="293" w:lineRule="auto"/>
      <w:jc w:val="left"/>
      <w:outlineLvl w:val="1"/>
    </w:pPr>
    <w:rPr>
      <w:rFonts w:ascii="Arial" w:hAnsi="Arial"/>
      <w:kern w:val="0"/>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5">
    <w:name w:val="标题 2 Char"/>
    <w:basedOn w:val="3"/>
    <w:link w:val="2"/>
    <w:uiPriority w:val="9"/>
    <w:rPr>
      <w:rFonts w:ascii="Arial" w:hAnsi="Arial"/>
      <w:kern w:val="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2018-05-07T02:37:00Z</dcterms:created>
  <dc:creator>dell</dc:creator>
  <cp:lastModifiedBy>dell</cp:lastModifiedBy>
  <dcterms:modified xsi:type="dcterms:W3CDTF">2018-05-07T03:41:02Z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