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7D6" w:rsidRDefault="00BC57D6" w:rsidP="00BC57D6">
      <w:pPr>
        <w:pStyle w:val="1"/>
        <w:spacing w:beforeLines="0" w:afterLines="0" w:line="360" w:lineRule="auto"/>
        <w:rPr>
          <w:rFonts w:hint="eastAsia"/>
          <w:color w:val="auto"/>
          <w:sz w:val="32"/>
        </w:rPr>
      </w:pPr>
      <w:r w:rsidRPr="00344E4F">
        <w:rPr>
          <w:color w:val="auto"/>
          <w:sz w:val="32"/>
        </w:rPr>
        <w:t>用户需求书</w:t>
      </w:r>
    </w:p>
    <w:p w:rsidR="00BC57D6" w:rsidRDefault="00BC57D6" w:rsidP="00BC57D6">
      <w:pPr>
        <w:pStyle w:val="1"/>
        <w:spacing w:beforeLines="0" w:afterLines="0" w:line="360" w:lineRule="auto"/>
        <w:rPr>
          <w:rFonts w:ascii="宋体" w:hAnsi="宋体" w:hint="eastAsia"/>
          <w:sz w:val="28"/>
        </w:rPr>
      </w:pPr>
      <w:r w:rsidRPr="005A3436">
        <w:rPr>
          <w:rFonts w:ascii="宋体" w:hAnsi="宋体"/>
          <w:sz w:val="28"/>
        </w:rPr>
        <w:t>一</w:t>
      </w:r>
      <w:r w:rsidRPr="005A3436"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sz w:val="28"/>
        </w:rPr>
        <w:t>天津市公安局出入境管理局</w:t>
      </w:r>
      <w:r w:rsidRPr="005A3436">
        <w:rPr>
          <w:rFonts w:ascii="宋体" w:hAnsi="宋体" w:hint="eastAsia"/>
          <w:sz w:val="28"/>
        </w:rPr>
        <w:t>保安人员定员定岗表</w:t>
      </w:r>
    </w:p>
    <w:p w:rsidR="00BC57D6" w:rsidRPr="00E11D49" w:rsidRDefault="00BC57D6" w:rsidP="00BC57D6">
      <w:pPr>
        <w:jc w:val="left"/>
        <w:rPr>
          <w:sz w:val="44"/>
          <w:szCs w:val="52"/>
        </w:rPr>
      </w:pPr>
      <w:r>
        <w:rPr>
          <w:rFonts w:ascii="宋体" w:hAnsi="宋体" w:hint="eastAsia"/>
          <w:sz w:val="28"/>
        </w:rPr>
        <w:t>本次采购预算为：</w:t>
      </w:r>
      <w:r>
        <w:rPr>
          <w:rFonts w:ascii="宋体" w:hAnsi="宋体" w:cs="宋体" w:hint="eastAsia"/>
          <w:kern w:val="0"/>
          <w:sz w:val="24"/>
        </w:rPr>
        <w:t>134.4万元。</w:t>
      </w:r>
    </w:p>
    <w:p w:rsidR="00BC57D6" w:rsidRPr="00E11D49" w:rsidRDefault="00BC57D6" w:rsidP="00BC57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7"/>
        <w:gridCol w:w="1288"/>
        <w:gridCol w:w="1100"/>
        <w:gridCol w:w="1641"/>
        <w:gridCol w:w="3336"/>
      </w:tblGrid>
      <w:tr w:rsidR="00BC57D6" w:rsidRPr="00E11D49" w:rsidTr="00EA27B1">
        <w:trPr>
          <w:trHeight w:val="462"/>
        </w:trPr>
        <w:tc>
          <w:tcPr>
            <w:tcW w:w="1157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工作地点</w:t>
            </w:r>
          </w:p>
        </w:tc>
        <w:tc>
          <w:tcPr>
            <w:tcW w:w="128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1101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人数</w:t>
            </w:r>
          </w:p>
        </w:tc>
        <w:tc>
          <w:tcPr>
            <w:tcW w:w="1642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上班时间</w:t>
            </w:r>
          </w:p>
        </w:tc>
        <w:tc>
          <w:tcPr>
            <w:tcW w:w="333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BC57D6" w:rsidRPr="00E11D49" w:rsidTr="00EA27B1">
        <w:trPr>
          <w:trHeight w:val="462"/>
        </w:trPr>
        <w:tc>
          <w:tcPr>
            <w:tcW w:w="1157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局本部</w:t>
            </w:r>
          </w:p>
        </w:tc>
        <w:tc>
          <w:tcPr>
            <w:tcW w:w="128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自助发证室</w:t>
            </w:r>
          </w:p>
        </w:tc>
        <w:tc>
          <w:tcPr>
            <w:tcW w:w="1101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7:00至21:00</w:t>
            </w:r>
          </w:p>
        </w:tc>
        <w:tc>
          <w:tcPr>
            <w:tcW w:w="333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两班倒，无节假日</w:t>
            </w:r>
          </w:p>
        </w:tc>
      </w:tr>
      <w:tr w:rsidR="00BC57D6" w:rsidRPr="00E11D49" w:rsidTr="00EA27B1">
        <w:trPr>
          <w:trHeight w:val="1369"/>
        </w:trPr>
        <w:tc>
          <w:tcPr>
            <w:tcW w:w="1157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局本部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门口、大厅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8:00至17:00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一、二楼大厅各1人，正门2人，地下车库门口1日人，科学器材楼值班室1人，机动巡视2人。每周六支援服务点。</w:t>
            </w:r>
          </w:p>
        </w:tc>
      </w:tr>
      <w:tr w:rsidR="00BC57D6" w:rsidRPr="00E11D49" w:rsidTr="00EA27B1">
        <w:trPr>
          <w:trHeight w:val="462"/>
        </w:trPr>
        <w:tc>
          <w:tcPr>
            <w:tcW w:w="1157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金庭道服务点</w:t>
            </w:r>
          </w:p>
        </w:tc>
        <w:tc>
          <w:tcPr>
            <w:tcW w:w="128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门口、大厅</w:t>
            </w:r>
          </w:p>
        </w:tc>
        <w:tc>
          <w:tcPr>
            <w:tcW w:w="1101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8:00至17:00</w:t>
            </w:r>
          </w:p>
        </w:tc>
        <w:tc>
          <w:tcPr>
            <w:tcW w:w="333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BC57D6" w:rsidRPr="00E11D49" w:rsidTr="00EA27B1">
        <w:trPr>
          <w:trHeight w:val="923"/>
        </w:trPr>
        <w:tc>
          <w:tcPr>
            <w:tcW w:w="1157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金庭道服务点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门口、大厅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17:00至次日8:00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夜班值守，两班倒。无节假日。节假日服务点停止办公时，上班时间改为17:00至次日17:00</w:t>
            </w:r>
          </w:p>
        </w:tc>
      </w:tr>
      <w:tr w:rsidR="00BC57D6" w:rsidRPr="00E11D49" w:rsidTr="00EA27B1">
        <w:trPr>
          <w:trHeight w:val="462"/>
        </w:trPr>
        <w:tc>
          <w:tcPr>
            <w:tcW w:w="1157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利民道服务点</w:t>
            </w:r>
          </w:p>
        </w:tc>
        <w:tc>
          <w:tcPr>
            <w:tcW w:w="128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门口、大厅</w:t>
            </w:r>
          </w:p>
        </w:tc>
        <w:tc>
          <w:tcPr>
            <w:tcW w:w="1101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8:00至17:00</w:t>
            </w:r>
          </w:p>
        </w:tc>
        <w:tc>
          <w:tcPr>
            <w:tcW w:w="333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BC57D6" w:rsidRPr="00E11D49" w:rsidTr="00EA27B1">
        <w:trPr>
          <w:trHeight w:val="905"/>
        </w:trPr>
        <w:tc>
          <w:tcPr>
            <w:tcW w:w="1157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利民道服务点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门口、大厅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17:00至次日8:00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夜班值守，两班倒。无节假日。节假日服务点停止办公时，上班时间改为17:00至次日17:00</w:t>
            </w:r>
          </w:p>
        </w:tc>
      </w:tr>
      <w:tr w:rsidR="00BC57D6" w:rsidRPr="00E11D49" w:rsidTr="00EA27B1">
        <w:trPr>
          <w:trHeight w:val="462"/>
        </w:trPr>
        <w:tc>
          <w:tcPr>
            <w:tcW w:w="1157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鼓楼服务点</w:t>
            </w:r>
          </w:p>
        </w:tc>
        <w:tc>
          <w:tcPr>
            <w:tcW w:w="128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门口、大厅</w:t>
            </w:r>
          </w:p>
        </w:tc>
        <w:tc>
          <w:tcPr>
            <w:tcW w:w="1101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8:00至17:00</w:t>
            </w:r>
          </w:p>
        </w:tc>
        <w:tc>
          <w:tcPr>
            <w:tcW w:w="333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BC57D6" w:rsidRPr="00E11D49" w:rsidTr="00EA27B1">
        <w:trPr>
          <w:trHeight w:val="923"/>
        </w:trPr>
        <w:tc>
          <w:tcPr>
            <w:tcW w:w="1157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鼓楼服务点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门口、大厅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17:00至次日8:00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夜班值守，两班倒。无节假日。节假日服务点停止办公时，上班时间改为17:00至次日17:00</w:t>
            </w:r>
          </w:p>
        </w:tc>
      </w:tr>
      <w:tr w:rsidR="00BC57D6" w:rsidRPr="00E11D49" w:rsidTr="00EA27B1">
        <w:trPr>
          <w:trHeight w:val="462"/>
        </w:trPr>
        <w:tc>
          <w:tcPr>
            <w:tcW w:w="1157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高新服务点</w:t>
            </w:r>
          </w:p>
        </w:tc>
        <w:tc>
          <w:tcPr>
            <w:tcW w:w="128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门口、大厅</w:t>
            </w:r>
          </w:p>
        </w:tc>
        <w:tc>
          <w:tcPr>
            <w:tcW w:w="1101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  <w:r w:rsidRPr="00F0576D">
              <w:rPr>
                <w:rFonts w:ascii="宋体" w:hAnsi="宋体" w:hint="eastAsia"/>
                <w:sz w:val="24"/>
              </w:rPr>
              <w:t>8:00至17:00</w:t>
            </w:r>
          </w:p>
        </w:tc>
        <w:tc>
          <w:tcPr>
            <w:tcW w:w="3339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BC57D6" w:rsidRPr="00E11D49" w:rsidTr="00EA27B1">
        <w:trPr>
          <w:trHeight w:val="462"/>
        </w:trPr>
        <w:tc>
          <w:tcPr>
            <w:tcW w:w="2446" w:type="dxa"/>
            <w:gridSpan w:val="2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1101" w:type="dxa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32人</w:t>
            </w:r>
          </w:p>
        </w:tc>
        <w:tc>
          <w:tcPr>
            <w:tcW w:w="4981" w:type="dxa"/>
            <w:gridSpan w:val="2"/>
            <w:shd w:val="clear" w:color="auto" w:fill="auto"/>
          </w:tcPr>
          <w:p w:rsidR="00BC57D6" w:rsidRPr="00F0576D" w:rsidRDefault="00BC57D6" w:rsidP="00EA27B1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BC57D6" w:rsidRPr="00E11D49" w:rsidRDefault="00BC57D6" w:rsidP="00BC57D6">
      <w:pPr>
        <w:jc w:val="center"/>
        <w:rPr>
          <w:sz w:val="24"/>
        </w:rPr>
      </w:pPr>
    </w:p>
    <w:p w:rsidR="00BC57D6" w:rsidRPr="00344E4F" w:rsidRDefault="00BC57D6" w:rsidP="00BC57D6">
      <w:pPr>
        <w:widowControl/>
        <w:spacing w:line="360" w:lineRule="auto"/>
        <w:jc w:val="left"/>
        <w:rPr>
          <w:sz w:val="24"/>
        </w:rPr>
      </w:pPr>
      <w:r w:rsidRPr="00344E4F">
        <w:rPr>
          <w:rFonts w:hint="eastAsia"/>
          <w:sz w:val="24"/>
        </w:rPr>
        <w:t>二、中标人与</w:t>
      </w:r>
      <w:r>
        <w:rPr>
          <w:rFonts w:hint="eastAsia"/>
          <w:sz w:val="24"/>
        </w:rPr>
        <w:t>天津市公安局出入境管理局签订委托合同，纳入统一管理。</w:t>
      </w:r>
    </w:p>
    <w:p w:rsidR="00BC57D6" w:rsidRPr="00760EED" w:rsidRDefault="00BC57D6" w:rsidP="00BC57D6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760EED">
        <w:rPr>
          <w:rFonts w:ascii="Times New Roman" w:hAnsi="Times New Roman" w:hint="eastAsia"/>
          <w:sz w:val="24"/>
          <w:szCs w:val="24"/>
        </w:rPr>
        <w:t>三、</w:t>
      </w:r>
      <w:r>
        <w:rPr>
          <w:rFonts w:ascii="Times New Roman" w:hAnsi="Times New Roman" w:hint="eastAsia"/>
          <w:sz w:val="24"/>
          <w:szCs w:val="24"/>
        </w:rPr>
        <w:t>保安</w:t>
      </w:r>
      <w:r w:rsidRPr="00760EED">
        <w:rPr>
          <w:rFonts w:ascii="Times New Roman" w:hAnsi="Times New Roman" w:hint="eastAsia"/>
          <w:sz w:val="24"/>
          <w:szCs w:val="24"/>
        </w:rPr>
        <w:t>员招录条件</w:t>
      </w:r>
      <w:r w:rsidRPr="00760EED">
        <w:rPr>
          <w:rFonts w:ascii="Times New Roman" w:hAnsi="Times New Roman"/>
          <w:sz w:val="24"/>
          <w:szCs w:val="24"/>
        </w:rPr>
        <w:t>：</w:t>
      </w:r>
    </w:p>
    <w:p w:rsidR="00BC57D6" w:rsidRPr="00760EED" w:rsidRDefault="00BC57D6" w:rsidP="00BC57D6">
      <w:pPr>
        <w:pStyle w:val="a5"/>
        <w:spacing w:line="360" w:lineRule="auto"/>
        <w:rPr>
          <w:rFonts w:ascii="Times New Roman" w:hAnsi="Times New Roman" w:hint="eastAsia"/>
          <w:sz w:val="24"/>
          <w:szCs w:val="24"/>
        </w:rPr>
      </w:pPr>
      <w:r w:rsidRPr="00760EED">
        <w:rPr>
          <w:rFonts w:ascii="Times New Roman" w:hAnsi="Times New Roman" w:hint="eastAsia"/>
          <w:sz w:val="24"/>
          <w:szCs w:val="24"/>
        </w:rPr>
        <w:lastRenderedPageBreak/>
        <w:t>1</w:t>
      </w:r>
      <w:r w:rsidRPr="00760EED">
        <w:rPr>
          <w:rFonts w:ascii="Times New Roman" w:hAnsi="Times New Roman" w:hint="eastAsia"/>
          <w:sz w:val="24"/>
          <w:szCs w:val="24"/>
        </w:rPr>
        <w:t>、</w:t>
      </w:r>
      <w:r w:rsidRPr="00760EED">
        <w:rPr>
          <w:rFonts w:ascii="Times New Roman" w:hAnsi="Times New Roman"/>
          <w:sz w:val="24"/>
          <w:szCs w:val="24"/>
        </w:rPr>
        <w:t>招录的</w:t>
      </w:r>
      <w:r>
        <w:rPr>
          <w:rFonts w:ascii="Times New Roman" w:hAnsi="Times New Roman" w:hint="eastAsia"/>
          <w:sz w:val="24"/>
          <w:szCs w:val="24"/>
        </w:rPr>
        <w:t>保安</w:t>
      </w:r>
      <w:r w:rsidRPr="00760EED">
        <w:rPr>
          <w:rFonts w:ascii="Times New Roman" w:hAnsi="Times New Roman"/>
          <w:sz w:val="24"/>
          <w:szCs w:val="24"/>
        </w:rPr>
        <w:t>员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男性</w:t>
      </w:r>
      <w:r>
        <w:rPr>
          <w:rFonts w:ascii="Times New Roman" w:hAnsi="Times New Roman" w:hint="eastAsia"/>
          <w:sz w:val="24"/>
          <w:szCs w:val="24"/>
        </w:rPr>
        <w:t>，</w:t>
      </w:r>
      <w:r w:rsidRPr="00760EED">
        <w:rPr>
          <w:rFonts w:ascii="Times New Roman" w:hAnsi="Times New Roman"/>
          <w:sz w:val="24"/>
          <w:szCs w:val="24"/>
        </w:rPr>
        <w:t>身高不低于</w:t>
      </w:r>
      <w:r w:rsidRPr="00760EED">
        <w:rPr>
          <w:rFonts w:ascii="Times New Roman" w:hAnsi="Times New Roman" w:hint="eastAsia"/>
          <w:sz w:val="24"/>
          <w:szCs w:val="24"/>
        </w:rPr>
        <w:t>170cm</w:t>
      </w:r>
      <w:r w:rsidRPr="00760EED">
        <w:rPr>
          <w:rFonts w:ascii="Times New Roman" w:hAnsi="Times New Roman" w:hint="eastAsia"/>
          <w:sz w:val="24"/>
          <w:szCs w:val="24"/>
        </w:rPr>
        <w:t>，</w:t>
      </w:r>
      <w:r w:rsidRPr="00760EED">
        <w:rPr>
          <w:rFonts w:ascii="Times New Roman" w:hAnsi="Times New Roman"/>
          <w:sz w:val="24"/>
          <w:szCs w:val="24"/>
        </w:rPr>
        <w:t>身体健康，五官端正，具有高中以上学历，年龄在</w:t>
      </w:r>
      <w:r>
        <w:rPr>
          <w:rFonts w:ascii="Times New Roman" w:hAnsi="Times New Roman" w:hint="eastAsia"/>
          <w:sz w:val="24"/>
          <w:szCs w:val="24"/>
        </w:rPr>
        <w:t>18</w:t>
      </w:r>
      <w:r w:rsidRPr="006F1B46">
        <w:rPr>
          <w:rFonts w:ascii="Times New Roman" w:hAnsi="Times New Roman" w:hint="eastAsia"/>
          <w:sz w:val="24"/>
          <w:szCs w:val="24"/>
        </w:rPr>
        <w:t>岁</w:t>
      </w:r>
      <w:r w:rsidRPr="006F1B46">
        <w:rPr>
          <w:rFonts w:ascii="Times New Roman" w:hAnsi="Times New Roman"/>
          <w:sz w:val="24"/>
          <w:szCs w:val="24"/>
        </w:rPr>
        <w:t>至</w:t>
      </w:r>
      <w:r w:rsidRPr="006F1B46">
        <w:rPr>
          <w:rFonts w:ascii="Times New Roman" w:hAnsi="Times New Roman" w:hint="eastAsia"/>
          <w:sz w:val="24"/>
          <w:szCs w:val="24"/>
        </w:rPr>
        <w:t>60</w:t>
      </w:r>
      <w:r w:rsidRPr="006F1B46">
        <w:rPr>
          <w:rFonts w:ascii="Times New Roman" w:hAnsi="Times New Roman" w:hint="eastAsia"/>
          <w:sz w:val="24"/>
          <w:szCs w:val="24"/>
        </w:rPr>
        <w:t>岁之间</w:t>
      </w:r>
      <w:r w:rsidRPr="00760EED">
        <w:rPr>
          <w:rFonts w:ascii="Times New Roman" w:hAnsi="Times New Roman"/>
          <w:sz w:val="24"/>
          <w:szCs w:val="24"/>
        </w:rPr>
        <w:t>，户籍地不限。招录时</w:t>
      </w:r>
      <w:r w:rsidRPr="00760EED">
        <w:rPr>
          <w:rFonts w:ascii="Times New Roman" w:hAnsi="Times New Roman" w:hint="eastAsia"/>
          <w:sz w:val="24"/>
          <w:szCs w:val="24"/>
        </w:rPr>
        <w:t>，</w:t>
      </w:r>
      <w:r w:rsidRPr="00760EED">
        <w:rPr>
          <w:rFonts w:ascii="Times New Roman" w:hAnsi="Times New Roman"/>
          <w:sz w:val="24"/>
          <w:szCs w:val="24"/>
        </w:rPr>
        <w:t>由公安机关进行背景审查。招录后，由市公安局及相关用人单位进行专业防范技能培训，合格后持证上岗。</w:t>
      </w:r>
    </w:p>
    <w:p w:rsidR="00BC57D6" w:rsidRPr="00760EED" w:rsidRDefault="00BC57D6" w:rsidP="00BC57D6">
      <w:pPr>
        <w:pStyle w:val="a5"/>
        <w:spacing w:line="360" w:lineRule="auto"/>
        <w:rPr>
          <w:rFonts w:ascii="Times New Roman" w:hAnsi="Times New Roman" w:hint="eastAsia"/>
          <w:sz w:val="24"/>
          <w:szCs w:val="24"/>
        </w:rPr>
      </w:pPr>
      <w:r w:rsidRPr="00760EED">
        <w:rPr>
          <w:rFonts w:ascii="Times New Roman" w:hAnsi="Times New Roman" w:hint="eastAsia"/>
          <w:sz w:val="24"/>
          <w:szCs w:val="24"/>
        </w:rPr>
        <w:t>2</w:t>
      </w:r>
      <w:r w:rsidRPr="00760EED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保安员</w:t>
      </w:r>
      <w:r w:rsidRPr="00760EED">
        <w:rPr>
          <w:rFonts w:ascii="Times New Roman" w:hAnsi="Times New Roman" w:hint="eastAsia"/>
          <w:sz w:val="24"/>
          <w:szCs w:val="24"/>
        </w:rPr>
        <w:t>应严格遵守并执行</w:t>
      </w:r>
      <w:r>
        <w:rPr>
          <w:rFonts w:ascii="Times New Roman" w:hAnsi="Times New Roman" w:hint="eastAsia"/>
          <w:sz w:val="24"/>
          <w:szCs w:val="24"/>
        </w:rPr>
        <w:t>天津市公安局出入境管理局保安员</w:t>
      </w:r>
      <w:r w:rsidRPr="00760EED">
        <w:rPr>
          <w:rFonts w:ascii="Times New Roman" w:hAnsi="Times New Roman" w:hint="eastAsia"/>
          <w:sz w:val="24"/>
          <w:szCs w:val="24"/>
        </w:rPr>
        <w:t>管理办法，岗位职责详见附件</w:t>
      </w:r>
      <w:r w:rsidRPr="00760EED">
        <w:rPr>
          <w:rFonts w:ascii="Times New Roman" w:hAnsi="Times New Roman" w:hint="eastAsia"/>
          <w:sz w:val="24"/>
          <w:szCs w:val="24"/>
        </w:rPr>
        <w:t>1</w:t>
      </w:r>
      <w:r w:rsidRPr="00760EED">
        <w:rPr>
          <w:rFonts w:ascii="Times New Roman" w:hAnsi="Times New Roman" w:hint="eastAsia"/>
          <w:sz w:val="24"/>
          <w:szCs w:val="24"/>
        </w:rPr>
        <w:t>；</w:t>
      </w:r>
      <w:r w:rsidRPr="00760EED">
        <w:rPr>
          <w:rFonts w:ascii="Times New Roman" w:hAnsi="Times New Roman" w:hint="eastAsia"/>
          <w:sz w:val="24"/>
          <w:szCs w:val="24"/>
        </w:rPr>
        <w:t xml:space="preserve"> </w:t>
      </w:r>
    </w:p>
    <w:p w:rsidR="00BC57D6" w:rsidRPr="00344E4F" w:rsidRDefault="00BC57D6" w:rsidP="00BC57D6">
      <w:pPr>
        <w:widowControl/>
        <w:spacing w:line="360" w:lineRule="auto"/>
        <w:jc w:val="left"/>
        <w:rPr>
          <w:rFonts w:hint="eastAsia"/>
          <w:sz w:val="24"/>
        </w:rPr>
      </w:pPr>
      <w:r w:rsidRPr="00344E4F">
        <w:rPr>
          <w:rFonts w:hint="eastAsia"/>
          <w:sz w:val="24"/>
        </w:rPr>
        <w:t>四、在遇有需要</w:t>
      </w:r>
      <w:r>
        <w:rPr>
          <w:rFonts w:hint="eastAsia"/>
          <w:sz w:val="24"/>
        </w:rPr>
        <w:t>人员</w:t>
      </w:r>
      <w:r w:rsidRPr="00344E4F">
        <w:rPr>
          <w:rFonts w:hint="eastAsia"/>
          <w:sz w:val="24"/>
        </w:rPr>
        <w:t>调整时，甲方有权要求乙方按照实际需求增加或减少</w:t>
      </w:r>
      <w:r>
        <w:rPr>
          <w:rFonts w:hint="eastAsia"/>
          <w:sz w:val="24"/>
        </w:rPr>
        <w:t>保安</w:t>
      </w:r>
      <w:r w:rsidRPr="00344E4F">
        <w:rPr>
          <w:rFonts w:hint="eastAsia"/>
          <w:sz w:val="24"/>
        </w:rPr>
        <w:t>人员数额，以保证正常运行。</w:t>
      </w:r>
    </w:p>
    <w:p w:rsidR="00BC57D6" w:rsidRPr="00344E4F" w:rsidRDefault="00BC57D6" w:rsidP="00BC57D6">
      <w:pPr>
        <w:widowControl/>
        <w:spacing w:line="360" w:lineRule="auto"/>
        <w:jc w:val="left"/>
        <w:rPr>
          <w:rFonts w:hint="eastAsia"/>
          <w:sz w:val="24"/>
        </w:rPr>
      </w:pPr>
      <w:r w:rsidRPr="00344E4F">
        <w:rPr>
          <w:rFonts w:hint="eastAsia"/>
          <w:sz w:val="24"/>
        </w:rPr>
        <w:t>五、投标单位应具有</w:t>
      </w:r>
      <w:r>
        <w:rPr>
          <w:rFonts w:hint="eastAsia"/>
          <w:sz w:val="24"/>
        </w:rPr>
        <w:t>保安员</w:t>
      </w:r>
      <w:r w:rsidRPr="00344E4F">
        <w:rPr>
          <w:rFonts w:hint="eastAsia"/>
          <w:sz w:val="24"/>
        </w:rPr>
        <w:t>奖罚制度。甲方有权对乙方派驻保安员进行检查，有权要求调换不适合在甲方继续工作的保安人员。</w:t>
      </w:r>
    </w:p>
    <w:p w:rsidR="00BC57D6" w:rsidRPr="00344E4F" w:rsidRDefault="00BC57D6" w:rsidP="00BC57D6">
      <w:pPr>
        <w:widowControl/>
        <w:spacing w:line="360" w:lineRule="auto"/>
        <w:jc w:val="left"/>
        <w:rPr>
          <w:szCs w:val="20"/>
          <w:bdr w:val="none" w:sz="0" w:space="0" w:color="auto" w:frame="1"/>
        </w:rPr>
      </w:pPr>
    </w:p>
    <w:p w:rsidR="00BC57D6" w:rsidRPr="00344E4F" w:rsidRDefault="00BC57D6" w:rsidP="00BC57D6">
      <w:pPr>
        <w:pStyle w:val="1"/>
        <w:spacing w:beforeLines="0" w:afterLines="0" w:line="520" w:lineRule="exact"/>
        <w:rPr>
          <w:color w:val="auto"/>
          <w:sz w:val="32"/>
        </w:rPr>
      </w:pPr>
    </w:p>
    <w:p w:rsidR="00BC57D6" w:rsidRPr="00344E4F" w:rsidRDefault="00BC57D6" w:rsidP="00BC57D6">
      <w:pPr>
        <w:spacing w:line="360" w:lineRule="auto"/>
        <w:rPr>
          <w:rFonts w:hint="eastAsia"/>
          <w:sz w:val="24"/>
        </w:rPr>
      </w:pPr>
      <w:r w:rsidRPr="00344E4F">
        <w:br w:type="page"/>
      </w:r>
      <w:r w:rsidRPr="00344E4F">
        <w:rPr>
          <w:rFonts w:hint="eastAsia"/>
          <w:sz w:val="24"/>
        </w:rPr>
        <w:lastRenderedPageBreak/>
        <w:t>附件</w:t>
      </w:r>
      <w:r w:rsidRPr="00344E4F">
        <w:rPr>
          <w:rFonts w:hint="eastAsia"/>
          <w:sz w:val="24"/>
        </w:rPr>
        <w:t>1</w:t>
      </w:r>
    </w:p>
    <w:p w:rsidR="00BC57D6" w:rsidRPr="00344E4F" w:rsidRDefault="00BC57D6" w:rsidP="00BC57D6">
      <w:pPr>
        <w:spacing w:line="360" w:lineRule="auto"/>
        <w:jc w:val="center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保安员岗位职责</w:t>
      </w:r>
    </w:p>
    <w:p w:rsidR="00BC57D6" w:rsidRPr="00344E4F" w:rsidRDefault="00BC57D6" w:rsidP="00BC57D6">
      <w:pPr>
        <w:spacing w:line="360" w:lineRule="auto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一、门岗职责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1、早晚上下班站礼仪岗各一小时，要求仪表整洁大方，站姿威武端正；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2、按规定严格执行出入人员盘查制度；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3、对携带外出的大件物品严格检查，按制度履行手续登记后放行；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4、严格盘查检查，严禁携带可疑物品、易燃易爆品及管制刀具进入；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5、严禁各类推销人员、闲杂人员进入；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6、维护出入口秩序，保证畅通无阻。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二、内外巡逻职责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1、车辆调度指挥，保证无逆行、无堵塞；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2、维护治安秩序，保护室内外各种设施的完好；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3、检查并适时开关公共区域的灯具和水源，厉行节约；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4、发现易燃易爆物品及火灾隐患时要及时处理并报告；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5、所有人员要能够正确熟练使用所配置的消防器械；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6、注意观察和发现可疑的人员和可疑现象，妥善处理突发事件；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7、完成领导安排的其他临时任务。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三、大厅岗职责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1、维护服务点大厅正常工作秩序；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2、对前来问询办事的人员要做到耐心解答并使用文明用语；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3、出现紧急突发事件要第一时间参照应急预案进行处理；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4、保持服务点大厅卫生干净、整洁。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5、做好服务点大厅工作人员安排的临时任务。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四、值岗要求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1、值岗人员要做到值岗中容貌端庄、衣着整洁、服务态度好，使用文明用语；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2、上岗人员必须着装整齐、干净，做好客户单位的形象。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3、值岗人员要认真履职，值班期间不得擅离职守或做与本职工作无关的任何事情；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4、如有情况，要及时通知保安队长和招标人安保负责人；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5、要认真做好值班记录，规范交接班手续。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lastRenderedPageBreak/>
        <w:t>五、人员要求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1、</w:t>
      </w:r>
      <w:r w:rsidRPr="00355611">
        <w:rPr>
          <w:rFonts w:ascii="宋体" w:hAnsi="宋体"/>
          <w:b/>
          <w:bCs/>
          <w:color w:val="000000"/>
          <w:sz w:val="24"/>
          <w:szCs w:val="21"/>
        </w:rPr>
        <w:t>男性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，</w:t>
      </w:r>
      <w:r w:rsidRPr="00355611">
        <w:rPr>
          <w:rFonts w:ascii="宋体" w:hAnsi="宋体"/>
          <w:b/>
          <w:bCs/>
          <w:color w:val="000000"/>
          <w:sz w:val="24"/>
          <w:szCs w:val="21"/>
        </w:rPr>
        <w:t>身高不低于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170cm，</w:t>
      </w:r>
      <w:r w:rsidRPr="00355611">
        <w:rPr>
          <w:rFonts w:ascii="宋体" w:hAnsi="宋体"/>
          <w:b/>
          <w:bCs/>
          <w:color w:val="000000"/>
          <w:sz w:val="24"/>
          <w:szCs w:val="21"/>
        </w:rPr>
        <w:t>身体健康，五官端正，具有高中以上学历，年龄在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18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岁</w:t>
      </w:r>
      <w:r w:rsidRPr="00355611">
        <w:rPr>
          <w:rFonts w:ascii="宋体" w:hAnsi="宋体"/>
          <w:b/>
          <w:bCs/>
          <w:color w:val="000000"/>
          <w:sz w:val="24"/>
          <w:szCs w:val="21"/>
        </w:rPr>
        <w:t>至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60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岁</w:t>
      </w:r>
      <w:r w:rsidRPr="00355611">
        <w:rPr>
          <w:rFonts w:ascii="宋体" w:hAnsi="宋体"/>
          <w:b/>
          <w:bCs/>
          <w:color w:val="000000"/>
          <w:sz w:val="24"/>
          <w:szCs w:val="21"/>
        </w:rPr>
        <w:t>之间，户籍地不限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六、服务标准：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1、要求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轮换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执勤；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2、内部车辆出入查看证件，外来车辆、人员进行登记，实行出入证签证制度；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3、配合所属单位执行安检工作，防范突发事件发生；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4、定期检查消防设施设备及时消除火灾隐患；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5、实行定时、定路线、定任务的巡视制度（设置必要的检查设备，例如：电子巡更器，保证这一工作的完成）；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定时：按规定时间巡视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定路线：每次巡视必须按规定的路线完整巡视；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定任务：对重点部位、设施设备要重点巡查。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6、道路、停车场平整通畅，交通标志齐全规范，发现损坏及时维修，对火灾、水侵等突发事件有应急处理预案，定时对保卫人员进行相关培训。保安人员要充分利用安检门，做好安全检查工作，发现安全隐患及时处理。遇有特殊情况及时和招标人主管部门联系，对因疏于管理和不使用安全检查手段造成的后果，由投标人承担必要的责任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7、公共秩序管理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门岗室整洁美观，保卫人员统一着装，年龄在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18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-</w:t>
      </w:r>
      <w:r>
        <w:rPr>
          <w:rFonts w:ascii="宋体" w:hAnsi="宋体" w:hint="eastAsia"/>
          <w:b/>
          <w:bCs/>
          <w:color w:val="000000"/>
          <w:sz w:val="24"/>
          <w:szCs w:val="21"/>
        </w:rPr>
        <w:t>60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岁男性，五官端正，24小时执勤。对楼内外重点部位每小时巡查一次，并做好巡查记录，对可疑人员进行询问。发现火警或治安隐患事故及时采取措施并报告有关部门。实施24小时安全监控并记录及时。</w:t>
      </w:r>
    </w:p>
    <w:p w:rsidR="00BC57D6" w:rsidRPr="00355611" w:rsidRDefault="00BC57D6" w:rsidP="00BC57D6">
      <w:pPr>
        <w:tabs>
          <w:tab w:val="left" w:pos="630"/>
        </w:tabs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8、单位领导交办的临时任务。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七、服务地点：</w:t>
      </w:r>
    </w:p>
    <w:p w:rsidR="00BC57D6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天津市公安局出入境管理局所辖服务区域</w:t>
      </w:r>
    </w:p>
    <w:p w:rsidR="00BC57D6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八、服务人数：</w:t>
      </w:r>
    </w:p>
    <w:p w:rsidR="00BC57D6" w:rsidRPr="00355611" w:rsidRDefault="00BC57D6" w:rsidP="00BC57D6">
      <w:pPr>
        <w:spacing w:line="440" w:lineRule="exact"/>
        <w:rPr>
          <w:rFonts w:ascii="宋体" w:hAnsi="宋体" w:hint="eastAsia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32</w:t>
      </w:r>
      <w:r w:rsidRPr="00355611">
        <w:rPr>
          <w:rFonts w:ascii="宋体" w:hAnsi="宋体" w:hint="eastAsia"/>
          <w:b/>
          <w:bCs/>
          <w:color w:val="000000"/>
          <w:sz w:val="24"/>
          <w:szCs w:val="21"/>
        </w:rPr>
        <w:t>名</w:t>
      </w:r>
    </w:p>
    <w:p w:rsidR="00BC57D6" w:rsidRDefault="00BC57D6" w:rsidP="00BC57D6">
      <w:pPr>
        <w:widowControl/>
        <w:jc w:val="left"/>
        <w:rPr>
          <w:rFonts w:hint="eastAsia"/>
          <w:sz w:val="24"/>
        </w:rPr>
      </w:pPr>
    </w:p>
    <w:p w:rsidR="00BC57D6" w:rsidRDefault="00BC57D6" w:rsidP="00BC57D6">
      <w:pPr>
        <w:widowControl/>
        <w:jc w:val="left"/>
        <w:rPr>
          <w:rFonts w:hint="eastAsia"/>
          <w:sz w:val="24"/>
        </w:rPr>
      </w:pPr>
    </w:p>
    <w:p w:rsidR="00BC57D6" w:rsidRDefault="00BC57D6" w:rsidP="00BC57D6">
      <w:pPr>
        <w:widowControl/>
        <w:jc w:val="left"/>
        <w:rPr>
          <w:rFonts w:hint="eastAsia"/>
          <w:sz w:val="24"/>
        </w:rPr>
      </w:pPr>
    </w:p>
    <w:p w:rsidR="00BC57D6" w:rsidRDefault="00BC57D6" w:rsidP="00BC57D6">
      <w:pPr>
        <w:widowControl/>
        <w:jc w:val="left"/>
        <w:rPr>
          <w:rFonts w:hint="eastAsia"/>
          <w:sz w:val="24"/>
        </w:rPr>
      </w:pPr>
    </w:p>
    <w:p w:rsidR="007E29D2" w:rsidRDefault="007E29D2"/>
    <w:sectPr w:rsidR="007E2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9D2" w:rsidRDefault="007E29D2" w:rsidP="00BC57D6">
      <w:r>
        <w:separator/>
      </w:r>
    </w:p>
  </w:endnote>
  <w:endnote w:type="continuationSeparator" w:id="1">
    <w:p w:rsidR="007E29D2" w:rsidRDefault="007E29D2" w:rsidP="00BC5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9D2" w:rsidRDefault="007E29D2" w:rsidP="00BC57D6">
      <w:r>
        <w:separator/>
      </w:r>
    </w:p>
  </w:footnote>
  <w:footnote w:type="continuationSeparator" w:id="1">
    <w:p w:rsidR="007E29D2" w:rsidRDefault="007E29D2" w:rsidP="00BC57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7D6"/>
    <w:rsid w:val="007E29D2"/>
    <w:rsid w:val="00BC5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7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C57D6"/>
    <w:pPr>
      <w:widowControl/>
      <w:spacing w:beforeLines="100" w:afterLines="100" w:line="500" w:lineRule="exact"/>
      <w:jc w:val="center"/>
      <w:outlineLvl w:val="0"/>
    </w:pPr>
    <w:rPr>
      <w:b/>
      <w:color w:val="000000"/>
      <w:kern w:val="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7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7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7D6"/>
    <w:rPr>
      <w:sz w:val="18"/>
      <w:szCs w:val="18"/>
    </w:rPr>
  </w:style>
  <w:style w:type="character" w:customStyle="1" w:styleId="1Char">
    <w:name w:val="标题 1 Char"/>
    <w:basedOn w:val="a0"/>
    <w:link w:val="1"/>
    <w:rsid w:val="00BC57D6"/>
    <w:rPr>
      <w:rFonts w:ascii="Times New Roman" w:eastAsia="宋体" w:hAnsi="Times New Roman" w:cs="Times New Roman"/>
      <w:b/>
      <w:color w:val="000000"/>
      <w:kern w:val="0"/>
      <w:sz w:val="52"/>
      <w:szCs w:val="24"/>
    </w:rPr>
  </w:style>
  <w:style w:type="character" w:customStyle="1" w:styleId="Char1">
    <w:name w:val="纯文本 Char1"/>
    <w:link w:val="a5"/>
    <w:rsid w:val="00BC57D6"/>
    <w:rPr>
      <w:rFonts w:ascii="宋体" w:hAnsi="Courier New"/>
    </w:rPr>
  </w:style>
  <w:style w:type="paragraph" w:styleId="a5">
    <w:name w:val="Plain Text"/>
    <w:basedOn w:val="a"/>
    <w:link w:val="Char1"/>
    <w:qFormat/>
    <w:rsid w:val="00BC57D6"/>
    <w:pPr>
      <w:spacing w:line="500" w:lineRule="exact"/>
    </w:pPr>
    <w:rPr>
      <w:rFonts w:ascii="宋体" w:eastAsiaTheme="minorEastAsia" w:hAnsi="Courier New" w:cstheme="minorBidi"/>
      <w:szCs w:val="22"/>
    </w:rPr>
  </w:style>
  <w:style w:type="character" w:customStyle="1" w:styleId="Char2">
    <w:name w:val="纯文本 Char"/>
    <w:basedOn w:val="a0"/>
    <w:link w:val="a5"/>
    <w:uiPriority w:val="99"/>
    <w:semiHidden/>
    <w:rsid w:val="00BC57D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>Lenovo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2018-06-04T08:04:00Z</dcterms:created>
  <dcterms:modified xsi:type="dcterms:W3CDTF">2018-06-04T08:04:00Z</dcterms:modified>
</cp:coreProperties>
</file>