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360" w:lineRule="auto"/>
        <w:ind w:firstLine="482" w:firstLineChars="20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项目需求书</w:t>
      </w:r>
    </w:p>
    <w:p>
      <w:pPr>
        <w:spacing w:line="360" w:lineRule="auto"/>
        <w:ind w:firstLine="482" w:firstLineChars="200"/>
        <w:jc w:val="center"/>
        <w:outlineLvl w:val="2"/>
        <w:rPr>
          <w:rFonts w:asciiTheme="minorEastAsia" w:hAnsiTheme="minorEastAsia" w:eastAsiaTheme="minorEastAsia" w:cstheme="minorEastAsia"/>
          <w:b/>
          <w:sz w:val="24"/>
          <w:szCs w:val="24"/>
        </w:rPr>
      </w:pPr>
    </w:p>
    <w:p>
      <w:pPr>
        <w:pStyle w:val="3"/>
        <w:numPr>
          <w:ilvl w:val="0"/>
          <w:numId w:val="1"/>
        </w:numPr>
        <w:adjustRightInd/>
        <w:spacing w:before="156" w:beforeLines="50" w:after="156" w:afterLines="50" w:line="360" w:lineRule="auto"/>
        <w:ind w:left="601" w:firstLine="0"/>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项目背景</w:t>
      </w:r>
    </w:p>
    <w:p>
      <w:pPr>
        <w:spacing w:line="360" w:lineRule="auto"/>
        <w:ind w:firstLine="480" w:firstLineChars="200"/>
        <w:rPr>
          <w:rFonts w:asciiTheme="minorEastAsia" w:hAnsiTheme="minorEastAsia" w:eastAsiaTheme="minorEastAsia" w:cstheme="minorEastAsia"/>
          <w:sz w:val="24"/>
          <w:szCs w:val="24"/>
          <w:highlight w:val="yellow"/>
        </w:rPr>
      </w:pPr>
      <w:r>
        <w:rPr>
          <w:rFonts w:hint="eastAsia" w:asciiTheme="minorEastAsia" w:hAnsiTheme="minorEastAsia" w:eastAsiaTheme="minorEastAsia" w:cstheme="minorEastAsia"/>
          <w:sz w:val="24"/>
          <w:szCs w:val="24"/>
          <w:highlight w:val="yellow"/>
        </w:rPr>
        <w:t>安全体验馆选址滨海新区中新天津生态城，建筑面积2960平方米，该体验馆意在通过安全文化知识、技能的故事和场景体验，向全社会推广公共安全和生产安全，识险避险、专业救援及应急管理的知识与技能，减少意外伤害事故的发生，构建美好和谐的生产和生活环境。</w:t>
      </w:r>
    </w:p>
    <w:p>
      <w:pPr>
        <w:autoSpaceDE w:val="0"/>
        <w:autoSpaceDN w:val="0"/>
        <w:spacing w:line="360" w:lineRule="auto"/>
        <w:ind w:firstLine="480" w:firstLineChars="20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highlight w:val="yellow"/>
          <w:lang w:val="zh-CN"/>
        </w:rPr>
        <w:t>为深入贯彻落实《国务院关于加强和改进消防工作的意见》和《全民消防安全宣传教育纲要》，不断推动消防科普教育基地建设，大力普及消防知识，提高全民消防安全意识和自防自救能力，全力遏制重特大火灾事故发生。该体验馆</w:t>
      </w:r>
      <w:r>
        <w:rPr>
          <w:rFonts w:hint="eastAsia" w:asciiTheme="minorEastAsia" w:hAnsiTheme="minorEastAsia" w:eastAsiaTheme="minorEastAsia" w:cstheme="minorEastAsia"/>
          <w:sz w:val="24"/>
          <w:szCs w:val="24"/>
          <w:highlight w:val="yellow"/>
        </w:rPr>
        <w:t>第一展区“十万火急”，通过模拟情境体验的方式介绍消防安全知识，该展区建筑面积470平方米。</w:t>
      </w:r>
    </w:p>
    <w:p>
      <w:pPr>
        <w:pStyle w:val="3"/>
        <w:numPr>
          <w:ilvl w:val="0"/>
          <w:numId w:val="2"/>
        </w:numPr>
        <w:adjustRightInd/>
        <w:spacing w:before="156" w:beforeLines="50" w:after="156" w:afterLines="50" w:line="360" w:lineRule="auto"/>
        <w:ind w:firstLine="482" w:firstLineChars="200"/>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采购标的需实现的功能或者目标，以及为落实政府采购政策需满足的要求</w:t>
      </w:r>
    </w:p>
    <w:p>
      <w:pPr>
        <w:widowControl/>
        <w:spacing w:line="360" w:lineRule="auto"/>
        <w:ind w:firstLine="480" w:firstLineChars="200"/>
        <w:jc w:val="left"/>
        <w:rPr>
          <w:rFonts w:asciiTheme="minorEastAsia" w:hAnsiTheme="minorEastAsia" w:eastAsiaTheme="minorEastAsia" w:cstheme="minorEastAsia"/>
          <w:kern w:val="0"/>
          <w:sz w:val="24"/>
          <w:szCs w:val="24"/>
          <w:highlight w:val="yellow"/>
        </w:rPr>
      </w:pPr>
      <w:r>
        <w:rPr>
          <w:rFonts w:hint="eastAsia" w:asciiTheme="minorEastAsia" w:hAnsiTheme="minorEastAsia" w:eastAsiaTheme="minorEastAsia" w:cstheme="minorEastAsia"/>
          <w:kern w:val="0"/>
          <w:sz w:val="24"/>
          <w:szCs w:val="24"/>
          <w:highlight w:val="yellow"/>
        </w:rPr>
        <w:t>1、采购标的需实现的功能或者目标</w:t>
      </w:r>
    </w:p>
    <w:p>
      <w:pPr>
        <w:widowControl/>
        <w:spacing w:line="360" w:lineRule="auto"/>
        <w:ind w:firstLine="480" w:firstLineChars="200"/>
        <w:jc w:val="left"/>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highlight w:val="yellow"/>
        </w:rPr>
        <w:t>针对目前市民日常生活中越来越多的安全事故频发的现状，此项目拟建造一个综合类安全体验馆，第一展区重点介绍消防类安全体验教育。基于有效统计，针对几个常见的日常消防安全问题，避免大而全的说教式宣传讲解模式，提炼具有针对性的重点几大隐患，深入剖析原因、切入，融入进酒店场景元素，以实物展示、互动体验项目来掌握消防要点，以及其他附加相关常识知识点梳理展示，从而形成更具代入感的参观体验模式。</w:t>
      </w:r>
    </w:p>
    <w:p>
      <w:pPr>
        <w:widowControl/>
        <w:spacing w:line="360" w:lineRule="auto"/>
        <w:ind w:firstLine="480" w:firstLineChars="20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rPr>
        <w:t>2、为落实政府采购政策需满足的要求</w:t>
      </w:r>
    </w:p>
    <w:p>
      <w:pPr>
        <w:widowControl/>
        <w:spacing w:line="360" w:lineRule="auto"/>
        <w:ind w:firstLine="480" w:firstLineChars="200"/>
        <w:jc w:val="left"/>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1）根据财政部发布的《政府采购促进中小企业发展暂行办法》规定，本项目对小型和微型企业产品的价格给予6%的扣除。中小微企业投标是指符合《中小企业划型标准规定》的投标人，通过投标提供本企业承担的服务。中小微企业投标应提供《中小微企业声明函》。（中小企业划分见“关于印发中小企业划型标准规定的通知”工信部联企业〔2011〕300号。)</w:t>
      </w:r>
      <w:r>
        <w:rPr>
          <w:rFonts w:hint="eastAsia" w:asciiTheme="minorEastAsia" w:hAnsiTheme="minorEastAsia" w:eastAsiaTheme="minorEastAsia" w:cstheme="minorEastAsia"/>
          <w:kern w:val="0"/>
          <w:sz w:val="24"/>
          <w:szCs w:val="24"/>
        </w:rPr>
        <w:br w:type="textWrapping"/>
      </w:r>
      <w:r>
        <w:rPr>
          <w:rFonts w:hint="eastAsia" w:asciiTheme="minorEastAsia" w:hAnsiTheme="minorEastAsia" w:eastAsiaTheme="minorEastAsia" w:cstheme="minorEastAsia"/>
          <w:kern w:val="0"/>
          <w:sz w:val="24"/>
          <w:szCs w:val="24"/>
        </w:rPr>
        <w:t>2）根据财政部发布的《关于政府采购支持监狱企业发展有关问题的通知》规定，本项目对监狱企业产品的价格给予6%的扣除。根据财库〔2014〕68号《财政部 司法部关于政府采购支持监狱企业发展有关问题的通知》，监狱企业视同小微企业。监狱企业是指由司法部认定的为罪犯、戒毒人员提供生产项目和劳动对象，且全部产权属于司法部监狱管理局、戒毒管理局、直属煤矿管理局，各省、自治区、直辖市监狱管理局、戒毒管理局，各地(设区的市)监狱、强制隔离戒毒所、戒毒康复所，以及新疆生产建设兵团监狱管理局、戒毒管理局的企业。监狱企业投标时，提供由省级以上监狱管理局、戒毒管理局（含新疆生产建设兵团）出具的属于监狱企业的证明文件，不再提供《中小微企业声明函》。</w:t>
      </w:r>
      <w:r>
        <w:rPr>
          <w:rFonts w:hint="eastAsia" w:asciiTheme="minorEastAsia" w:hAnsiTheme="minorEastAsia" w:eastAsiaTheme="minorEastAsia" w:cstheme="minorEastAsia"/>
          <w:kern w:val="0"/>
          <w:sz w:val="24"/>
          <w:szCs w:val="24"/>
        </w:rPr>
        <w:br w:type="textWrapping"/>
      </w:r>
      <w:r>
        <w:rPr>
          <w:rFonts w:hint="eastAsia" w:asciiTheme="minorEastAsia" w:hAnsiTheme="minorEastAsia" w:eastAsiaTheme="minorEastAsia" w:cstheme="minorEastAsia"/>
          <w:kern w:val="0"/>
          <w:sz w:val="24"/>
          <w:szCs w:val="24"/>
        </w:rPr>
        <w:t>注：小微企业以投标人填写的《中小企业声明函》为判定标准，监狱企业须投标人提供由省级以上监狱管理局、戒毒管理局(含新疆生产建设兵团)出具的属于监狱企业的证明文件，否则不予认定。</w:t>
      </w:r>
      <w:r>
        <w:rPr>
          <w:rFonts w:hint="eastAsia" w:asciiTheme="minorEastAsia" w:hAnsiTheme="minorEastAsia" w:eastAsiaTheme="minorEastAsia" w:cstheme="minorEastAsia"/>
          <w:kern w:val="0"/>
          <w:sz w:val="24"/>
          <w:szCs w:val="24"/>
        </w:rPr>
        <w:br w:type="textWrapping"/>
      </w:r>
      <w:r>
        <w:rPr>
          <w:rFonts w:hint="eastAsia" w:asciiTheme="minorEastAsia" w:hAnsiTheme="minorEastAsia" w:eastAsiaTheme="minorEastAsia" w:cstheme="minorEastAsia"/>
          <w:kern w:val="0"/>
          <w:sz w:val="24"/>
          <w:szCs w:val="24"/>
        </w:rPr>
        <w:t>3）根据财政部、民政部、中国残疾人联合会发布的《关于促进残疾人就业政府采购政策的通知》规定，本项目对残疾人福利性单位产品的价格给予6%的扣除。根据财库〔2017〕141号《关于促进残疾人就业政府采购政策的通知》，在政府采购活动中，残疾人福利性单位视同小型、微型企业，享受预留份额、评审中价格扣除等促进中小企业发展的政府采购政策。向残疾人福利性单位采购的金额，计入面向中小企业采购的统计数据。残疾人福利性单位属于小型、微型企业的，不重复享受政策。符合条件的残疾人福利性单位在参加政府采购活动时，应当提供本通知规定的《残疾人福利性单位声明函》（见附件），并对声明的真实性负责。</w:t>
      </w:r>
    </w:p>
    <w:p>
      <w:pPr>
        <w:widowControl/>
        <w:spacing w:line="360" w:lineRule="auto"/>
        <w:ind w:firstLine="480" w:firstLineChars="20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rPr>
        <w:t>4）按照《财政部关于在政府采购活动中查询及使用信用记录有关问题的通知》（财库〔2016〕125号）的要求，根据开标当日“信用中国”网站（</w:t>
      </w:r>
      <w:r>
        <w:fldChar w:fldCharType="begin"/>
      </w:r>
      <w:r>
        <w:instrText xml:space="preserve"> HYPERLINK "file:///C:\\Users\\zgy\\Desktop\\www.creditchina.gov.cn" </w:instrText>
      </w:r>
      <w:r>
        <w:fldChar w:fldCharType="separate"/>
      </w:r>
      <w:r>
        <w:rPr>
          <w:rFonts w:hint="eastAsia" w:asciiTheme="minorEastAsia" w:hAnsiTheme="minorEastAsia" w:eastAsiaTheme="minorEastAsia" w:cstheme="minorEastAsia"/>
          <w:kern w:val="0"/>
          <w:sz w:val="24"/>
          <w:szCs w:val="24"/>
        </w:rPr>
        <w:t>www.creditchina.gov.cn</w:t>
      </w:r>
      <w:r>
        <w:rPr>
          <w:rFonts w:hint="eastAsia" w:asciiTheme="minorEastAsia" w:hAnsiTheme="minorEastAsia" w:eastAsiaTheme="minorEastAsia" w:cstheme="minorEastAsia"/>
          <w:kern w:val="0"/>
          <w:sz w:val="24"/>
          <w:szCs w:val="24"/>
        </w:rPr>
        <w:fldChar w:fldCharType="end"/>
      </w:r>
      <w:r>
        <w:rPr>
          <w:rFonts w:hint="eastAsia" w:asciiTheme="minorEastAsia" w:hAnsiTheme="minorEastAsia" w:eastAsiaTheme="minorEastAsia" w:cstheme="minorEastAsia"/>
          <w:kern w:val="0"/>
          <w:sz w:val="24"/>
          <w:szCs w:val="24"/>
        </w:rPr>
        <w:t>）、中国政府采购网（</w:t>
      </w:r>
      <w:r>
        <w:fldChar w:fldCharType="begin"/>
      </w:r>
      <w:r>
        <w:instrText xml:space="preserve"> HYPERLINK "file:///C:\\Users\\zgy\\Desktop\\www.ccgp.gov.cn" </w:instrText>
      </w:r>
      <w:r>
        <w:fldChar w:fldCharType="separate"/>
      </w:r>
      <w:r>
        <w:rPr>
          <w:rFonts w:hint="eastAsia" w:asciiTheme="minorEastAsia" w:hAnsiTheme="minorEastAsia" w:eastAsiaTheme="minorEastAsia" w:cstheme="minorEastAsia"/>
          <w:kern w:val="0"/>
          <w:sz w:val="24"/>
          <w:szCs w:val="24"/>
        </w:rPr>
        <w:t>www.ccgp.gov.cn</w:t>
      </w:r>
      <w:r>
        <w:rPr>
          <w:rFonts w:hint="eastAsia" w:asciiTheme="minorEastAsia" w:hAnsiTheme="minorEastAsia" w:eastAsiaTheme="minorEastAsia" w:cstheme="minorEastAsia"/>
          <w:kern w:val="0"/>
          <w:sz w:val="24"/>
          <w:szCs w:val="24"/>
        </w:rPr>
        <w:fldChar w:fldCharType="end"/>
      </w:r>
      <w:r>
        <w:rPr>
          <w:rFonts w:hint="eastAsia" w:asciiTheme="minorEastAsia" w:hAnsiTheme="minorEastAsia" w:eastAsiaTheme="minorEastAsia" w:cstheme="minorEastAsia"/>
          <w:kern w:val="0"/>
          <w:sz w:val="24"/>
          <w:szCs w:val="24"/>
        </w:rPr>
        <w:t>）的信息，对列入失信被执行人、重大税收违法案件当事人名单、政府采购严重违法失信行为记录名单及其他不符合《中华人民共和国政府采购法》第二十二条规定条件的供应商，拒绝参与政府采购活动，同时对信用信息查询记录和证据进行打印存档。</w:t>
      </w:r>
    </w:p>
    <w:p>
      <w:pPr>
        <w:pStyle w:val="18"/>
        <w:spacing w:line="360" w:lineRule="auto"/>
        <w:ind w:firstLine="480" w:firstLineChars="200"/>
        <w:rPr>
          <w:rFonts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查询的截止时点为开标时间或响应文件开启时间。</w:t>
      </w:r>
    </w:p>
    <w:p>
      <w:pPr>
        <w:pStyle w:val="3"/>
        <w:numPr>
          <w:ilvl w:val="0"/>
          <w:numId w:val="2"/>
        </w:numPr>
        <w:adjustRightInd/>
        <w:spacing w:before="156" w:beforeLines="50" w:after="156" w:afterLines="50" w:line="360" w:lineRule="auto"/>
        <w:ind w:firstLine="482" w:firstLineChars="200"/>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采购标的需满足的质量、安全、技术规格、物理特性等要求</w:t>
      </w:r>
    </w:p>
    <w:p>
      <w:pPr>
        <w:pStyle w:val="19"/>
        <w:pageBreakBefore w:val="0"/>
        <w:kinsoku/>
        <w:wordWrap/>
        <w:overflowPunct/>
        <w:topLinePunct w:val="0"/>
        <w:bidi w:val="0"/>
        <w:snapToGrid/>
        <w:spacing w:line="360" w:lineRule="auto"/>
        <w:ind w:left="420" w:right="0" w:rightChars="0" w:firstLine="480" w:firstLineChars="20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highlight w:val="none"/>
        </w:rPr>
        <w:t>本</w:t>
      </w:r>
      <w:r>
        <w:rPr>
          <w:rFonts w:hint="eastAsia" w:asciiTheme="minorEastAsia" w:hAnsiTheme="minorEastAsia" w:eastAsiaTheme="minorEastAsia" w:cstheme="minorEastAsia"/>
          <w:sz w:val="24"/>
          <w:szCs w:val="24"/>
          <w:highlight w:val="none"/>
          <w:lang w:eastAsia="zh-CN"/>
        </w:rPr>
        <w:t>项目</w:t>
      </w:r>
      <w:r>
        <w:rPr>
          <w:rFonts w:hint="eastAsia" w:asciiTheme="minorEastAsia" w:hAnsiTheme="minorEastAsia" w:eastAsiaTheme="minorEastAsia" w:cstheme="minorEastAsia"/>
          <w:sz w:val="24"/>
          <w:szCs w:val="24"/>
          <w:highlight w:val="none"/>
        </w:rPr>
        <w:t>属于科技含量较高的特殊展示空间。</w:t>
      </w:r>
      <w:r>
        <w:rPr>
          <w:rFonts w:hint="eastAsia" w:asciiTheme="minorEastAsia" w:hAnsiTheme="minorEastAsia" w:eastAsiaTheme="minorEastAsia" w:cstheme="minorEastAsia"/>
          <w:sz w:val="24"/>
          <w:szCs w:val="24"/>
          <w:highlight w:val="none"/>
          <w:lang w:eastAsia="zh-CN"/>
        </w:rPr>
        <w:t>投标人</w:t>
      </w:r>
      <w:r>
        <w:rPr>
          <w:rFonts w:hint="eastAsia" w:asciiTheme="minorEastAsia" w:hAnsiTheme="minorEastAsia" w:eastAsiaTheme="minorEastAsia" w:cstheme="minorEastAsia"/>
          <w:sz w:val="24"/>
          <w:szCs w:val="24"/>
          <w:highlight w:val="none"/>
        </w:rPr>
        <w:t>需针对</w:t>
      </w:r>
      <w:r>
        <w:rPr>
          <w:rFonts w:hint="eastAsia" w:asciiTheme="minorEastAsia" w:hAnsiTheme="minorEastAsia" w:eastAsiaTheme="minorEastAsia" w:cstheme="minorEastAsia"/>
          <w:sz w:val="24"/>
          <w:szCs w:val="24"/>
          <w:highlight w:val="none"/>
          <w:lang w:eastAsia="zh-CN"/>
        </w:rPr>
        <w:t>采购人</w:t>
      </w:r>
      <w:r>
        <w:rPr>
          <w:rFonts w:hint="eastAsia" w:asciiTheme="minorEastAsia" w:hAnsiTheme="minorEastAsia" w:eastAsiaTheme="minorEastAsia" w:cstheme="minorEastAsia"/>
          <w:sz w:val="24"/>
          <w:szCs w:val="24"/>
          <w:highlight w:val="none"/>
        </w:rPr>
        <w:t>的需求，包括负责提供第一展区展陈设计方案、深化设计、展示陈列、展示灯光、智能化管理系统设计及安装等招标人要求的全部工作。</w:t>
      </w:r>
    </w:p>
    <w:p>
      <w:pPr>
        <w:numPr>
          <w:ilvl w:val="0"/>
          <w:numId w:val="3"/>
        </w:numPr>
        <w:adjustRightInd/>
        <w:spacing w:line="360" w:lineRule="auto"/>
        <w:ind w:firstLine="480" w:firstLineChars="200"/>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展示空间内容深化设计</w:t>
      </w:r>
    </w:p>
    <w:tbl>
      <w:tblPr>
        <w:tblStyle w:val="11"/>
        <w:tblW w:w="841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
        <w:gridCol w:w="967"/>
        <w:gridCol w:w="5600"/>
        <w:gridCol w:w="1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407" w:type="dxa"/>
            <w:vAlign w:val="center"/>
          </w:tcPr>
          <w:p>
            <w:pPr>
              <w:keepNext w:val="0"/>
              <w:keepLines w:val="0"/>
              <w:pageBreakBefore w:val="0"/>
              <w:kinsoku/>
              <w:wordWrap/>
              <w:overflowPunct/>
              <w:topLinePunct w:val="0"/>
              <w:autoSpaceDE w:val="0"/>
              <w:autoSpaceDN w:val="0"/>
              <w:bidi w:val="0"/>
              <w:adjustRightInd w:val="0"/>
              <w:snapToGrid/>
              <w:spacing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kern w:val="0"/>
                <w:sz w:val="24"/>
                <w:szCs w:val="24"/>
                <w:highlight w:val="none"/>
                <w:lang w:val="zh-CN"/>
              </w:rPr>
            </w:pPr>
            <w:r>
              <w:rPr>
                <w:rFonts w:hint="eastAsia" w:asciiTheme="minorEastAsia" w:hAnsiTheme="minorEastAsia" w:eastAsiaTheme="minorEastAsia" w:cstheme="minorEastAsia"/>
                <w:kern w:val="0"/>
                <w:sz w:val="24"/>
                <w:szCs w:val="24"/>
                <w:highlight w:val="none"/>
                <w:lang w:val="zh-CN"/>
              </w:rPr>
              <w:t>序号</w:t>
            </w:r>
          </w:p>
        </w:tc>
        <w:tc>
          <w:tcPr>
            <w:tcW w:w="967" w:type="dxa"/>
            <w:vAlign w:val="center"/>
          </w:tcPr>
          <w:p>
            <w:pPr>
              <w:keepNext w:val="0"/>
              <w:keepLines w:val="0"/>
              <w:pageBreakBefore w:val="0"/>
              <w:kinsoku/>
              <w:wordWrap/>
              <w:overflowPunct/>
              <w:topLinePunct w:val="0"/>
              <w:autoSpaceDE w:val="0"/>
              <w:autoSpaceDN w:val="0"/>
              <w:bidi w:val="0"/>
              <w:adjustRightInd w:val="0"/>
              <w:snapToGrid/>
              <w:spacing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kern w:val="0"/>
                <w:sz w:val="24"/>
                <w:szCs w:val="24"/>
                <w:highlight w:val="none"/>
                <w:lang w:val="zh-CN"/>
              </w:rPr>
            </w:pPr>
            <w:r>
              <w:rPr>
                <w:rFonts w:hint="eastAsia" w:asciiTheme="minorEastAsia" w:hAnsiTheme="minorEastAsia" w:eastAsiaTheme="minorEastAsia" w:cstheme="minorEastAsia"/>
                <w:kern w:val="0"/>
                <w:sz w:val="24"/>
                <w:szCs w:val="24"/>
                <w:highlight w:val="none"/>
                <w:lang w:val="zh-CN" w:eastAsia="zh-CN"/>
              </w:rPr>
              <w:t>服务</w:t>
            </w:r>
            <w:r>
              <w:rPr>
                <w:rFonts w:hint="eastAsia" w:asciiTheme="minorEastAsia" w:hAnsiTheme="minorEastAsia" w:eastAsiaTheme="minorEastAsia" w:cstheme="minorEastAsia"/>
                <w:kern w:val="0"/>
                <w:sz w:val="24"/>
                <w:szCs w:val="24"/>
                <w:highlight w:val="none"/>
                <w:lang w:val="zh-CN"/>
              </w:rPr>
              <w:t>名称</w:t>
            </w:r>
          </w:p>
        </w:tc>
        <w:tc>
          <w:tcPr>
            <w:tcW w:w="5600" w:type="dxa"/>
            <w:vAlign w:val="center"/>
          </w:tcPr>
          <w:p>
            <w:pPr>
              <w:keepNext w:val="0"/>
              <w:keepLines w:val="0"/>
              <w:pageBreakBefore w:val="0"/>
              <w:kinsoku/>
              <w:wordWrap/>
              <w:overflowPunct/>
              <w:topLinePunct w:val="0"/>
              <w:autoSpaceDE w:val="0"/>
              <w:autoSpaceDN w:val="0"/>
              <w:bidi w:val="0"/>
              <w:adjustRightInd w:val="0"/>
              <w:snapToGrid/>
              <w:spacing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kern w:val="0"/>
                <w:sz w:val="24"/>
                <w:szCs w:val="24"/>
                <w:highlight w:val="none"/>
                <w:lang w:val="zh-CN"/>
              </w:rPr>
            </w:pPr>
            <w:r>
              <w:rPr>
                <w:rFonts w:hint="eastAsia" w:asciiTheme="minorEastAsia" w:hAnsiTheme="minorEastAsia" w:eastAsiaTheme="minorEastAsia" w:cstheme="minorEastAsia"/>
                <w:kern w:val="0"/>
                <w:sz w:val="24"/>
                <w:szCs w:val="24"/>
                <w:highlight w:val="none"/>
                <w:lang w:val="zh-CN"/>
              </w:rPr>
              <w:t>工作范围及主要要求</w:t>
            </w:r>
          </w:p>
        </w:tc>
        <w:tc>
          <w:tcPr>
            <w:tcW w:w="1441" w:type="dxa"/>
            <w:vAlign w:val="center"/>
          </w:tcPr>
          <w:p>
            <w:pPr>
              <w:keepNext w:val="0"/>
              <w:keepLines w:val="0"/>
              <w:pageBreakBefore w:val="0"/>
              <w:kinsoku/>
              <w:wordWrap/>
              <w:overflowPunct/>
              <w:topLinePunct w:val="0"/>
              <w:autoSpaceDE w:val="0"/>
              <w:autoSpaceDN w:val="0"/>
              <w:bidi w:val="0"/>
              <w:adjustRightInd w:val="0"/>
              <w:snapToGrid/>
              <w:spacing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kern w:val="0"/>
                <w:sz w:val="24"/>
                <w:szCs w:val="24"/>
                <w:highlight w:val="none"/>
                <w:lang w:val="zh-CN"/>
              </w:rPr>
            </w:pPr>
            <w:r>
              <w:rPr>
                <w:rFonts w:hint="eastAsia" w:asciiTheme="minorEastAsia" w:hAnsiTheme="minorEastAsia" w:eastAsiaTheme="minorEastAsia" w:cstheme="minorEastAsia"/>
                <w:kern w:val="0"/>
                <w:sz w:val="24"/>
                <w:szCs w:val="24"/>
                <w:highlight w:val="none"/>
                <w:lang w:val="zh-CN"/>
              </w:rPr>
              <w:t>成果要求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3" w:hRule="atLeast"/>
        </w:trPr>
        <w:tc>
          <w:tcPr>
            <w:tcW w:w="407" w:type="dxa"/>
            <w:vAlign w:val="center"/>
          </w:tcPr>
          <w:p>
            <w:pPr>
              <w:keepNext w:val="0"/>
              <w:keepLines w:val="0"/>
              <w:pageBreakBefore w:val="0"/>
              <w:kinsoku/>
              <w:wordWrap/>
              <w:overflowPunct/>
              <w:topLinePunct w:val="0"/>
              <w:autoSpaceDE w:val="0"/>
              <w:autoSpaceDN w:val="0"/>
              <w:bidi w:val="0"/>
              <w:adjustRightInd w:val="0"/>
              <w:snapToGrid/>
              <w:spacing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kern w:val="0"/>
                <w:sz w:val="24"/>
                <w:szCs w:val="24"/>
                <w:highlight w:val="none"/>
                <w:lang w:val="zh-CN"/>
              </w:rPr>
            </w:pPr>
            <w:r>
              <w:rPr>
                <w:rFonts w:hint="eastAsia" w:asciiTheme="minorEastAsia" w:hAnsiTheme="minorEastAsia" w:eastAsiaTheme="minorEastAsia" w:cstheme="minorEastAsia"/>
                <w:kern w:val="0"/>
                <w:sz w:val="24"/>
                <w:szCs w:val="24"/>
                <w:highlight w:val="none"/>
                <w:lang w:val="zh-CN"/>
              </w:rPr>
              <w:t>1</w:t>
            </w:r>
          </w:p>
        </w:tc>
        <w:tc>
          <w:tcPr>
            <w:tcW w:w="967" w:type="dxa"/>
            <w:vAlign w:val="center"/>
          </w:tcPr>
          <w:p>
            <w:pPr>
              <w:keepNext w:val="0"/>
              <w:keepLines w:val="0"/>
              <w:pageBreakBefore w:val="0"/>
              <w:kinsoku/>
              <w:wordWrap/>
              <w:overflowPunct/>
              <w:topLinePunct w:val="0"/>
              <w:autoSpaceDE w:val="0"/>
              <w:autoSpaceDN w:val="0"/>
              <w:bidi w:val="0"/>
              <w:adjustRightInd w:val="0"/>
              <w:snapToGrid/>
              <w:spacing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kern w:val="0"/>
                <w:sz w:val="24"/>
                <w:szCs w:val="24"/>
                <w:highlight w:val="none"/>
                <w:lang w:val="zh-CN"/>
              </w:rPr>
            </w:pPr>
            <w:r>
              <w:rPr>
                <w:rFonts w:hint="eastAsia" w:asciiTheme="minorEastAsia" w:hAnsiTheme="minorEastAsia" w:eastAsiaTheme="minorEastAsia" w:cstheme="minorEastAsia"/>
                <w:kern w:val="0"/>
                <w:sz w:val="24"/>
                <w:szCs w:val="24"/>
                <w:highlight w:val="none"/>
                <w:lang w:val="zh-CN"/>
              </w:rPr>
              <w:t>展览设计服务</w:t>
            </w:r>
          </w:p>
        </w:tc>
        <w:tc>
          <w:tcPr>
            <w:tcW w:w="5600" w:type="dxa"/>
            <w:vAlign w:val="center"/>
          </w:tcPr>
          <w:p>
            <w:pPr>
              <w:keepNext w:val="0"/>
              <w:keepLines w:val="0"/>
              <w:pageBreakBefore w:val="0"/>
              <w:kinsoku/>
              <w:wordWrap/>
              <w:overflowPunct/>
              <w:topLinePunct w:val="0"/>
              <w:autoSpaceDE w:val="0"/>
              <w:autoSpaceDN w:val="0"/>
              <w:bidi w:val="0"/>
              <w:adjustRightInd w:val="0"/>
              <w:snapToGrid/>
              <w:spacing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kern w:val="0"/>
                <w:sz w:val="24"/>
                <w:szCs w:val="24"/>
                <w:highlight w:val="none"/>
                <w:lang w:val="zh-CN"/>
              </w:rPr>
            </w:pPr>
            <w:r>
              <w:rPr>
                <w:rFonts w:hint="eastAsia" w:asciiTheme="minorEastAsia" w:hAnsiTheme="minorEastAsia" w:eastAsiaTheme="minorEastAsia" w:cstheme="minorEastAsia"/>
                <w:kern w:val="0"/>
                <w:sz w:val="24"/>
                <w:szCs w:val="24"/>
                <w:highlight w:val="none"/>
                <w:lang w:val="zh-CN"/>
              </w:rPr>
              <w:t>包括但不限于：展示空间整体规划图，展示空间效果设计服务，展品展项设计服务，展示平面设计服务，图文版设计服务，多媒体虚拟技术设计服务</w:t>
            </w:r>
          </w:p>
        </w:tc>
        <w:tc>
          <w:tcPr>
            <w:tcW w:w="1441" w:type="dxa"/>
            <w:vAlign w:val="center"/>
          </w:tcPr>
          <w:p>
            <w:pPr>
              <w:keepNext w:val="0"/>
              <w:keepLines w:val="0"/>
              <w:pageBreakBefore w:val="0"/>
              <w:kinsoku/>
              <w:wordWrap/>
              <w:overflowPunct/>
              <w:topLinePunct w:val="0"/>
              <w:autoSpaceDE w:val="0"/>
              <w:autoSpaceDN w:val="0"/>
              <w:bidi w:val="0"/>
              <w:adjustRightInd w:val="0"/>
              <w:snapToGrid/>
              <w:spacing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kern w:val="0"/>
                <w:sz w:val="24"/>
                <w:szCs w:val="24"/>
                <w:highlight w:val="none"/>
                <w:lang w:val="zh-CN"/>
              </w:rPr>
            </w:pPr>
            <w:r>
              <w:rPr>
                <w:rFonts w:hint="eastAsia" w:asciiTheme="minorEastAsia" w:hAnsiTheme="minorEastAsia" w:eastAsiaTheme="minorEastAsia" w:cstheme="minorEastAsia"/>
                <w:kern w:val="0"/>
                <w:sz w:val="24"/>
                <w:szCs w:val="24"/>
                <w:highlight w:val="none"/>
                <w:lang w:val="zh-CN"/>
              </w:rPr>
              <w:t>A3纸质图纸一套，光盘电子文件一套。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407" w:type="dxa"/>
            <w:vAlign w:val="center"/>
          </w:tcPr>
          <w:p>
            <w:pPr>
              <w:keepNext w:val="0"/>
              <w:keepLines w:val="0"/>
              <w:pageBreakBefore w:val="0"/>
              <w:kinsoku/>
              <w:wordWrap/>
              <w:overflowPunct/>
              <w:topLinePunct w:val="0"/>
              <w:autoSpaceDE w:val="0"/>
              <w:autoSpaceDN w:val="0"/>
              <w:bidi w:val="0"/>
              <w:adjustRightInd w:val="0"/>
              <w:snapToGrid/>
              <w:spacing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kern w:val="0"/>
                <w:sz w:val="24"/>
                <w:szCs w:val="24"/>
                <w:highlight w:val="none"/>
                <w:lang w:val="zh-CN"/>
              </w:rPr>
            </w:pPr>
            <w:r>
              <w:rPr>
                <w:rFonts w:hint="eastAsia" w:asciiTheme="minorEastAsia" w:hAnsiTheme="minorEastAsia" w:eastAsiaTheme="minorEastAsia" w:cstheme="minorEastAsia"/>
                <w:kern w:val="0"/>
                <w:sz w:val="24"/>
                <w:szCs w:val="24"/>
                <w:highlight w:val="none"/>
                <w:lang w:val="zh-CN"/>
              </w:rPr>
              <w:t>2</w:t>
            </w:r>
          </w:p>
        </w:tc>
        <w:tc>
          <w:tcPr>
            <w:tcW w:w="967" w:type="dxa"/>
            <w:vAlign w:val="center"/>
          </w:tcPr>
          <w:p>
            <w:pPr>
              <w:keepNext w:val="0"/>
              <w:keepLines w:val="0"/>
              <w:pageBreakBefore w:val="0"/>
              <w:kinsoku/>
              <w:wordWrap/>
              <w:overflowPunct/>
              <w:topLinePunct w:val="0"/>
              <w:autoSpaceDE w:val="0"/>
              <w:autoSpaceDN w:val="0"/>
              <w:bidi w:val="0"/>
              <w:adjustRightInd w:val="0"/>
              <w:snapToGrid/>
              <w:spacing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kern w:val="0"/>
                <w:sz w:val="24"/>
                <w:szCs w:val="24"/>
                <w:highlight w:val="none"/>
                <w:lang w:val="zh-CN"/>
              </w:rPr>
            </w:pPr>
            <w:r>
              <w:rPr>
                <w:rFonts w:hint="eastAsia" w:asciiTheme="minorEastAsia" w:hAnsiTheme="minorEastAsia" w:eastAsiaTheme="minorEastAsia" w:cstheme="minorEastAsia"/>
                <w:kern w:val="0"/>
                <w:sz w:val="24"/>
                <w:szCs w:val="24"/>
                <w:highlight w:val="none"/>
                <w:lang w:val="zh-CN"/>
              </w:rPr>
              <w:t>展览内容服务</w:t>
            </w:r>
          </w:p>
        </w:tc>
        <w:tc>
          <w:tcPr>
            <w:tcW w:w="5600" w:type="dxa"/>
            <w:vAlign w:val="center"/>
          </w:tcPr>
          <w:p>
            <w:pPr>
              <w:keepNext w:val="0"/>
              <w:keepLines w:val="0"/>
              <w:pageBreakBefore w:val="0"/>
              <w:kinsoku/>
              <w:wordWrap/>
              <w:overflowPunct/>
              <w:topLinePunct w:val="0"/>
              <w:autoSpaceDE w:val="0"/>
              <w:autoSpaceDN w:val="0"/>
              <w:bidi w:val="0"/>
              <w:adjustRightInd w:val="0"/>
              <w:snapToGrid/>
              <w:spacing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kern w:val="0"/>
                <w:sz w:val="24"/>
                <w:szCs w:val="24"/>
                <w:highlight w:val="none"/>
                <w:lang w:val="zh-CN"/>
              </w:rPr>
            </w:pPr>
            <w:r>
              <w:rPr>
                <w:rFonts w:hint="eastAsia" w:asciiTheme="minorEastAsia" w:hAnsiTheme="minorEastAsia" w:eastAsiaTheme="minorEastAsia" w:cstheme="minorEastAsia"/>
                <w:kern w:val="0"/>
                <w:sz w:val="24"/>
                <w:szCs w:val="24"/>
                <w:highlight w:val="none"/>
                <w:lang w:val="zh-CN"/>
              </w:rPr>
              <w:t>需针对消防安全知识点的专业性和权威性的角度进行展馆整体策划（展示大纲策划）服务；深化展览内容版块、展品专业知识点及各展项深化故事脚本（包括多媒体虚拟技术设计）</w:t>
            </w:r>
          </w:p>
        </w:tc>
        <w:tc>
          <w:tcPr>
            <w:tcW w:w="1441" w:type="dxa"/>
            <w:vAlign w:val="center"/>
          </w:tcPr>
          <w:p>
            <w:pPr>
              <w:keepNext w:val="0"/>
              <w:keepLines w:val="0"/>
              <w:pageBreakBefore w:val="0"/>
              <w:kinsoku/>
              <w:wordWrap/>
              <w:overflowPunct/>
              <w:topLinePunct w:val="0"/>
              <w:autoSpaceDE w:val="0"/>
              <w:autoSpaceDN w:val="0"/>
              <w:bidi w:val="0"/>
              <w:adjustRightInd w:val="0"/>
              <w:snapToGrid/>
              <w:spacing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kern w:val="0"/>
                <w:sz w:val="24"/>
                <w:szCs w:val="24"/>
                <w:highlight w:val="none"/>
                <w:lang w:val="zh-CN"/>
              </w:rPr>
            </w:pPr>
            <w:r>
              <w:rPr>
                <w:rFonts w:hint="eastAsia" w:asciiTheme="minorEastAsia" w:hAnsiTheme="minorEastAsia" w:eastAsiaTheme="minorEastAsia" w:cstheme="minorEastAsia"/>
                <w:kern w:val="0"/>
                <w:sz w:val="24"/>
                <w:szCs w:val="24"/>
                <w:highlight w:val="none"/>
                <w:lang w:val="zh-CN"/>
              </w:rPr>
              <w:t>A3纸质图纸一套，光盘电子文件一套。</w:t>
            </w:r>
          </w:p>
        </w:tc>
      </w:tr>
    </w:tbl>
    <w:p>
      <w:pPr>
        <w:numPr>
          <w:ilvl w:val="0"/>
          <w:numId w:val="3"/>
        </w:numPr>
        <w:adjustRightInd/>
        <w:spacing w:line="360" w:lineRule="auto"/>
        <w:ind w:firstLine="480" w:firstLineChars="200"/>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基础结构制作部分：</w:t>
      </w:r>
    </w:p>
    <w:tbl>
      <w:tblPr>
        <w:tblStyle w:val="11"/>
        <w:tblW w:w="841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
        <w:gridCol w:w="967"/>
        <w:gridCol w:w="4714"/>
        <w:gridCol w:w="2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07"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jc w:val="center"/>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kern w:val="0"/>
                <w:sz w:val="24"/>
                <w:szCs w:val="24"/>
                <w:highlight w:val="none"/>
                <w:lang w:val="zh-CN"/>
              </w:rPr>
              <w:t>序号</w:t>
            </w:r>
          </w:p>
        </w:tc>
        <w:tc>
          <w:tcPr>
            <w:tcW w:w="967"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lang w:eastAsia="zh-CN"/>
              </w:rPr>
              <w:t>服务</w:t>
            </w:r>
            <w:r>
              <w:rPr>
                <w:rFonts w:hint="eastAsia" w:asciiTheme="minorEastAsia" w:hAnsiTheme="minorEastAsia" w:eastAsiaTheme="minorEastAsia" w:cstheme="minorEastAsia"/>
                <w:sz w:val="24"/>
                <w:szCs w:val="24"/>
                <w:highlight w:val="none"/>
              </w:rPr>
              <w:t>名称</w:t>
            </w:r>
          </w:p>
        </w:tc>
        <w:tc>
          <w:tcPr>
            <w:tcW w:w="4714"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工作范围及主要要求</w:t>
            </w:r>
          </w:p>
        </w:tc>
        <w:tc>
          <w:tcPr>
            <w:tcW w:w="2327"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成果要求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3" w:hRule="atLeast"/>
        </w:trPr>
        <w:tc>
          <w:tcPr>
            <w:tcW w:w="407"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jc w:val="center"/>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1</w:t>
            </w:r>
          </w:p>
        </w:tc>
        <w:tc>
          <w:tcPr>
            <w:tcW w:w="967"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布展配套搭建</w:t>
            </w:r>
          </w:p>
        </w:tc>
        <w:tc>
          <w:tcPr>
            <w:tcW w:w="4714"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总面积约500平方米展区配套展品展项设施搭建布展服务（含天地墙基础装饰等）</w:t>
            </w:r>
          </w:p>
        </w:tc>
        <w:tc>
          <w:tcPr>
            <w:tcW w:w="2327"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与设计图纸保持一致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407"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jc w:val="center"/>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2</w:t>
            </w:r>
          </w:p>
        </w:tc>
        <w:tc>
          <w:tcPr>
            <w:tcW w:w="967"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灯光系统</w:t>
            </w:r>
          </w:p>
        </w:tc>
        <w:tc>
          <w:tcPr>
            <w:tcW w:w="4714"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展区环境灯光（普照明）：能够满足日常工作照明及维修维护工作亮度；</w:t>
            </w:r>
          </w:p>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展示灯光系统：能够满足展品展项的展示需求，并起到烘托周围环境的作用。</w:t>
            </w:r>
          </w:p>
        </w:tc>
        <w:tc>
          <w:tcPr>
            <w:tcW w:w="2327"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与设计图纸保持一致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407"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jc w:val="center"/>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3</w:t>
            </w:r>
          </w:p>
        </w:tc>
        <w:tc>
          <w:tcPr>
            <w:tcW w:w="967"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音响系统</w:t>
            </w:r>
          </w:p>
        </w:tc>
        <w:tc>
          <w:tcPr>
            <w:tcW w:w="4714"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展区内背景讲解音响、独立展项讲解音响</w:t>
            </w:r>
          </w:p>
        </w:tc>
        <w:tc>
          <w:tcPr>
            <w:tcW w:w="2327"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与设计图纸保持一致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5" w:hRule="atLeast"/>
        </w:trPr>
        <w:tc>
          <w:tcPr>
            <w:tcW w:w="407"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jc w:val="center"/>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4</w:t>
            </w:r>
          </w:p>
        </w:tc>
        <w:tc>
          <w:tcPr>
            <w:tcW w:w="967"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强弱电</w:t>
            </w:r>
          </w:p>
        </w:tc>
        <w:tc>
          <w:tcPr>
            <w:tcW w:w="4714"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各类灯光照明、设备系统用电设，弱电综合布线工程（包括各类信号线、控制线缆、VGA线等）</w:t>
            </w:r>
          </w:p>
        </w:tc>
        <w:tc>
          <w:tcPr>
            <w:tcW w:w="2327"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与设计图纸保持一致</w:t>
            </w:r>
          </w:p>
        </w:tc>
      </w:tr>
    </w:tbl>
    <w:p>
      <w:pPr>
        <w:numPr>
          <w:ilvl w:val="0"/>
          <w:numId w:val="3"/>
        </w:numPr>
        <w:adjustRightInd/>
        <w:spacing w:line="360" w:lineRule="auto"/>
        <w:ind w:firstLine="480" w:firstLineChars="200"/>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展陈制作部分</w:t>
      </w:r>
    </w:p>
    <w:tbl>
      <w:tblPr>
        <w:tblStyle w:val="11"/>
        <w:tblW w:w="841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
        <w:gridCol w:w="980"/>
        <w:gridCol w:w="4698"/>
        <w:gridCol w:w="2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1" w:hRule="atLeast"/>
        </w:trPr>
        <w:tc>
          <w:tcPr>
            <w:tcW w:w="410"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序号</w:t>
            </w:r>
          </w:p>
        </w:tc>
        <w:tc>
          <w:tcPr>
            <w:tcW w:w="980"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lang w:eastAsia="zh-CN"/>
              </w:rPr>
              <w:t>服务</w:t>
            </w:r>
            <w:r>
              <w:rPr>
                <w:rFonts w:hint="eastAsia" w:asciiTheme="minorEastAsia" w:hAnsiTheme="minorEastAsia" w:eastAsiaTheme="minorEastAsia" w:cstheme="minorEastAsia"/>
                <w:sz w:val="24"/>
                <w:szCs w:val="24"/>
                <w:highlight w:val="none"/>
              </w:rPr>
              <w:t>名称</w:t>
            </w:r>
          </w:p>
        </w:tc>
        <w:tc>
          <w:tcPr>
            <w:tcW w:w="4698"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工作范围及主要要求</w:t>
            </w:r>
          </w:p>
        </w:tc>
        <w:tc>
          <w:tcPr>
            <w:tcW w:w="2327"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成果要求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410"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1</w:t>
            </w:r>
          </w:p>
        </w:tc>
        <w:tc>
          <w:tcPr>
            <w:tcW w:w="980"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展示造型制作</w:t>
            </w:r>
          </w:p>
        </w:tc>
        <w:tc>
          <w:tcPr>
            <w:tcW w:w="4698"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各类展示立面形式制作</w:t>
            </w:r>
          </w:p>
        </w:tc>
        <w:tc>
          <w:tcPr>
            <w:tcW w:w="2327"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与设计图纸保持一致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410"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2</w:t>
            </w:r>
          </w:p>
        </w:tc>
        <w:tc>
          <w:tcPr>
            <w:tcW w:w="980"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美工制作</w:t>
            </w:r>
          </w:p>
        </w:tc>
        <w:tc>
          <w:tcPr>
            <w:tcW w:w="4698"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各类展板画面高精度写真、灯箱、立体字，及各类电雕、丝网印刷等特殊美工工艺</w:t>
            </w:r>
          </w:p>
        </w:tc>
        <w:tc>
          <w:tcPr>
            <w:tcW w:w="2327"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与设计图纸保持一致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410"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3</w:t>
            </w:r>
          </w:p>
        </w:tc>
        <w:tc>
          <w:tcPr>
            <w:tcW w:w="980"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图文设计制作</w:t>
            </w:r>
          </w:p>
        </w:tc>
        <w:tc>
          <w:tcPr>
            <w:tcW w:w="4698"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资料搜集、展示图片拍摄、处理。</w:t>
            </w:r>
          </w:p>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平面设计及完稿</w:t>
            </w:r>
          </w:p>
        </w:tc>
        <w:tc>
          <w:tcPr>
            <w:tcW w:w="2327"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与设计图纸保持一致</w:t>
            </w:r>
          </w:p>
        </w:tc>
      </w:tr>
    </w:tbl>
    <w:p>
      <w:pPr>
        <w:numPr>
          <w:ilvl w:val="0"/>
          <w:numId w:val="3"/>
        </w:numPr>
        <w:adjustRightInd/>
        <w:spacing w:line="360" w:lineRule="auto"/>
        <w:ind w:firstLine="480" w:firstLineChars="200"/>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多媒体展示系统</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677"/>
        <w:gridCol w:w="6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817" w:type="dxa"/>
            <w:vAlign w:val="center"/>
          </w:tcPr>
          <w:p>
            <w:pPr>
              <w:widowControl/>
              <w:spacing w:line="360" w:lineRule="auto"/>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序号</w:t>
            </w:r>
          </w:p>
        </w:tc>
        <w:tc>
          <w:tcPr>
            <w:tcW w:w="1677" w:type="dxa"/>
            <w:vAlign w:val="center"/>
          </w:tcPr>
          <w:p>
            <w:pPr>
              <w:widowControl/>
              <w:spacing w:line="36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名称</w:t>
            </w:r>
          </w:p>
        </w:tc>
        <w:tc>
          <w:tcPr>
            <w:tcW w:w="6028" w:type="dxa"/>
            <w:vAlign w:val="center"/>
          </w:tcPr>
          <w:p>
            <w:pPr>
              <w:widowControl/>
              <w:spacing w:line="360" w:lineRule="auto"/>
              <w:ind w:firstLine="480" w:firstLineChars="20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工作范围及主要要求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817"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jc w:val="center"/>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1</w:t>
            </w:r>
          </w:p>
        </w:tc>
        <w:tc>
          <w:tcPr>
            <w:tcW w:w="1677"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常规硬件设备</w:t>
            </w:r>
          </w:p>
        </w:tc>
        <w:tc>
          <w:tcPr>
            <w:tcW w:w="6028"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各类单体显示设备（LCD、拼接屏、触控屏等）、电脑主机、控制设备。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817"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jc w:val="center"/>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2</w:t>
            </w:r>
          </w:p>
        </w:tc>
        <w:tc>
          <w:tcPr>
            <w:tcW w:w="1677"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定制造型设备</w:t>
            </w:r>
          </w:p>
        </w:tc>
        <w:tc>
          <w:tcPr>
            <w:tcW w:w="6028"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显示终端设备和人机交互界面终端的非标准化应用，包括定制外观形态、定制规格、定制应用、特殊要求改装等。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817"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jc w:val="center"/>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3</w:t>
            </w:r>
          </w:p>
        </w:tc>
        <w:tc>
          <w:tcPr>
            <w:tcW w:w="1677"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多媒体软件</w:t>
            </w:r>
          </w:p>
        </w:tc>
        <w:tc>
          <w:tcPr>
            <w:tcW w:w="6028"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技术功能实现软件、系统软件、集成类软件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817"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jc w:val="center"/>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4</w:t>
            </w:r>
          </w:p>
        </w:tc>
        <w:tc>
          <w:tcPr>
            <w:tcW w:w="1677"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数字内容制作</w:t>
            </w:r>
          </w:p>
        </w:tc>
        <w:tc>
          <w:tcPr>
            <w:tcW w:w="6028"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各类流式、互动的数字内容创意、制作、表现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817"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jc w:val="center"/>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5</w:t>
            </w:r>
          </w:p>
        </w:tc>
        <w:tc>
          <w:tcPr>
            <w:tcW w:w="1677"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多媒体宣传</w:t>
            </w:r>
          </w:p>
        </w:tc>
        <w:tc>
          <w:tcPr>
            <w:tcW w:w="6028"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关于消防展项内容主题应用的不超过10分钟多媒体数字内容介绍</w:t>
            </w:r>
          </w:p>
        </w:tc>
      </w:tr>
    </w:tbl>
    <w:p>
      <w:pPr>
        <w:numPr>
          <w:ilvl w:val="0"/>
          <w:numId w:val="3"/>
        </w:numPr>
        <w:adjustRightInd/>
        <w:spacing w:line="360" w:lineRule="auto"/>
        <w:ind w:firstLine="480" w:firstLineChars="200"/>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互动体验装置及创新技术</w:t>
      </w:r>
    </w:p>
    <w:tbl>
      <w:tblPr>
        <w:tblStyle w:val="11"/>
        <w:tblW w:w="84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703"/>
        <w:gridCol w:w="5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817" w:type="dxa"/>
            <w:vAlign w:val="center"/>
          </w:tcPr>
          <w:p>
            <w:pPr>
              <w:keepNext w:val="0"/>
              <w:keepLines w:val="0"/>
              <w:pageBreakBefore w:val="0"/>
              <w:kinsoku/>
              <w:wordWrap/>
              <w:overflowPunct/>
              <w:topLinePunct w:val="0"/>
              <w:autoSpaceDE w:val="0"/>
              <w:autoSpaceDN w:val="0"/>
              <w:bidi w:val="0"/>
              <w:adjustRightInd w:val="0"/>
              <w:snapToGrid/>
              <w:spacing w:line="240" w:lineRule="auto"/>
              <w:ind w:left="0" w:leftChars="0" w:right="0" w:rightChars="0" w:firstLine="0" w:firstLineChars="0"/>
              <w:jc w:val="center"/>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序号</w:t>
            </w:r>
          </w:p>
        </w:tc>
        <w:tc>
          <w:tcPr>
            <w:tcW w:w="1703" w:type="dxa"/>
            <w:vAlign w:val="center"/>
          </w:tcPr>
          <w:p>
            <w:pPr>
              <w:keepNext w:val="0"/>
              <w:keepLines w:val="0"/>
              <w:pageBreakBefore w:val="0"/>
              <w:kinsoku/>
              <w:wordWrap/>
              <w:overflowPunct/>
              <w:topLinePunct w:val="0"/>
              <w:autoSpaceDE w:val="0"/>
              <w:autoSpaceDN w:val="0"/>
              <w:bidi w:val="0"/>
              <w:adjustRightInd w:val="0"/>
              <w:snapToGrid/>
              <w:spacing w:line="240" w:lineRule="auto"/>
              <w:ind w:left="0" w:leftChars="0" w:right="0" w:rightChars="0" w:firstLine="0" w:firstLineChars="0"/>
              <w:jc w:val="center"/>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名称</w:t>
            </w:r>
          </w:p>
        </w:tc>
        <w:tc>
          <w:tcPr>
            <w:tcW w:w="5953" w:type="dxa"/>
            <w:vAlign w:val="center"/>
          </w:tcPr>
          <w:p>
            <w:pPr>
              <w:keepNext w:val="0"/>
              <w:keepLines w:val="0"/>
              <w:pageBreakBefore w:val="0"/>
              <w:kinsoku/>
              <w:wordWrap/>
              <w:overflowPunct/>
              <w:topLinePunct w:val="0"/>
              <w:autoSpaceDE w:val="0"/>
              <w:autoSpaceDN w:val="0"/>
              <w:bidi w:val="0"/>
              <w:adjustRightInd w:val="0"/>
              <w:snapToGrid/>
              <w:spacing w:line="240" w:lineRule="auto"/>
              <w:ind w:left="0" w:leftChars="0" w:right="0" w:rightChars="0" w:firstLine="0" w:firstLineChars="0"/>
              <w:jc w:val="center"/>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工作范围及主要要求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817" w:type="dxa"/>
            <w:vAlign w:val="center"/>
          </w:tcPr>
          <w:p>
            <w:pPr>
              <w:keepNext w:val="0"/>
              <w:keepLines w:val="0"/>
              <w:pageBreakBefore w:val="0"/>
              <w:kinsoku/>
              <w:wordWrap/>
              <w:overflowPunct/>
              <w:topLinePunct w:val="0"/>
              <w:autoSpaceDE w:val="0"/>
              <w:autoSpaceDN w:val="0"/>
              <w:bidi w:val="0"/>
              <w:adjustRightInd w:val="0"/>
              <w:snapToGrid/>
              <w:spacing w:line="240" w:lineRule="auto"/>
              <w:ind w:left="0" w:leftChars="0" w:right="0" w:rightChars="0" w:firstLine="0" w:firstLineChars="0"/>
              <w:jc w:val="center"/>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1</w:t>
            </w:r>
          </w:p>
        </w:tc>
        <w:tc>
          <w:tcPr>
            <w:tcW w:w="1703" w:type="dxa"/>
            <w:vAlign w:val="center"/>
          </w:tcPr>
          <w:p>
            <w:pPr>
              <w:keepNext w:val="0"/>
              <w:keepLines w:val="0"/>
              <w:pageBreakBefore w:val="0"/>
              <w:kinsoku/>
              <w:wordWrap/>
              <w:overflowPunct/>
              <w:topLinePunct w:val="0"/>
              <w:autoSpaceDE w:val="0"/>
              <w:autoSpaceDN w:val="0"/>
              <w:bidi w:val="0"/>
              <w:adjustRightInd w:val="0"/>
              <w:snapToGrid/>
              <w:spacing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互动体验装置</w:t>
            </w:r>
          </w:p>
        </w:tc>
        <w:tc>
          <w:tcPr>
            <w:tcW w:w="5953" w:type="dxa"/>
            <w:vAlign w:val="center"/>
          </w:tcPr>
          <w:p>
            <w:pPr>
              <w:keepNext w:val="0"/>
              <w:keepLines w:val="0"/>
              <w:pageBreakBefore w:val="0"/>
              <w:kinsoku/>
              <w:wordWrap/>
              <w:overflowPunct/>
              <w:topLinePunct w:val="0"/>
              <w:autoSpaceDE w:val="0"/>
              <w:autoSpaceDN w:val="0"/>
              <w:bidi w:val="0"/>
              <w:adjustRightInd w:val="0"/>
              <w:snapToGrid/>
              <w:spacing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本展区将建设成为一个极具特色的多功能的综合展示场所，其设计规划的合理性，空间的艺术性，展示手段、展示设备的先进性，应该考虑五年左右的提前量。科学技术的巧妙运用，将使展示空间、展项展品有机地结合在一起，形成公众安全教育的桥头堡。通过互动、参与、感受和体验等方式，应用声、光、电技术；机电一体化技术、多媒体虚拟技术和图文制作等手段，对参观者实施传播。侧重于对公众安全知识的传播和培育、未来发展的引导、科学技术原理的宣扬，真正在场馆中体现寓教于乐来达到良好的传播效果。</w:t>
            </w:r>
          </w:p>
        </w:tc>
      </w:tr>
    </w:tbl>
    <w:p>
      <w:pPr>
        <w:numPr>
          <w:ilvl w:val="0"/>
          <w:numId w:val="3"/>
        </w:numPr>
        <w:adjustRightInd/>
        <w:spacing w:line="360" w:lineRule="auto"/>
        <w:ind w:firstLine="480" w:firstLineChars="200"/>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展厅智能化</w:t>
      </w:r>
    </w:p>
    <w:tbl>
      <w:tblPr>
        <w:tblStyle w:val="11"/>
        <w:tblW w:w="84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701"/>
        <w:gridCol w:w="5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817"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jc w:val="center"/>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序号</w:t>
            </w:r>
          </w:p>
        </w:tc>
        <w:tc>
          <w:tcPr>
            <w:tcW w:w="1701"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jc w:val="center"/>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名称</w:t>
            </w:r>
          </w:p>
        </w:tc>
        <w:tc>
          <w:tcPr>
            <w:tcW w:w="5955"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jc w:val="center"/>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工作范围及主要要求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817"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jc w:val="center"/>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1</w:t>
            </w:r>
          </w:p>
        </w:tc>
        <w:tc>
          <w:tcPr>
            <w:tcW w:w="1701" w:type="dxa"/>
            <w:vAlign w:val="center"/>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中央集中控制管理系统</w:t>
            </w:r>
          </w:p>
        </w:tc>
        <w:tc>
          <w:tcPr>
            <w:tcW w:w="5955" w:type="dxa"/>
          </w:tcPr>
          <w:p>
            <w:pPr>
              <w:keepNext w:val="0"/>
              <w:keepLines w:val="0"/>
              <w:pageBreakBefore w:val="0"/>
              <w:widowControl/>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展区内设有中控室。实现远程维护管理、运行状态实时监控、一键开关机、智能化后台。</w:t>
            </w:r>
          </w:p>
        </w:tc>
      </w:tr>
    </w:tbl>
    <w:p>
      <w:pPr>
        <w:spacing w:line="360" w:lineRule="auto"/>
        <w:ind w:firstLine="480" w:firstLineChars="20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四、主要设备技术要求</w:t>
      </w:r>
    </w:p>
    <w:p>
      <w:pPr>
        <w:spacing w:line="360" w:lineRule="auto"/>
        <w:ind w:firstLine="480" w:firstLineChars="20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为实现较好</w:t>
      </w:r>
      <w:bookmarkStart w:id="0" w:name="_GoBack"/>
      <w:bookmarkEnd w:id="0"/>
      <w:r>
        <w:rPr>
          <w:rFonts w:hint="eastAsia" w:asciiTheme="minorEastAsia" w:hAnsiTheme="minorEastAsia" w:eastAsiaTheme="minorEastAsia" w:cstheme="minorEastAsia"/>
          <w:sz w:val="24"/>
          <w:szCs w:val="24"/>
        </w:rPr>
        <w:t>的展示效果，展馆内选用的主要设备技术参数要求如下</w:t>
      </w:r>
      <w:r>
        <w:rPr>
          <w:rFonts w:hint="eastAsia" w:asciiTheme="minorEastAsia" w:hAnsiTheme="minorEastAsia" w:eastAsiaTheme="minorEastAsia" w:cstheme="minorEastAsia"/>
          <w:sz w:val="24"/>
          <w:szCs w:val="24"/>
          <w:highlight w:val="yellow"/>
        </w:rPr>
        <w:t>（不得低于以下标准）</w:t>
      </w:r>
      <w:r>
        <w:rPr>
          <w:rFonts w:hint="eastAsia" w:asciiTheme="minorEastAsia" w:hAnsiTheme="minorEastAsia" w:eastAsiaTheme="minorEastAsia" w:cstheme="minorEastAsia"/>
          <w:sz w:val="24"/>
          <w:szCs w:val="24"/>
        </w:rPr>
        <w:t>：</w:t>
      </w:r>
    </w:p>
    <w:tbl>
      <w:tblPr>
        <w:tblStyle w:val="11"/>
        <w:tblW w:w="8169"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66"/>
        <w:gridCol w:w="1420"/>
        <w:gridCol w:w="3821"/>
        <w:gridCol w:w="2062"/>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6" w:type="dxa"/>
            <w:tcBorders>
              <w:top w:val="single" w:color="auto" w:sz="12" w:space="0"/>
            </w:tcBorders>
            <w:vAlign w:val="center"/>
          </w:tcPr>
          <w:p>
            <w:pPr>
              <w:spacing w:line="360" w:lineRule="auto"/>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序号</w:t>
            </w:r>
          </w:p>
        </w:tc>
        <w:tc>
          <w:tcPr>
            <w:tcW w:w="1420" w:type="dxa"/>
            <w:tcBorders>
              <w:top w:val="single" w:color="auto" w:sz="12" w:space="0"/>
            </w:tcBorders>
            <w:vAlign w:val="center"/>
          </w:tcPr>
          <w:p>
            <w:pPr>
              <w:spacing w:line="360" w:lineRule="auto"/>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货物名称</w:t>
            </w:r>
          </w:p>
        </w:tc>
        <w:tc>
          <w:tcPr>
            <w:tcW w:w="3821" w:type="dxa"/>
            <w:tcBorders>
              <w:top w:val="single" w:color="auto" w:sz="12" w:space="0"/>
            </w:tcBorders>
            <w:vAlign w:val="center"/>
          </w:tcPr>
          <w:p>
            <w:pPr>
              <w:spacing w:line="360" w:lineRule="auto"/>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招标要求</w:t>
            </w:r>
          </w:p>
        </w:tc>
        <w:tc>
          <w:tcPr>
            <w:tcW w:w="2062" w:type="dxa"/>
            <w:tcBorders>
              <w:top w:val="single" w:color="auto" w:sz="12" w:space="0"/>
            </w:tcBorders>
            <w:vAlign w:val="center"/>
          </w:tcPr>
          <w:p>
            <w:pPr>
              <w:spacing w:line="360" w:lineRule="auto"/>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实质性要求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jc w:val="center"/>
        </w:trPr>
        <w:tc>
          <w:tcPr>
            <w:tcW w:w="866" w:type="dxa"/>
            <w:vMerge w:val="restart"/>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jc w:val="center"/>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1</w:t>
            </w:r>
          </w:p>
        </w:tc>
        <w:tc>
          <w:tcPr>
            <w:tcW w:w="1420" w:type="dxa"/>
            <w:vMerge w:val="restart"/>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计算机主机</w:t>
            </w:r>
          </w:p>
        </w:tc>
        <w:tc>
          <w:tcPr>
            <w:tcW w:w="3821" w:type="dxa"/>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CPU: 核心数量：四核；</w:t>
            </w:r>
          </w:p>
        </w:tc>
        <w:tc>
          <w:tcPr>
            <w:tcW w:w="2062" w:type="dxa"/>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是</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56" w:hRule="atLeast"/>
          <w:jc w:val="center"/>
        </w:trPr>
        <w:tc>
          <w:tcPr>
            <w:tcW w:w="866" w:type="dxa"/>
            <w:vMerge w:val="continue"/>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jc w:val="center"/>
              <w:textAlignment w:val="baseline"/>
              <w:outlineLvl w:val="9"/>
              <w:rPr>
                <w:rFonts w:hint="eastAsia" w:asciiTheme="minorEastAsia" w:hAnsiTheme="minorEastAsia" w:eastAsiaTheme="minorEastAsia" w:cstheme="minorEastAsia"/>
                <w:sz w:val="24"/>
                <w:szCs w:val="24"/>
                <w:highlight w:val="none"/>
              </w:rPr>
            </w:pPr>
          </w:p>
        </w:tc>
        <w:tc>
          <w:tcPr>
            <w:tcW w:w="1420" w:type="dxa"/>
            <w:vMerge w:val="continue"/>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p>
        </w:tc>
        <w:tc>
          <w:tcPr>
            <w:tcW w:w="3821" w:type="dxa"/>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主频：1.8GHz；</w:t>
            </w:r>
          </w:p>
        </w:tc>
        <w:tc>
          <w:tcPr>
            <w:tcW w:w="2062" w:type="dxa"/>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是</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jc w:val="center"/>
        </w:trPr>
        <w:tc>
          <w:tcPr>
            <w:tcW w:w="866" w:type="dxa"/>
            <w:vMerge w:val="continue"/>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jc w:val="center"/>
              <w:textAlignment w:val="baseline"/>
              <w:outlineLvl w:val="9"/>
              <w:rPr>
                <w:rFonts w:hint="eastAsia" w:asciiTheme="minorEastAsia" w:hAnsiTheme="minorEastAsia" w:eastAsiaTheme="minorEastAsia" w:cstheme="minorEastAsia"/>
                <w:sz w:val="24"/>
                <w:szCs w:val="24"/>
                <w:highlight w:val="none"/>
              </w:rPr>
            </w:pPr>
          </w:p>
        </w:tc>
        <w:tc>
          <w:tcPr>
            <w:tcW w:w="1420" w:type="dxa"/>
            <w:vMerge w:val="continue"/>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p>
        </w:tc>
        <w:tc>
          <w:tcPr>
            <w:tcW w:w="3821" w:type="dxa"/>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三级缓存：4M ；</w:t>
            </w:r>
          </w:p>
        </w:tc>
        <w:tc>
          <w:tcPr>
            <w:tcW w:w="2062" w:type="dxa"/>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是</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85" w:hRule="atLeast"/>
          <w:jc w:val="center"/>
        </w:trPr>
        <w:tc>
          <w:tcPr>
            <w:tcW w:w="866" w:type="dxa"/>
            <w:vMerge w:val="continue"/>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jc w:val="center"/>
              <w:textAlignment w:val="baseline"/>
              <w:outlineLvl w:val="9"/>
              <w:rPr>
                <w:rFonts w:hint="eastAsia" w:asciiTheme="minorEastAsia" w:hAnsiTheme="minorEastAsia" w:eastAsiaTheme="minorEastAsia" w:cstheme="minorEastAsia"/>
                <w:sz w:val="24"/>
                <w:szCs w:val="24"/>
                <w:highlight w:val="none"/>
              </w:rPr>
            </w:pPr>
          </w:p>
        </w:tc>
        <w:tc>
          <w:tcPr>
            <w:tcW w:w="1420" w:type="dxa"/>
            <w:vMerge w:val="continue"/>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p>
        </w:tc>
        <w:tc>
          <w:tcPr>
            <w:tcW w:w="3821" w:type="dxa"/>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内存：内存主频：DDR3 1600；</w:t>
            </w:r>
          </w:p>
        </w:tc>
        <w:tc>
          <w:tcPr>
            <w:tcW w:w="2062" w:type="dxa"/>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是</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34" w:hRule="atLeast"/>
          <w:jc w:val="center"/>
        </w:trPr>
        <w:tc>
          <w:tcPr>
            <w:tcW w:w="866" w:type="dxa"/>
            <w:vMerge w:val="continue"/>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jc w:val="center"/>
              <w:textAlignment w:val="baseline"/>
              <w:outlineLvl w:val="9"/>
              <w:rPr>
                <w:rFonts w:hint="eastAsia" w:asciiTheme="minorEastAsia" w:hAnsiTheme="minorEastAsia" w:eastAsiaTheme="minorEastAsia" w:cstheme="minorEastAsia"/>
                <w:sz w:val="24"/>
                <w:szCs w:val="24"/>
                <w:highlight w:val="none"/>
              </w:rPr>
            </w:pPr>
          </w:p>
        </w:tc>
        <w:tc>
          <w:tcPr>
            <w:tcW w:w="1420" w:type="dxa"/>
            <w:vMerge w:val="continue"/>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p>
        </w:tc>
        <w:tc>
          <w:tcPr>
            <w:tcW w:w="3821" w:type="dxa"/>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内存总容量：4G ；</w:t>
            </w:r>
          </w:p>
        </w:tc>
        <w:tc>
          <w:tcPr>
            <w:tcW w:w="2062" w:type="dxa"/>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是</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18" w:hRule="atLeast"/>
          <w:jc w:val="center"/>
        </w:trPr>
        <w:tc>
          <w:tcPr>
            <w:tcW w:w="866" w:type="dxa"/>
            <w:vMerge w:val="continue"/>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jc w:val="center"/>
              <w:textAlignment w:val="baseline"/>
              <w:outlineLvl w:val="9"/>
              <w:rPr>
                <w:rFonts w:hint="eastAsia" w:asciiTheme="minorEastAsia" w:hAnsiTheme="minorEastAsia" w:eastAsiaTheme="minorEastAsia" w:cstheme="minorEastAsia"/>
                <w:sz w:val="24"/>
                <w:szCs w:val="24"/>
                <w:highlight w:val="none"/>
              </w:rPr>
            </w:pPr>
          </w:p>
        </w:tc>
        <w:tc>
          <w:tcPr>
            <w:tcW w:w="1420" w:type="dxa"/>
            <w:vMerge w:val="continue"/>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p>
        </w:tc>
        <w:tc>
          <w:tcPr>
            <w:tcW w:w="3821" w:type="dxa"/>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128G固态硬盘SSD；</w:t>
            </w:r>
          </w:p>
        </w:tc>
        <w:tc>
          <w:tcPr>
            <w:tcW w:w="2062" w:type="dxa"/>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是</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jc w:val="center"/>
        </w:trPr>
        <w:tc>
          <w:tcPr>
            <w:tcW w:w="866" w:type="dxa"/>
            <w:vMerge w:val="continue"/>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jc w:val="center"/>
              <w:textAlignment w:val="baseline"/>
              <w:outlineLvl w:val="9"/>
              <w:rPr>
                <w:rFonts w:hint="eastAsia" w:asciiTheme="minorEastAsia" w:hAnsiTheme="minorEastAsia" w:eastAsiaTheme="minorEastAsia" w:cstheme="minorEastAsia"/>
                <w:sz w:val="24"/>
                <w:szCs w:val="24"/>
                <w:highlight w:val="none"/>
              </w:rPr>
            </w:pPr>
          </w:p>
        </w:tc>
        <w:tc>
          <w:tcPr>
            <w:tcW w:w="1420" w:type="dxa"/>
            <w:vMerge w:val="continue"/>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p>
        </w:tc>
        <w:tc>
          <w:tcPr>
            <w:tcW w:w="3821" w:type="dxa"/>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高性能独立显卡：显存容量：2048M；</w:t>
            </w:r>
          </w:p>
        </w:tc>
        <w:tc>
          <w:tcPr>
            <w:tcW w:w="2062" w:type="dxa"/>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是</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jc w:val="center"/>
        </w:trPr>
        <w:tc>
          <w:tcPr>
            <w:tcW w:w="866" w:type="dxa"/>
            <w:vMerge w:val="restart"/>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jc w:val="center"/>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2</w:t>
            </w:r>
          </w:p>
        </w:tc>
        <w:tc>
          <w:tcPr>
            <w:tcW w:w="1420" w:type="dxa"/>
            <w:vMerge w:val="restart"/>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 xml:space="preserve">工程投影机    </w:t>
            </w:r>
          </w:p>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p>
        </w:tc>
        <w:tc>
          <w:tcPr>
            <w:tcW w:w="3821" w:type="dxa"/>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分辨率：XGA（1024*768），</w:t>
            </w:r>
          </w:p>
        </w:tc>
        <w:tc>
          <w:tcPr>
            <w:tcW w:w="2062" w:type="dxa"/>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是</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866" w:type="dxa"/>
            <w:vMerge w:val="continue"/>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jc w:val="center"/>
              <w:textAlignment w:val="baseline"/>
              <w:outlineLvl w:val="9"/>
              <w:rPr>
                <w:rFonts w:hint="eastAsia" w:asciiTheme="minorEastAsia" w:hAnsiTheme="minorEastAsia" w:eastAsiaTheme="minorEastAsia" w:cstheme="minorEastAsia"/>
                <w:sz w:val="24"/>
                <w:szCs w:val="24"/>
                <w:highlight w:val="none"/>
              </w:rPr>
            </w:pPr>
          </w:p>
        </w:tc>
        <w:tc>
          <w:tcPr>
            <w:tcW w:w="1420" w:type="dxa"/>
            <w:vMerge w:val="continue"/>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p>
        </w:tc>
        <w:tc>
          <w:tcPr>
            <w:tcW w:w="3821" w:type="dxa"/>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亮度(ISO流明) 5000</w:t>
            </w:r>
          </w:p>
        </w:tc>
        <w:tc>
          <w:tcPr>
            <w:tcW w:w="2062" w:type="dxa"/>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是</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jc w:val="center"/>
        </w:trPr>
        <w:tc>
          <w:tcPr>
            <w:tcW w:w="866" w:type="dxa"/>
            <w:vMerge w:val="restart"/>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jc w:val="center"/>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3</w:t>
            </w:r>
          </w:p>
        </w:tc>
        <w:tc>
          <w:tcPr>
            <w:tcW w:w="1420" w:type="dxa"/>
            <w:vMerge w:val="restart"/>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背投半透投影幕</w:t>
            </w:r>
          </w:p>
        </w:tc>
        <w:tc>
          <w:tcPr>
            <w:tcW w:w="3821" w:type="dxa"/>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木质投影框架</w:t>
            </w:r>
          </w:p>
        </w:tc>
        <w:tc>
          <w:tcPr>
            <w:tcW w:w="2062" w:type="dxa"/>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是</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jc w:val="center"/>
        </w:trPr>
        <w:tc>
          <w:tcPr>
            <w:tcW w:w="866" w:type="dxa"/>
            <w:vMerge w:val="continue"/>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jc w:val="center"/>
              <w:textAlignment w:val="baseline"/>
              <w:outlineLvl w:val="9"/>
              <w:rPr>
                <w:rFonts w:hint="eastAsia" w:asciiTheme="minorEastAsia" w:hAnsiTheme="minorEastAsia" w:eastAsiaTheme="minorEastAsia" w:cstheme="minorEastAsia"/>
                <w:sz w:val="24"/>
                <w:szCs w:val="24"/>
                <w:highlight w:val="none"/>
              </w:rPr>
            </w:pPr>
          </w:p>
        </w:tc>
        <w:tc>
          <w:tcPr>
            <w:tcW w:w="1420" w:type="dxa"/>
            <w:vMerge w:val="continue"/>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p>
        </w:tc>
        <w:tc>
          <w:tcPr>
            <w:tcW w:w="3821" w:type="dxa"/>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正面绷装背投白色PVC投影幕</w:t>
            </w:r>
          </w:p>
        </w:tc>
        <w:tc>
          <w:tcPr>
            <w:tcW w:w="2062" w:type="dxa"/>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是</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jc w:val="center"/>
        </w:trPr>
        <w:tc>
          <w:tcPr>
            <w:tcW w:w="866" w:type="dxa"/>
            <w:vMerge w:val="continue"/>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jc w:val="center"/>
              <w:textAlignment w:val="baseline"/>
              <w:outlineLvl w:val="9"/>
              <w:rPr>
                <w:rFonts w:hint="eastAsia" w:asciiTheme="minorEastAsia" w:hAnsiTheme="minorEastAsia" w:eastAsiaTheme="minorEastAsia" w:cstheme="minorEastAsia"/>
                <w:sz w:val="24"/>
                <w:szCs w:val="24"/>
                <w:highlight w:val="none"/>
              </w:rPr>
            </w:pPr>
          </w:p>
        </w:tc>
        <w:tc>
          <w:tcPr>
            <w:tcW w:w="1420" w:type="dxa"/>
            <w:vMerge w:val="continue"/>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p>
        </w:tc>
        <w:tc>
          <w:tcPr>
            <w:tcW w:w="3821" w:type="dxa"/>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投影幕增益度0.8</w:t>
            </w:r>
          </w:p>
        </w:tc>
        <w:tc>
          <w:tcPr>
            <w:tcW w:w="2062" w:type="dxa"/>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是</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jc w:val="center"/>
        </w:trPr>
        <w:tc>
          <w:tcPr>
            <w:tcW w:w="866" w:type="dxa"/>
            <w:vMerge w:val="restart"/>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jc w:val="center"/>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4</w:t>
            </w:r>
          </w:p>
        </w:tc>
        <w:tc>
          <w:tcPr>
            <w:tcW w:w="1420" w:type="dxa"/>
            <w:vMerge w:val="restart"/>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主音箱</w:t>
            </w:r>
          </w:p>
        </w:tc>
        <w:tc>
          <w:tcPr>
            <w:tcW w:w="3821" w:type="dxa"/>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功率：120W</w:t>
            </w:r>
          </w:p>
        </w:tc>
        <w:tc>
          <w:tcPr>
            <w:tcW w:w="2062" w:type="dxa"/>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是</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61" w:hRule="atLeast"/>
          <w:jc w:val="center"/>
        </w:trPr>
        <w:tc>
          <w:tcPr>
            <w:tcW w:w="866" w:type="dxa"/>
            <w:vMerge w:val="continue"/>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jc w:val="center"/>
              <w:textAlignment w:val="baseline"/>
              <w:outlineLvl w:val="9"/>
              <w:rPr>
                <w:rFonts w:hint="eastAsia" w:asciiTheme="minorEastAsia" w:hAnsiTheme="minorEastAsia" w:eastAsiaTheme="minorEastAsia" w:cstheme="minorEastAsia"/>
                <w:sz w:val="24"/>
                <w:szCs w:val="24"/>
                <w:highlight w:val="none"/>
              </w:rPr>
            </w:pPr>
          </w:p>
        </w:tc>
        <w:tc>
          <w:tcPr>
            <w:tcW w:w="1420" w:type="dxa"/>
            <w:vMerge w:val="continue"/>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p>
        </w:tc>
        <w:tc>
          <w:tcPr>
            <w:tcW w:w="3821" w:type="dxa"/>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频响范围：60HZ-20000HZ</w:t>
            </w:r>
          </w:p>
        </w:tc>
        <w:tc>
          <w:tcPr>
            <w:tcW w:w="2062" w:type="dxa"/>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是</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jc w:val="center"/>
        </w:trPr>
        <w:tc>
          <w:tcPr>
            <w:tcW w:w="866" w:type="dxa"/>
            <w:vMerge w:val="continue"/>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jc w:val="center"/>
              <w:textAlignment w:val="baseline"/>
              <w:outlineLvl w:val="9"/>
              <w:rPr>
                <w:rFonts w:hint="eastAsia" w:asciiTheme="minorEastAsia" w:hAnsiTheme="minorEastAsia" w:eastAsiaTheme="minorEastAsia" w:cstheme="minorEastAsia"/>
                <w:sz w:val="24"/>
                <w:szCs w:val="24"/>
                <w:highlight w:val="none"/>
              </w:rPr>
            </w:pPr>
          </w:p>
        </w:tc>
        <w:tc>
          <w:tcPr>
            <w:tcW w:w="1420" w:type="dxa"/>
            <w:vMerge w:val="continue"/>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p>
        </w:tc>
        <w:tc>
          <w:tcPr>
            <w:tcW w:w="3821" w:type="dxa"/>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阻尼系数：8欧姆</w:t>
            </w:r>
          </w:p>
        </w:tc>
        <w:tc>
          <w:tcPr>
            <w:tcW w:w="2062" w:type="dxa"/>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是</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jc w:val="center"/>
        </w:trPr>
        <w:tc>
          <w:tcPr>
            <w:tcW w:w="866" w:type="dxa"/>
            <w:vMerge w:val="restart"/>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jc w:val="center"/>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5</w:t>
            </w:r>
          </w:p>
        </w:tc>
        <w:tc>
          <w:tcPr>
            <w:tcW w:w="1420" w:type="dxa"/>
            <w:vMerge w:val="restart"/>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功率放大器</w:t>
            </w:r>
          </w:p>
        </w:tc>
        <w:tc>
          <w:tcPr>
            <w:tcW w:w="3821" w:type="dxa"/>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功率：8欧姆</w:t>
            </w:r>
          </w:p>
        </w:tc>
        <w:tc>
          <w:tcPr>
            <w:tcW w:w="2062" w:type="dxa"/>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是</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jc w:val="center"/>
        </w:trPr>
        <w:tc>
          <w:tcPr>
            <w:tcW w:w="866" w:type="dxa"/>
            <w:vMerge w:val="continue"/>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jc w:val="center"/>
              <w:textAlignment w:val="baseline"/>
              <w:outlineLvl w:val="9"/>
              <w:rPr>
                <w:rFonts w:hint="eastAsia" w:asciiTheme="minorEastAsia" w:hAnsiTheme="minorEastAsia" w:eastAsiaTheme="minorEastAsia" w:cstheme="minorEastAsia"/>
                <w:sz w:val="24"/>
                <w:szCs w:val="24"/>
                <w:highlight w:val="none"/>
              </w:rPr>
            </w:pPr>
          </w:p>
        </w:tc>
        <w:tc>
          <w:tcPr>
            <w:tcW w:w="1420" w:type="dxa"/>
            <w:vMerge w:val="continue"/>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p>
        </w:tc>
        <w:tc>
          <w:tcPr>
            <w:tcW w:w="3821" w:type="dxa"/>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立体声每通道275W</w:t>
            </w:r>
          </w:p>
        </w:tc>
        <w:tc>
          <w:tcPr>
            <w:tcW w:w="2062" w:type="dxa"/>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是</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jc w:val="center"/>
        </w:trPr>
        <w:tc>
          <w:tcPr>
            <w:tcW w:w="866" w:type="dxa"/>
            <w:vMerge w:val="restart"/>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jc w:val="center"/>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6</w:t>
            </w:r>
          </w:p>
        </w:tc>
        <w:tc>
          <w:tcPr>
            <w:tcW w:w="1420" w:type="dxa"/>
            <w:vMerge w:val="restart"/>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液晶显示器：</w:t>
            </w:r>
          </w:p>
        </w:tc>
        <w:tc>
          <w:tcPr>
            <w:tcW w:w="3821" w:type="dxa"/>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分辨率：1920*1080或1024*768</w:t>
            </w:r>
          </w:p>
        </w:tc>
        <w:tc>
          <w:tcPr>
            <w:tcW w:w="2062" w:type="dxa"/>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是</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jc w:val="center"/>
        </w:trPr>
        <w:tc>
          <w:tcPr>
            <w:tcW w:w="866" w:type="dxa"/>
            <w:vMerge w:val="continue"/>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jc w:val="center"/>
              <w:textAlignment w:val="baseline"/>
              <w:outlineLvl w:val="9"/>
              <w:rPr>
                <w:rFonts w:hint="eastAsia" w:asciiTheme="minorEastAsia" w:hAnsiTheme="minorEastAsia" w:eastAsiaTheme="minorEastAsia" w:cstheme="minorEastAsia"/>
                <w:sz w:val="24"/>
                <w:szCs w:val="24"/>
                <w:highlight w:val="none"/>
              </w:rPr>
            </w:pPr>
          </w:p>
        </w:tc>
        <w:tc>
          <w:tcPr>
            <w:tcW w:w="1420" w:type="dxa"/>
            <w:vMerge w:val="continue"/>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p>
        </w:tc>
        <w:tc>
          <w:tcPr>
            <w:tcW w:w="3821" w:type="dxa"/>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屏幕比例：16:9或4:3</w:t>
            </w:r>
          </w:p>
        </w:tc>
        <w:tc>
          <w:tcPr>
            <w:tcW w:w="2062" w:type="dxa"/>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是</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jc w:val="center"/>
        </w:trPr>
        <w:tc>
          <w:tcPr>
            <w:tcW w:w="866" w:type="dxa"/>
            <w:vMerge w:val="restart"/>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jc w:val="center"/>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7</w:t>
            </w:r>
          </w:p>
        </w:tc>
        <w:tc>
          <w:tcPr>
            <w:tcW w:w="1420" w:type="dxa"/>
            <w:vMerge w:val="restart"/>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一扩三多画面处理器</w:t>
            </w:r>
          </w:p>
        </w:tc>
        <w:tc>
          <w:tcPr>
            <w:tcW w:w="3821" w:type="dxa"/>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 xml:space="preserve">显存容量: 512M </w:t>
            </w:r>
          </w:p>
        </w:tc>
        <w:tc>
          <w:tcPr>
            <w:tcW w:w="2062" w:type="dxa"/>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是</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jc w:val="center"/>
        </w:trPr>
        <w:tc>
          <w:tcPr>
            <w:tcW w:w="866" w:type="dxa"/>
            <w:vMerge w:val="continue"/>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p>
        </w:tc>
        <w:tc>
          <w:tcPr>
            <w:tcW w:w="1420" w:type="dxa"/>
            <w:vMerge w:val="continue"/>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p>
        </w:tc>
        <w:tc>
          <w:tcPr>
            <w:tcW w:w="3821" w:type="dxa"/>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三屏最大分辨率：</w:t>
            </w:r>
            <w:r>
              <w:rPr>
                <w:rFonts w:hint="eastAsia" w:asciiTheme="minorEastAsia" w:hAnsiTheme="minorEastAsia" w:eastAsiaTheme="minorEastAsia" w:cstheme="minorEastAsia"/>
                <w:sz w:val="24"/>
                <w:szCs w:val="24"/>
                <w:highlight w:val="none"/>
              </w:rPr>
              <w:br w:type="textWrapping"/>
            </w:r>
            <w:r>
              <w:rPr>
                <w:rFonts w:hint="eastAsia" w:asciiTheme="minorEastAsia" w:hAnsiTheme="minorEastAsia" w:eastAsiaTheme="minorEastAsia" w:cstheme="minorEastAsia"/>
                <w:sz w:val="24"/>
                <w:szCs w:val="24"/>
                <w:highlight w:val="none"/>
              </w:rPr>
              <w:t>标准：3840*1024（3*1280*1024）</w:t>
            </w:r>
          </w:p>
        </w:tc>
        <w:tc>
          <w:tcPr>
            <w:tcW w:w="2062" w:type="dxa"/>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是</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jc w:val="center"/>
        </w:trPr>
        <w:tc>
          <w:tcPr>
            <w:tcW w:w="866" w:type="dxa"/>
            <w:vMerge w:val="continue"/>
            <w:tcBorders>
              <w:bottom w:val="single" w:color="auto" w:sz="12" w:space="0"/>
            </w:tcBorders>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p>
        </w:tc>
        <w:tc>
          <w:tcPr>
            <w:tcW w:w="1420" w:type="dxa"/>
            <w:vMerge w:val="continue"/>
            <w:tcBorders>
              <w:bottom w:val="single" w:color="auto" w:sz="12" w:space="0"/>
            </w:tcBorders>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p>
        </w:tc>
        <w:tc>
          <w:tcPr>
            <w:tcW w:w="3821" w:type="dxa"/>
            <w:tcBorders>
              <w:bottom w:val="single" w:color="auto" w:sz="12" w:space="0"/>
            </w:tcBorders>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宽屏：3840*768（3*1280*768）</w:t>
            </w:r>
          </w:p>
        </w:tc>
        <w:tc>
          <w:tcPr>
            <w:tcW w:w="2062" w:type="dxa"/>
            <w:tcBorders>
              <w:bottom w:val="single" w:color="auto" w:sz="12" w:space="0"/>
            </w:tcBorders>
            <w:vAlign w:val="center"/>
          </w:tcPr>
          <w:p>
            <w:pPr>
              <w:keepNext w:val="0"/>
              <w:keepLines w:val="0"/>
              <w:pageBreakBefore w:val="0"/>
              <w:kinsoku/>
              <w:wordWrap/>
              <w:overflowPunct/>
              <w:topLinePunct w:val="0"/>
              <w:autoSpaceDE/>
              <w:autoSpaceDN/>
              <w:bidi w:val="0"/>
              <w:adjustRightInd w:val="0"/>
              <w:snapToGrid/>
              <w:spacing w:line="240" w:lineRule="auto"/>
              <w:ind w:left="0" w:leftChars="0" w:right="0" w:rightChars="0" w:firstLine="0" w:firstLineChars="0"/>
              <w:textAlignment w:val="baseline"/>
              <w:outlineLvl w:val="9"/>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是</w:t>
            </w:r>
          </w:p>
        </w:tc>
      </w:tr>
    </w:tbl>
    <w:p>
      <w:pPr>
        <w:pStyle w:val="3"/>
        <w:numPr>
          <w:ilvl w:val="0"/>
          <w:numId w:val="2"/>
        </w:numPr>
        <w:adjustRightInd/>
        <w:spacing w:before="156" w:beforeLines="50" w:after="156" w:afterLines="50" w:line="360" w:lineRule="auto"/>
        <w:ind w:firstLine="482" w:firstLineChars="200"/>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采购标的的数量、采购项目交付或者实施的时间和地点；</w:t>
      </w:r>
    </w:p>
    <w:p>
      <w:pPr>
        <w:widowControl/>
        <w:spacing w:line="360" w:lineRule="auto"/>
        <w:ind w:firstLine="480" w:firstLineChars="200"/>
        <w:jc w:val="left"/>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1、采购标的数量：“十万火急”展区布展服务1项。</w:t>
      </w:r>
    </w:p>
    <w:p>
      <w:pPr>
        <w:widowControl/>
        <w:spacing w:line="360" w:lineRule="auto"/>
        <w:ind w:firstLine="480" w:firstLineChars="200"/>
        <w:jc w:val="left"/>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2、采购项目交付或者实施的时间和地点</w:t>
      </w:r>
    </w:p>
    <w:p>
      <w:pPr>
        <w:pStyle w:val="2"/>
        <w:ind w:firstLine="720" w:firstLineChars="300"/>
        <w:jc w:val="both"/>
        <w:rPr>
          <w:rFonts w:asciiTheme="minorEastAsia" w:hAnsiTheme="minorEastAsia" w:eastAsiaTheme="minorEastAsia" w:cstheme="minorEastAsia"/>
          <w:szCs w:val="24"/>
          <w:highlight w:val="green"/>
        </w:rPr>
      </w:pPr>
      <w:r>
        <w:rPr>
          <w:rFonts w:hint="eastAsia" w:asciiTheme="minorEastAsia" w:hAnsiTheme="minorEastAsia" w:eastAsiaTheme="minorEastAsia" w:cstheme="minorEastAsia"/>
          <w:szCs w:val="24"/>
        </w:rPr>
        <w:t>服务期：自签订合同之日起90日内完成。</w:t>
      </w:r>
    </w:p>
    <w:p>
      <w:pPr>
        <w:widowControl/>
        <w:spacing w:line="360" w:lineRule="auto"/>
        <w:ind w:firstLine="720" w:firstLineChars="300"/>
        <w:jc w:val="left"/>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项目实施地点：中新天津生态城</w:t>
      </w:r>
    </w:p>
    <w:p>
      <w:pPr>
        <w:pStyle w:val="2"/>
        <w:ind w:firstLine="720" w:firstLineChars="300"/>
        <w:jc w:val="both"/>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rPr>
        <w:t>项目阶段时限要求</w:t>
      </w:r>
    </w:p>
    <w:tbl>
      <w:tblPr>
        <w:tblStyle w:val="12"/>
        <w:tblW w:w="887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2D050"/>
        <w:tblLayout w:type="fixed"/>
        <w:tblCellMar>
          <w:top w:w="0" w:type="dxa"/>
          <w:left w:w="108" w:type="dxa"/>
          <w:bottom w:w="0" w:type="dxa"/>
          <w:right w:w="108" w:type="dxa"/>
        </w:tblCellMar>
      </w:tblPr>
      <w:tblGrid>
        <w:gridCol w:w="714"/>
        <w:gridCol w:w="1513"/>
        <w:gridCol w:w="6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2D050"/>
          <w:tblLayout w:type="fixed"/>
          <w:tblCellMar>
            <w:top w:w="0" w:type="dxa"/>
            <w:left w:w="108" w:type="dxa"/>
            <w:bottom w:w="0" w:type="dxa"/>
            <w:right w:w="108" w:type="dxa"/>
          </w:tblCellMar>
        </w:tblPrEx>
        <w:trPr>
          <w:trHeight w:val="373" w:hRule="atLeast"/>
          <w:jc w:val="center"/>
        </w:trPr>
        <w:tc>
          <w:tcPr>
            <w:tcW w:w="714" w:type="dxa"/>
            <w:shd w:val="clear" w:color="auto" w:fill="92D050"/>
          </w:tcPr>
          <w:p>
            <w:pPr>
              <w:pStyle w:val="2"/>
              <w:rPr>
                <w:rFonts w:asciiTheme="minorEastAsia" w:hAnsiTheme="minorEastAsia" w:eastAsiaTheme="minorEastAsia" w:cstheme="minorEastAsia"/>
                <w:b/>
                <w:bCs/>
                <w:szCs w:val="24"/>
              </w:rPr>
            </w:pPr>
            <w:r>
              <w:rPr>
                <w:rFonts w:hint="eastAsia" w:asciiTheme="minorEastAsia" w:hAnsiTheme="minorEastAsia" w:eastAsiaTheme="minorEastAsia" w:cstheme="minorEastAsia"/>
                <w:b/>
                <w:bCs/>
                <w:szCs w:val="24"/>
              </w:rPr>
              <w:t>序号</w:t>
            </w:r>
          </w:p>
        </w:tc>
        <w:tc>
          <w:tcPr>
            <w:tcW w:w="1513" w:type="dxa"/>
            <w:shd w:val="clear" w:color="auto" w:fill="92D050"/>
          </w:tcPr>
          <w:p>
            <w:pPr>
              <w:pStyle w:val="2"/>
              <w:rPr>
                <w:rFonts w:asciiTheme="minorEastAsia" w:hAnsiTheme="minorEastAsia" w:eastAsiaTheme="minorEastAsia" w:cstheme="minorEastAsia"/>
                <w:b/>
                <w:bCs/>
                <w:szCs w:val="24"/>
              </w:rPr>
            </w:pPr>
            <w:r>
              <w:rPr>
                <w:rFonts w:hint="eastAsia" w:asciiTheme="minorEastAsia" w:hAnsiTheme="minorEastAsia" w:eastAsiaTheme="minorEastAsia" w:cstheme="minorEastAsia"/>
                <w:b/>
                <w:bCs/>
                <w:szCs w:val="24"/>
              </w:rPr>
              <w:t>阶段</w:t>
            </w:r>
          </w:p>
        </w:tc>
        <w:tc>
          <w:tcPr>
            <w:tcW w:w="6648" w:type="dxa"/>
            <w:shd w:val="clear" w:color="auto" w:fill="92D050"/>
          </w:tcPr>
          <w:p>
            <w:pPr>
              <w:pStyle w:val="2"/>
              <w:rPr>
                <w:rFonts w:asciiTheme="minorEastAsia" w:hAnsiTheme="minorEastAsia" w:eastAsiaTheme="minorEastAsia" w:cstheme="minorEastAsia"/>
                <w:b/>
                <w:bCs/>
                <w:szCs w:val="24"/>
              </w:rPr>
            </w:pPr>
            <w:r>
              <w:rPr>
                <w:rFonts w:hint="eastAsia" w:asciiTheme="minorEastAsia" w:hAnsiTheme="minorEastAsia" w:eastAsiaTheme="minorEastAsia" w:cstheme="minorEastAsia"/>
                <w:b/>
                <w:bCs/>
                <w:szCs w:val="24"/>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714" w:type="dxa"/>
            <w:shd w:val="clear" w:color="auto" w:fill="92D050"/>
          </w:tcPr>
          <w:p>
            <w:pPr>
              <w:pStyle w:val="2"/>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rPr>
              <w:t>1</w:t>
            </w:r>
          </w:p>
        </w:tc>
        <w:tc>
          <w:tcPr>
            <w:tcW w:w="1513" w:type="dxa"/>
            <w:shd w:val="clear" w:color="auto" w:fill="92D050"/>
          </w:tcPr>
          <w:p>
            <w:pPr>
              <w:pStyle w:val="2"/>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rPr>
              <w:t>方案阶段</w:t>
            </w:r>
          </w:p>
        </w:tc>
        <w:tc>
          <w:tcPr>
            <w:tcW w:w="6648" w:type="dxa"/>
            <w:shd w:val="clear" w:color="auto" w:fill="92D050"/>
          </w:tcPr>
          <w:p>
            <w:pPr>
              <w:widowControl/>
              <w:spacing w:line="360" w:lineRule="auto"/>
              <w:jc w:val="left"/>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中标后3天内提交完善的方案设计与成果给采购人确认；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714" w:type="dxa"/>
            <w:shd w:val="clear" w:color="auto" w:fill="92D050"/>
          </w:tcPr>
          <w:p>
            <w:pPr>
              <w:pStyle w:val="2"/>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rPr>
              <w:t>2</w:t>
            </w:r>
          </w:p>
        </w:tc>
        <w:tc>
          <w:tcPr>
            <w:tcW w:w="1513" w:type="dxa"/>
            <w:shd w:val="clear" w:color="auto" w:fill="92D050"/>
          </w:tcPr>
          <w:p>
            <w:pPr>
              <w:pStyle w:val="2"/>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rPr>
              <w:t>施工图阶段</w:t>
            </w:r>
          </w:p>
        </w:tc>
        <w:tc>
          <w:tcPr>
            <w:tcW w:w="6648" w:type="dxa"/>
            <w:shd w:val="clear" w:color="auto" w:fill="92D050"/>
          </w:tcPr>
          <w:p>
            <w:pPr>
              <w:pStyle w:val="2"/>
              <w:jc w:val="left"/>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rPr>
              <w:t>签订合同后，15天内完成施工图设计并提交电子文件及施工图文本文件给采购人确认；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jc w:val="center"/>
        </w:trPr>
        <w:tc>
          <w:tcPr>
            <w:tcW w:w="714" w:type="dxa"/>
            <w:shd w:val="clear" w:color="auto" w:fill="92D050"/>
          </w:tcPr>
          <w:p>
            <w:pPr>
              <w:pStyle w:val="2"/>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rPr>
              <w:t>3</w:t>
            </w:r>
          </w:p>
        </w:tc>
        <w:tc>
          <w:tcPr>
            <w:tcW w:w="1513" w:type="dxa"/>
            <w:shd w:val="clear" w:color="auto" w:fill="92D050"/>
          </w:tcPr>
          <w:p>
            <w:pPr>
              <w:pStyle w:val="2"/>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rPr>
              <w:t>布展阶段</w:t>
            </w:r>
          </w:p>
        </w:tc>
        <w:tc>
          <w:tcPr>
            <w:tcW w:w="6648" w:type="dxa"/>
            <w:shd w:val="clear" w:color="auto" w:fill="92D050"/>
          </w:tcPr>
          <w:p>
            <w:pPr>
              <w:pStyle w:val="2"/>
              <w:jc w:val="left"/>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rPr>
              <w:t>签订合同后，90天内完成全部布展工作交付采购人验收；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jc w:val="center"/>
        </w:trPr>
        <w:tc>
          <w:tcPr>
            <w:tcW w:w="714" w:type="dxa"/>
            <w:shd w:val="clear" w:color="auto" w:fill="92D050"/>
          </w:tcPr>
          <w:p>
            <w:pPr>
              <w:pStyle w:val="2"/>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rPr>
              <w:t>4</w:t>
            </w:r>
          </w:p>
        </w:tc>
        <w:tc>
          <w:tcPr>
            <w:tcW w:w="1513" w:type="dxa"/>
            <w:shd w:val="clear" w:color="auto" w:fill="92D050"/>
          </w:tcPr>
          <w:p>
            <w:pPr>
              <w:pStyle w:val="2"/>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rPr>
              <w:t>培训阶段</w:t>
            </w:r>
          </w:p>
        </w:tc>
        <w:tc>
          <w:tcPr>
            <w:tcW w:w="6648" w:type="dxa"/>
            <w:shd w:val="clear" w:color="auto" w:fill="92D050"/>
          </w:tcPr>
          <w:p>
            <w:pPr>
              <w:pStyle w:val="2"/>
              <w:jc w:val="left"/>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rPr>
              <w:t>验收后，5天内为采购人提供相关人员的培训工作。</w:t>
            </w:r>
          </w:p>
        </w:tc>
      </w:tr>
    </w:tbl>
    <w:p>
      <w:pPr>
        <w:pStyle w:val="3"/>
        <w:numPr>
          <w:ilvl w:val="0"/>
          <w:numId w:val="2"/>
        </w:numPr>
        <w:adjustRightInd/>
        <w:spacing w:before="156" w:beforeLines="50" w:after="156" w:afterLines="50" w:line="360" w:lineRule="auto"/>
        <w:ind w:firstLine="482" w:firstLineChars="200"/>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采购标的需满足的服务标准、期限、效率等要求；</w:t>
      </w:r>
    </w:p>
    <w:p>
      <w:pPr>
        <w:widowControl/>
        <w:spacing w:line="360" w:lineRule="auto"/>
        <w:ind w:firstLine="480" w:firstLineChars="200"/>
        <w:jc w:val="left"/>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质量保证期：自交付验收合格之日起提供不少于2年的免费质保期（如投标人承诺或厂家的标准高于这一标准则按投标人承诺的和厂家的标准执行）。质保期内, 须向用户提供现场安全操作及必要的使用维护保养培训及长期技术支持。</w:t>
      </w:r>
    </w:p>
    <w:p>
      <w:pPr>
        <w:widowControl/>
        <w:spacing w:line="360" w:lineRule="auto"/>
        <w:ind w:firstLine="480" w:firstLineChars="200"/>
        <w:jc w:val="left"/>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质量保证期内发生的质量问题，由中标人负责免费解决（因采购人使用不当或其他人为因素造成的故障除外）；</w:t>
      </w:r>
    </w:p>
    <w:p>
      <w:pPr>
        <w:widowControl/>
        <w:spacing w:line="360" w:lineRule="auto"/>
        <w:ind w:firstLine="480" w:firstLineChars="200"/>
        <w:jc w:val="left"/>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任何时候，中标人均不能免除因设备本身的缺陷所应付的责任，中标人有义务对所提供的货物实行终生维护和对设备进行定期的检测和维修；</w:t>
      </w:r>
    </w:p>
    <w:p>
      <w:pPr>
        <w:widowControl/>
        <w:spacing w:line="360" w:lineRule="auto"/>
        <w:ind w:firstLine="480" w:firstLineChars="200"/>
        <w:jc w:val="left"/>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中标人必须提供常设的技术支持热线电话（固话、手机）。对采购人的服务通知，中标人必须在1小时内响应，48小时内到达现场，并保证7天内处理完毕，若7天内未处理完毕的须免费更换有质量问题的货物或采取应急措施解决,不得影响采购人的工作业务。</w:t>
      </w:r>
    </w:p>
    <w:p>
      <w:pPr>
        <w:widowControl/>
        <w:spacing w:line="360" w:lineRule="auto"/>
        <w:ind w:firstLine="480" w:firstLineChars="200"/>
        <w:jc w:val="left"/>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 xml:space="preserve">   保修期内，提供免费技术咨询及维护。质保期后，中标人须为采购人提供终身的保修，如须更换故障零部件，则只收取优惠的零件费。</w:t>
      </w:r>
    </w:p>
    <w:p>
      <w:pPr>
        <w:pStyle w:val="3"/>
        <w:numPr>
          <w:ilvl w:val="0"/>
          <w:numId w:val="2"/>
        </w:numPr>
        <w:adjustRightInd/>
        <w:spacing w:before="156" w:beforeLines="50" w:after="156" w:afterLines="50" w:line="360" w:lineRule="auto"/>
        <w:ind w:firstLine="482" w:firstLineChars="200"/>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采购标的需执行的国家相关标准、行业标准、地方标准或者其他标准、规范；</w:t>
      </w:r>
    </w:p>
    <w:p>
      <w:pPr>
        <w:widowControl/>
        <w:spacing w:line="360" w:lineRule="auto"/>
        <w:ind w:firstLine="480" w:firstLineChars="200"/>
        <w:jc w:val="left"/>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1、在货物到达采购人指定地点安装调试完毕后五个工作日内，由采购人对货物的数量和质量进行初步验收后，对不符合要求的货物可立即要求退换；在采购人将所有的货物按采购文件要求和国家标准或行业标准进行检测验收合格后，保修期内发现有其他非故意的损坏或质量问题的由中标人立即予以更换，不得拒绝和延误。验收时中标人必须在现场，验收完毕后作出验收结果报告；验收及安-装调试费用由中标人负责。</w:t>
      </w:r>
    </w:p>
    <w:p>
      <w:pPr>
        <w:widowControl/>
        <w:spacing w:line="360" w:lineRule="auto"/>
        <w:ind w:firstLine="480" w:firstLineChars="200"/>
        <w:jc w:val="left"/>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2、项目验收依次序对照执行标准为：①符合中华人民共和国国家和使用地相关安全质量标准、行业技术规范标准、环保节能标准；②符合招标文件、附件中施工图纸的各项要求和中标人的投标文件中的各项承诺；③货物来源国官方颁布标准。</w:t>
      </w:r>
      <w:r>
        <w:rPr>
          <w:rFonts w:hint="eastAsia" w:asciiTheme="minorEastAsia" w:hAnsiTheme="minorEastAsia" w:eastAsiaTheme="minorEastAsia" w:cstheme="minorEastAsia"/>
          <w:kern w:val="0"/>
          <w:sz w:val="24"/>
          <w:szCs w:val="24"/>
        </w:rPr>
        <w:fldChar w:fldCharType="begin"/>
      </w:r>
      <w:r>
        <w:rPr>
          <w:rFonts w:hint="eastAsia" w:asciiTheme="minorEastAsia" w:hAnsiTheme="minorEastAsia" w:eastAsiaTheme="minorEastAsia" w:cstheme="minorEastAsia"/>
          <w:kern w:val="0"/>
          <w:sz w:val="24"/>
          <w:szCs w:val="24"/>
        </w:rPr>
        <w:instrText xml:space="preserve"> = 4 \* GB3 </w:instrText>
      </w:r>
      <w:r>
        <w:rPr>
          <w:rFonts w:hint="eastAsia" w:asciiTheme="minorEastAsia" w:hAnsiTheme="minorEastAsia" w:eastAsiaTheme="minorEastAsia" w:cstheme="minorEastAsia"/>
          <w:kern w:val="0"/>
          <w:sz w:val="24"/>
          <w:szCs w:val="24"/>
        </w:rPr>
        <w:fldChar w:fldCharType="separate"/>
      </w:r>
      <w:r>
        <w:rPr>
          <w:rFonts w:hint="eastAsia" w:asciiTheme="minorEastAsia" w:hAnsiTheme="minorEastAsia" w:eastAsiaTheme="minorEastAsia" w:cstheme="minorEastAsia"/>
          <w:kern w:val="0"/>
          <w:sz w:val="24"/>
          <w:szCs w:val="24"/>
        </w:rPr>
        <w:t>④</w:t>
      </w:r>
      <w:r>
        <w:rPr>
          <w:rFonts w:hint="eastAsia" w:asciiTheme="minorEastAsia" w:hAnsiTheme="minorEastAsia" w:eastAsiaTheme="minorEastAsia" w:cstheme="minorEastAsia"/>
          <w:kern w:val="0"/>
          <w:sz w:val="24"/>
          <w:szCs w:val="24"/>
        </w:rPr>
        <w:fldChar w:fldCharType="end"/>
      </w:r>
      <w:r>
        <w:rPr>
          <w:rFonts w:hint="eastAsia" w:asciiTheme="minorEastAsia" w:hAnsiTheme="minorEastAsia" w:eastAsiaTheme="minorEastAsia" w:cstheme="minorEastAsia"/>
          <w:kern w:val="0"/>
          <w:sz w:val="24"/>
          <w:szCs w:val="24"/>
        </w:rPr>
        <w:t>所有标准与法规必须是有关官方机构最新发布的现行标准版本。</w:t>
      </w:r>
    </w:p>
    <w:p>
      <w:pPr>
        <w:widowControl/>
        <w:spacing w:line="360" w:lineRule="auto"/>
        <w:ind w:firstLine="480" w:firstLineChars="200"/>
        <w:jc w:val="left"/>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3、中标人须为验收提供必需的一切条件及相关费用，并以采购人的名义作为终端客户，负责办理所有产品设备(包括保修卡)的一  切保修注册备案手续。在设备安装调试完毕后20天内由中标人、采购人或法定专业质检部门共同验收并出具验收确认书，验收交付前的保管安全责任由中标人承担，采购人为此可无偿提供必要的临时仓储场所。</w:t>
      </w:r>
    </w:p>
    <w:p>
      <w:pPr>
        <w:widowControl/>
        <w:spacing w:line="360" w:lineRule="auto"/>
        <w:ind w:firstLine="480" w:firstLineChars="200"/>
        <w:jc w:val="left"/>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4、中标人应将关键设备的用户手册、保修手册、有关单证资料及配备件、随机工具等交付给采购人，使用操作及安全须知等重要资料应附有中文说明。</w:t>
      </w:r>
    </w:p>
    <w:p>
      <w:pPr>
        <w:pStyle w:val="3"/>
        <w:adjustRightInd/>
        <w:spacing w:before="156" w:beforeLines="50" w:after="156" w:afterLines="50" w:line="360" w:lineRule="auto"/>
        <w:ind w:firstLine="482" w:firstLineChars="200"/>
        <w:textAlignment w:val="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七、采购标的的其他技术、服务等要求</w:t>
      </w:r>
    </w:p>
    <w:p>
      <w:pPr>
        <w:spacing w:line="360" w:lineRule="auto"/>
        <w:ind w:firstLine="480" w:firstLineChars="200"/>
        <w:rPr>
          <w:rFonts w:asciiTheme="minorEastAsia" w:hAnsiTheme="minorEastAsia" w:eastAsiaTheme="minorEastAsia" w:cstheme="minorEastAsia"/>
          <w:sz w:val="24"/>
          <w:szCs w:val="24"/>
          <w:highlight w:val="yellow"/>
        </w:rPr>
      </w:pPr>
      <w:r>
        <w:rPr>
          <w:rFonts w:hint="eastAsia" w:asciiTheme="minorEastAsia" w:hAnsiTheme="minorEastAsia" w:eastAsiaTheme="minorEastAsia" w:cstheme="minorEastAsia"/>
          <w:sz w:val="24"/>
          <w:szCs w:val="24"/>
          <w:highlight w:val="yellow"/>
        </w:rPr>
        <w:t>1、供应商须在技术标中附本项目拟投入的包含但不限于《拟采购设备清单》中要求的货物清单，注明品牌、型号、技术参数。</w:t>
      </w:r>
    </w:p>
    <w:p>
      <w:pPr>
        <w:spacing w:line="360" w:lineRule="auto"/>
        <w:ind w:firstLine="480" w:firstLineChars="200"/>
        <w:rPr>
          <w:rFonts w:asciiTheme="minorEastAsia" w:hAnsiTheme="minorEastAsia" w:eastAsiaTheme="minorEastAsia" w:cstheme="minorEastAsia"/>
          <w:sz w:val="24"/>
          <w:szCs w:val="24"/>
          <w:highlight w:val="yellow"/>
        </w:rPr>
      </w:pPr>
      <w:r>
        <w:rPr>
          <w:rFonts w:hint="eastAsia" w:asciiTheme="minorEastAsia" w:hAnsiTheme="minorEastAsia" w:eastAsiaTheme="minorEastAsia" w:cstheme="minorEastAsia"/>
          <w:sz w:val="24"/>
          <w:szCs w:val="24"/>
          <w:highlight w:val="yellow"/>
        </w:rPr>
        <w:t>2、*投标人须承诺中标后与采购人就数据信息安全签署保密协议。（须在技术标中提供承诺书）</w:t>
      </w:r>
    </w:p>
    <w:p>
      <w:pPr>
        <w:spacing w:line="360" w:lineRule="auto"/>
        <w:ind w:firstLine="480" w:firstLineChars="200"/>
        <w:rPr>
          <w:rFonts w:asciiTheme="minorEastAsia" w:hAnsiTheme="minorEastAsia" w:eastAsiaTheme="minorEastAsia" w:cstheme="minorEastAsia"/>
          <w:sz w:val="24"/>
          <w:szCs w:val="24"/>
          <w:highlight w:val="yellow"/>
        </w:rPr>
      </w:pPr>
      <w:r>
        <w:rPr>
          <w:rFonts w:hint="eastAsia" w:asciiTheme="minorEastAsia" w:hAnsiTheme="minorEastAsia" w:eastAsiaTheme="minorEastAsia" w:cstheme="minorEastAsia"/>
          <w:sz w:val="24"/>
          <w:szCs w:val="24"/>
          <w:highlight w:val="yellow"/>
        </w:rPr>
        <w:t>3、*投标人须承诺本项目供应商所投全部货物清单满足本项目采购需求，若不满足，导致再次采购、安装、调试等产生的一切费用由中标供应商承担。（须在技术标中提供承诺书）</w:t>
      </w:r>
    </w:p>
    <w:p>
      <w:pPr>
        <w:pStyle w:val="2"/>
        <w:ind w:firstLine="480" w:firstLineChars="200"/>
        <w:jc w:val="both"/>
        <w:rPr>
          <w:rFonts w:asciiTheme="minorEastAsia" w:hAnsiTheme="minorEastAsia" w:eastAsiaTheme="minorEastAsia" w:cstheme="minorEastAsia"/>
          <w:szCs w:val="24"/>
          <w:highlight w:val="yellow"/>
        </w:rPr>
      </w:pPr>
      <w:r>
        <w:rPr>
          <w:rFonts w:hint="eastAsia" w:asciiTheme="minorEastAsia" w:hAnsiTheme="minorEastAsia" w:eastAsiaTheme="minorEastAsia" w:cstheme="minorEastAsia"/>
          <w:szCs w:val="24"/>
          <w:highlight w:val="yellow"/>
        </w:rPr>
        <w:t>4、*投标人须承诺中标后可根据采购人要求无限次免费对设计方案进行修改。（须在技术标中提供承诺书）</w:t>
      </w:r>
    </w:p>
    <w:p>
      <w:pPr>
        <w:pStyle w:val="2"/>
        <w:ind w:firstLine="480" w:firstLineChars="200"/>
        <w:jc w:val="both"/>
        <w:rPr>
          <w:rFonts w:asciiTheme="minorEastAsia" w:hAnsiTheme="minorEastAsia" w:eastAsiaTheme="minorEastAsia" w:cstheme="minorEastAsia"/>
          <w:szCs w:val="24"/>
          <w:highlight w:val="yellow"/>
        </w:rPr>
      </w:pPr>
      <w:r>
        <w:rPr>
          <w:rFonts w:hint="eastAsia" w:asciiTheme="minorEastAsia" w:hAnsiTheme="minorEastAsia" w:eastAsiaTheme="minorEastAsia" w:cstheme="minorEastAsia"/>
          <w:szCs w:val="24"/>
          <w:highlight w:val="yellow"/>
        </w:rPr>
        <w:t>5、*投标人须承诺中标后拟派本项目人员中至少</w:t>
      </w:r>
      <w:r>
        <w:rPr>
          <w:rFonts w:asciiTheme="minorEastAsia" w:hAnsiTheme="minorEastAsia" w:eastAsiaTheme="minorEastAsia" w:cstheme="minorEastAsia"/>
          <w:szCs w:val="24"/>
          <w:highlight w:val="yellow"/>
        </w:rPr>
        <w:t>2</w:t>
      </w:r>
      <w:r>
        <w:rPr>
          <w:rFonts w:hint="eastAsia" w:asciiTheme="minorEastAsia" w:hAnsiTheme="minorEastAsia" w:eastAsiaTheme="minorEastAsia" w:cstheme="minorEastAsia"/>
          <w:szCs w:val="24"/>
          <w:highlight w:val="yellow"/>
        </w:rPr>
        <w:t>人常驻现场直至本项目布展完成。（须在技术标中提供承诺书）</w:t>
      </w:r>
    </w:p>
    <w:p>
      <w:pPr>
        <w:pStyle w:val="2"/>
        <w:ind w:firstLine="480" w:firstLineChars="200"/>
        <w:jc w:val="both"/>
        <w:rPr>
          <w:rFonts w:asciiTheme="minorEastAsia" w:hAnsiTheme="minorEastAsia" w:eastAsiaTheme="minorEastAsia" w:cstheme="minorEastAsia"/>
          <w:szCs w:val="24"/>
          <w:highlight w:val="yellow"/>
        </w:rPr>
      </w:pPr>
      <w:r>
        <w:rPr>
          <w:rFonts w:hint="eastAsia" w:asciiTheme="minorEastAsia" w:hAnsiTheme="minorEastAsia" w:eastAsiaTheme="minorEastAsia" w:cstheme="minorEastAsia"/>
          <w:szCs w:val="24"/>
          <w:highlight w:val="yellow"/>
        </w:rPr>
        <w:t>6、*投标人须承诺在中标后所有提供的货物提供不少于2年的质保期，质保期内非采购人使用不当或其他人为因素造成的故障，予以免费维修或更换设备。（须在技术标中提供承诺书）</w:t>
      </w:r>
    </w:p>
    <w:p>
      <w:pPr>
        <w:pStyle w:val="2"/>
        <w:ind w:firstLine="480" w:firstLineChars="200"/>
        <w:jc w:val="both"/>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highlight w:val="yellow"/>
        </w:rPr>
        <w:t>7、*投标人须承诺在中标后能按照项目需求中项目阶段时限要求完成本项目。（须在技术标中提供承诺书）</w:t>
      </w:r>
    </w:p>
    <w:p>
      <w:pPr>
        <w:widowControl/>
        <w:spacing w:line="360" w:lineRule="auto"/>
        <w:jc w:val="left"/>
        <w:rPr>
          <w:rFonts w:hint="eastAsia" w:asciiTheme="minorEastAsia" w:hAnsiTheme="minorEastAsia" w:eastAsiaTheme="minorEastAsia" w:cstheme="minorEastAsia"/>
          <w:color w:val="FF0000"/>
          <w:kern w:val="0"/>
          <w:sz w:val="24"/>
          <w:szCs w:val="24"/>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宋体fal">
    <w:altName w:val="Arial Unicode MS"/>
    <w:panose1 w:val="00000000000000000000"/>
    <w:charset w:val="86"/>
    <w:family w:val="auto"/>
    <w:pitch w:val="default"/>
    <w:sig w:usb0="00000000" w:usb1="00000000" w:usb2="00000010" w:usb3="00000000" w:csb0="00040000" w:csb1="00000000"/>
  </w:font>
  <w:font w:name="黑体fal">
    <w:altName w:val="Arial Unicode MS"/>
    <w:panose1 w:val="00000000000000000000"/>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Cambria">
    <w:panose1 w:val="02040503050406030204"/>
    <w:charset w:val="00"/>
    <w:family w:val="roman"/>
    <w:pitch w:val="default"/>
    <w:sig w:usb0="E00002FF" w:usb1="400004FF" w:usb2="00000000" w:usb3="00000000" w:csb0="2000019F" w:csb1="00000000"/>
  </w:font>
  <w:font w:name=".......">
    <w:altName w:val="宋体"/>
    <w:panose1 w:val="00000000000000000000"/>
    <w:charset w:val="00"/>
    <w:family w:val="auto"/>
    <w:pitch w:val="default"/>
    <w:sig w:usb0="00000000" w:usb1="00000000" w:usb2="00000000" w:usb3="00000000" w:csb0="0000019F"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865505" cy="158750"/>
              <wp:effectExtent l="0" t="0" r="0" b="0"/>
              <wp:wrapNone/>
              <wp:docPr id="1" name="文本框 1025"/>
              <wp:cNvGraphicFramePr/>
              <a:graphic xmlns:a="http://schemas.openxmlformats.org/drawingml/2006/main">
                <a:graphicData uri="http://schemas.microsoft.com/office/word/2010/wordprocessingShape">
                  <wps:wsp>
                    <wps:cNvSpPr txBox="1"/>
                    <wps:spPr>
                      <a:xfrm>
                        <a:off x="0" y="0"/>
                        <a:ext cx="865505" cy="158750"/>
                      </a:xfrm>
                      <a:prstGeom prst="rect">
                        <a:avLst/>
                      </a:prstGeom>
                      <a:noFill/>
                      <a:ln w="6350">
                        <a:noFill/>
                      </a:ln>
                    </wps:spPr>
                    <wps:txbx>
                      <w:txbxContent>
                        <w:p>
                          <w:pPr>
                            <w:pStyle w:val="7"/>
                          </w:pPr>
                          <w:r>
                            <w:rPr>
                              <w:rFonts w:hint="eastAsia"/>
                            </w:rPr>
                            <w:t>第</w:t>
                          </w:r>
                          <w:r>
                            <w:t xml:space="preserve"> </w:t>
                          </w:r>
                          <w:r>
                            <w:fldChar w:fldCharType="begin"/>
                          </w:r>
                          <w:r>
                            <w:instrText xml:space="preserve"> PAGE  \* MERGEFORMAT </w:instrText>
                          </w:r>
                          <w:r>
                            <w:fldChar w:fldCharType="separate"/>
                          </w:r>
                          <w:r>
                            <w:t>4</w:t>
                          </w:r>
                          <w:r>
                            <w:fldChar w:fldCharType="end"/>
                          </w:r>
                          <w:r>
                            <w:t xml:space="preserve"> </w:t>
                          </w:r>
                          <w:r>
                            <w:rPr>
                              <w:rFonts w:hint="eastAsia"/>
                            </w:rPr>
                            <w:t>页</w:t>
                          </w:r>
                          <w:r>
                            <w:t xml:space="preserve"> </w:t>
                          </w:r>
                          <w:r>
                            <w:rPr>
                              <w:rFonts w:hint="eastAsia"/>
                            </w:rPr>
                            <w:t>共</w:t>
                          </w:r>
                          <w:r>
                            <w:t xml:space="preserve"> </w:t>
                          </w:r>
                          <w:r>
                            <w:fldChar w:fldCharType="begin"/>
                          </w:r>
                          <w:r>
                            <w:instrText xml:space="preserve"> NUMPAGES  \* MERGEFORMAT </w:instrText>
                          </w:r>
                          <w:r>
                            <w:fldChar w:fldCharType="separate"/>
                          </w:r>
                          <w:r>
                            <w:t>10</w:t>
                          </w:r>
                          <w:r>
                            <w:fldChar w:fldCharType="end"/>
                          </w:r>
                          <w:r>
                            <w:t xml:space="preserve"> </w:t>
                          </w:r>
                          <w:r>
                            <w:rPr>
                              <w:rFonts w:hint="eastAsia"/>
                            </w:rPr>
                            <w:t>页</w:t>
                          </w:r>
                        </w:p>
                      </w:txbxContent>
                    </wps:txbx>
                    <wps:bodyPr wrap="none" lIns="0" tIns="0" rIns="0" bIns="0" upright="1">
                      <a:spAutoFit/>
                    </wps:bodyPr>
                  </wps:wsp>
                </a:graphicData>
              </a:graphic>
            </wp:anchor>
          </w:drawing>
        </mc:Choice>
        <mc:Fallback>
          <w:pict>
            <v:shape id="文本框 1025" o:spid="_x0000_s1026" o:spt="202" type="#_x0000_t202" style="position:absolute;left:0pt;margin-top:0pt;height:12.5pt;width:68.15pt;mso-position-horizontal:center;mso-position-horizontal-relative:margin;mso-wrap-style:none;z-index:251659264;mso-width-relative:page;mso-height-relative:page;" filled="f" stroked="f" coordsize="21600,21600" o:gfxdata="UEsDBAoAAAAAAIdO4kAAAAAAAAAAAAAAAAAEAAAAZHJzL1BLAwQUAAAACACHTuJATjGf9dMAAAAE&#10;AQAADwAAAGRycy9kb3ducmV2LnhtbE2PwU7DMBBE70j9B2srcaN2G6hQGqdSq4YjEg0Hjm68TQL2&#10;OrLdNPw9Lhe4rDSa0czbYjtZw0b0oXckYbkQwJAap3tqJbzX1cMzsBAVaWUcoYRvDLAtZ3eFyrW7&#10;0huOx9iyVEIhVxK6GIec89B0aFVYuAEpeWfnrYpJ+pZrr66p3Bq+EmLNreopLXRqwH2HzdfxYiXs&#10;q7r2IwZvPvClyj5fd494mKS8ny/FBljEKf6F4Yaf0KFMTCd3IR2YkZAeib/35mXrDNhJwupJAC8L&#10;/h++/AFQSwMEFAAAAAgAh07iQH0MkMG9AQAAVQMAAA4AAABkcnMvZTJvRG9jLnhtbK1TzY7TMBC+&#10;I+07WL5vkxSlVFHT1aLVIiQESAsP4Dp2Y8l/GrtN+gLwBpy4cOe5+hyM3bQL7G21F2c8M/7mm28m&#10;q5vRaLIXEJSzLa1mJSXCctcpu23p1y/310tKQmS2Y9pZ0dKDCPRmffVqNfhGzF3vdCeAIIgNzeBb&#10;2sfom6IIvBeGhZnzwmJQOjAs4hW2RQdsQHSji3lZLorBQefBcRECeu9OQbrO+FIKHj9JGUQkuqXI&#10;LeYT8rlJZ7FesWYLzPeKTzTYM1gYpiwWvUDdscjIDtQTKKM4uOBknHFnCiel4iL3gN1U5X/dPPTM&#10;i9wLihP8RabwcrD84/4zENXh7CixzOCIjj++H3/+Pv76RqpyXieFBh8aTHzwmBrHt25M2ZM/oDM1&#10;Pkow6YstEYyj1oeLvmKMhKNzuajrsqaEY6iql2/qrH/x+NhDiO+EMyQZLQUcX1aV7T+EiAUx9ZyS&#10;all3r7TOI9SWDC1dvEbIfyL4Qlt8mFo4UU1WHDfjxH/jugO2NeAKtNTijlKi31tUOG3L2YCzsTkb&#10;Ow9q2yPHKtcL/nYXkU0mmSqcYKfCOLvMfdqztBx/33PW49+w/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OMZ/10wAAAAQBAAAPAAAAAAAAAAEAIAAAACIAAABkcnMvZG93bnJldi54bWxQSwECFAAU&#10;AAAACACHTuJAfQyQwb0BAABVAwAADgAAAAAAAAABACAAAAAiAQAAZHJzL2Uyb0RvYy54bWxQSwUG&#10;AAAAAAYABgBZAQAAUQUAAAAA&#10;">
              <v:fill on="f" focussize="0,0"/>
              <v:stroke on="f" weight="0.5pt"/>
              <v:imagedata o:title=""/>
              <o:lock v:ext="edit" aspectratio="f"/>
              <v:textbox inset="0mm,0mm,0mm,0mm" style="mso-fit-shape-to-text:t;">
                <w:txbxContent>
                  <w:p>
                    <w:pPr>
                      <w:pStyle w:val="7"/>
                    </w:pPr>
                    <w:r>
                      <w:rPr>
                        <w:rFonts w:hint="eastAsia"/>
                      </w:rPr>
                      <w:t>第</w:t>
                    </w:r>
                    <w:r>
                      <w:t xml:space="preserve"> </w:t>
                    </w:r>
                    <w:r>
                      <w:fldChar w:fldCharType="begin"/>
                    </w:r>
                    <w:r>
                      <w:instrText xml:space="preserve"> PAGE  \* MERGEFORMAT </w:instrText>
                    </w:r>
                    <w:r>
                      <w:fldChar w:fldCharType="separate"/>
                    </w:r>
                    <w:r>
                      <w:t>4</w:t>
                    </w:r>
                    <w:r>
                      <w:fldChar w:fldCharType="end"/>
                    </w:r>
                    <w:r>
                      <w:t xml:space="preserve"> </w:t>
                    </w:r>
                    <w:r>
                      <w:rPr>
                        <w:rFonts w:hint="eastAsia"/>
                      </w:rPr>
                      <w:t>页</w:t>
                    </w:r>
                    <w:r>
                      <w:t xml:space="preserve"> </w:t>
                    </w:r>
                    <w:r>
                      <w:rPr>
                        <w:rFonts w:hint="eastAsia"/>
                      </w:rPr>
                      <w:t>共</w:t>
                    </w:r>
                    <w:r>
                      <w:t xml:space="preserve"> </w:t>
                    </w:r>
                    <w:r>
                      <w:fldChar w:fldCharType="begin"/>
                    </w:r>
                    <w:r>
                      <w:instrText xml:space="preserve"> NUMPAGES  \* MERGEFORMAT </w:instrText>
                    </w:r>
                    <w:r>
                      <w:fldChar w:fldCharType="separate"/>
                    </w:r>
                    <w:r>
                      <w:t>10</w:t>
                    </w:r>
                    <w:r>
                      <w:fldChar w:fldCharType="end"/>
                    </w:r>
                    <w:r>
                      <w:t xml:space="preserve"> </w:t>
                    </w:r>
                    <w:r>
                      <w:rPr>
                        <w:rFonts w:hint="eastAsia"/>
                      </w:rPr>
                      <w:t>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B19F8"/>
    <w:multiLevelType w:val="singleLevel"/>
    <w:tmpl w:val="0EFB19F8"/>
    <w:lvl w:ilvl="0" w:tentative="0">
      <w:start w:val="2"/>
      <w:numFmt w:val="chineseCounting"/>
      <w:suff w:val="nothing"/>
      <w:lvlText w:val="%1、"/>
      <w:lvlJc w:val="left"/>
      <w:rPr>
        <w:rFonts w:hint="eastAsia" w:cs="Times New Roman"/>
      </w:rPr>
    </w:lvl>
  </w:abstractNum>
  <w:abstractNum w:abstractNumId="1">
    <w:nsid w:val="2F811BF0"/>
    <w:multiLevelType w:val="multilevel"/>
    <w:tmpl w:val="2F811BF0"/>
    <w:lvl w:ilvl="0" w:tentative="0">
      <w:start w:val="1"/>
      <w:numFmt w:val="bullet"/>
      <w:lvlText w:val=""/>
      <w:lvlJc w:val="left"/>
      <w:pPr>
        <w:ind w:left="707" w:hanging="480"/>
      </w:pPr>
      <w:rPr>
        <w:rFonts w:hint="default" w:ascii="Wingdings" w:hAnsi="Wingdings"/>
      </w:rPr>
    </w:lvl>
    <w:lvl w:ilvl="1" w:tentative="0">
      <w:start w:val="1"/>
      <w:numFmt w:val="bullet"/>
      <w:lvlText w:val=""/>
      <w:lvlJc w:val="left"/>
      <w:pPr>
        <w:ind w:left="1187" w:hanging="480"/>
      </w:pPr>
      <w:rPr>
        <w:rFonts w:hint="default" w:ascii="Wingdings" w:hAnsi="Wingdings"/>
      </w:rPr>
    </w:lvl>
    <w:lvl w:ilvl="2" w:tentative="0">
      <w:start w:val="1"/>
      <w:numFmt w:val="bullet"/>
      <w:lvlText w:val=""/>
      <w:lvlJc w:val="left"/>
      <w:pPr>
        <w:ind w:left="1667" w:hanging="480"/>
      </w:pPr>
      <w:rPr>
        <w:rFonts w:hint="default" w:ascii="Wingdings" w:hAnsi="Wingdings"/>
      </w:rPr>
    </w:lvl>
    <w:lvl w:ilvl="3" w:tentative="0">
      <w:start w:val="1"/>
      <w:numFmt w:val="bullet"/>
      <w:lvlText w:val=""/>
      <w:lvlJc w:val="left"/>
      <w:pPr>
        <w:ind w:left="2147" w:hanging="480"/>
      </w:pPr>
      <w:rPr>
        <w:rFonts w:hint="default" w:ascii="Wingdings" w:hAnsi="Wingdings"/>
      </w:rPr>
    </w:lvl>
    <w:lvl w:ilvl="4" w:tentative="0">
      <w:start w:val="1"/>
      <w:numFmt w:val="bullet"/>
      <w:lvlText w:val=""/>
      <w:lvlJc w:val="left"/>
      <w:pPr>
        <w:ind w:left="2627" w:hanging="480"/>
      </w:pPr>
      <w:rPr>
        <w:rFonts w:hint="default" w:ascii="Wingdings" w:hAnsi="Wingdings"/>
      </w:rPr>
    </w:lvl>
    <w:lvl w:ilvl="5" w:tentative="0">
      <w:start w:val="1"/>
      <w:numFmt w:val="bullet"/>
      <w:lvlText w:val=""/>
      <w:lvlJc w:val="left"/>
      <w:pPr>
        <w:ind w:left="3107" w:hanging="480"/>
      </w:pPr>
      <w:rPr>
        <w:rFonts w:hint="default" w:ascii="Wingdings" w:hAnsi="Wingdings"/>
      </w:rPr>
    </w:lvl>
    <w:lvl w:ilvl="6" w:tentative="0">
      <w:start w:val="1"/>
      <w:numFmt w:val="bullet"/>
      <w:lvlText w:val=""/>
      <w:lvlJc w:val="left"/>
      <w:pPr>
        <w:ind w:left="3587" w:hanging="480"/>
      </w:pPr>
      <w:rPr>
        <w:rFonts w:hint="default" w:ascii="Wingdings" w:hAnsi="Wingdings"/>
      </w:rPr>
    </w:lvl>
    <w:lvl w:ilvl="7" w:tentative="0">
      <w:start w:val="1"/>
      <w:numFmt w:val="bullet"/>
      <w:lvlText w:val=""/>
      <w:lvlJc w:val="left"/>
      <w:pPr>
        <w:ind w:left="4067" w:hanging="480"/>
      </w:pPr>
      <w:rPr>
        <w:rFonts w:hint="default" w:ascii="Wingdings" w:hAnsi="Wingdings"/>
      </w:rPr>
    </w:lvl>
    <w:lvl w:ilvl="8" w:tentative="0">
      <w:start w:val="1"/>
      <w:numFmt w:val="bullet"/>
      <w:lvlText w:val=""/>
      <w:lvlJc w:val="left"/>
      <w:pPr>
        <w:ind w:left="4547" w:hanging="480"/>
      </w:pPr>
      <w:rPr>
        <w:rFonts w:hint="default" w:ascii="Wingdings" w:hAnsi="Wingdings"/>
      </w:rPr>
    </w:lvl>
  </w:abstractNum>
  <w:abstractNum w:abstractNumId="2">
    <w:nsid w:val="5B0104E1"/>
    <w:multiLevelType w:val="multilevel"/>
    <w:tmpl w:val="5B0104E1"/>
    <w:lvl w:ilvl="0" w:tentative="0">
      <w:start w:val="1"/>
      <w:numFmt w:val="japaneseCounting"/>
      <w:lvlText w:val="%1、"/>
      <w:lvlJc w:val="left"/>
      <w:pPr>
        <w:ind w:left="600" w:hanging="60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55364E"/>
    <w:rsid w:val="000F4D3C"/>
    <w:rsid w:val="0011548B"/>
    <w:rsid w:val="001262CE"/>
    <w:rsid w:val="00133EC7"/>
    <w:rsid w:val="00175541"/>
    <w:rsid w:val="001A1FA6"/>
    <w:rsid w:val="001B335C"/>
    <w:rsid w:val="001C788F"/>
    <w:rsid w:val="001C7DD0"/>
    <w:rsid w:val="001F2373"/>
    <w:rsid w:val="001F5B88"/>
    <w:rsid w:val="00225DDD"/>
    <w:rsid w:val="00241545"/>
    <w:rsid w:val="00287DD2"/>
    <w:rsid w:val="00287FF9"/>
    <w:rsid w:val="00290469"/>
    <w:rsid w:val="002A48F9"/>
    <w:rsid w:val="002B2C7D"/>
    <w:rsid w:val="00310BC1"/>
    <w:rsid w:val="003A646A"/>
    <w:rsid w:val="003D72ED"/>
    <w:rsid w:val="00404B36"/>
    <w:rsid w:val="004072CE"/>
    <w:rsid w:val="004219F4"/>
    <w:rsid w:val="00436333"/>
    <w:rsid w:val="004451CA"/>
    <w:rsid w:val="004678FE"/>
    <w:rsid w:val="004C4D63"/>
    <w:rsid w:val="00553F33"/>
    <w:rsid w:val="005C3101"/>
    <w:rsid w:val="007127F6"/>
    <w:rsid w:val="007B71E2"/>
    <w:rsid w:val="007D291C"/>
    <w:rsid w:val="00804087"/>
    <w:rsid w:val="008406DC"/>
    <w:rsid w:val="008810C1"/>
    <w:rsid w:val="00945563"/>
    <w:rsid w:val="00952A9D"/>
    <w:rsid w:val="009902C1"/>
    <w:rsid w:val="0099222A"/>
    <w:rsid w:val="00995846"/>
    <w:rsid w:val="009E4E1E"/>
    <w:rsid w:val="00AD4EB5"/>
    <w:rsid w:val="00AF25AA"/>
    <w:rsid w:val="00B82142"/>
    <w:rsid w:val="00BB55F5"/>
    <w:rsid w:val="00BE4708"/>
    <w:rsid w:val="00BF66C1"/>
    <w:rsid w:val="00C23D2D"/>
    <w:rsid w:val="00C37D1D"/>
    <w:rsid w:val="00CC6FD5"/>
    <w:rsid w:val="00CE05D4"/>
    <w:rsid w:val="00CE1A41"/>
    <w:rsid w:val="00CF5FB5"/>
    <w:rsid w:val="00D13838"/>
    <w:rsid w:val="00D13DCB"/>
    <w:rsid w:val="00D77BD8"/>
    <w:rsid w:val="00DE113D"/>
    <w:rsid w:val="00E02C98"/>
    <w:rsid w:val="00E37D6B"/>
    <w:rsid w:val="00EC6646"/>
    <w:rsid w:val="00F07B5A"/>
    <w:rsid w:val="00F26CCB"/>
    <w:rsid w:val="00F333E0"/>
    <w:rsid w:val="00F51B15"/>
    <w:rsid w:val="00FC442E"/>
    <w:rsid w:val="10742B7E"/>
    <w:rsid w:val="139D730C"/>
    <w:rsid w:val="1565016F"/>
    <w:rsid w:val="171F6674"/>
    <w:rsid w:val="18497886"/>
    <w:rsid w:val="1BD106CC"/>
    <w:rsid w:val="1CA8059A"/>
    <w:rsid w:val="1DB8508C"/>
    <w:rsid w:val="1F2B155A"/>
    <w:rsid w:val="21857285"/>
    <w:rsid w:val="21ED6DDA"/>
    <w:rsid w:val="26510C27"/>
    <w:rsid w:val="28E13F4D"/>
    <w:rsid w:val="2A7D5883"/>
    <w:rsid w:val="2D3A6094"/>
    <w:rsid w:val="2DF56D74"/>
    <w:rsid w:val="31BE5BEC"/>
    <w:rsid w:val="32440D2C"/>
    <w:rsid w:val="325A1DB8"/>
    <w:rsid w:val="36447105"/>
    <w:rsid w:val="373F671C"/>
    <w:rsid w:val="3B947E50"/>
    <w:rsid w:val="3C9432FA"/>
    <w:rsid w:val="3D910606"/>
    <w:rsid w:val="401C3BAC"/>
    <w:rsid w:val="40426F6B"/>
    <w:rsid w:val="421F5CA4"/>
    <w:rsid w:val="42687C46"/>
    <w:rsid w:val="49B7335A"/>
    <w:rsid w:val="50E421DC"/>
    <w:rsid w:val="54150738"/>
    <w:rsid w:val="567D6D06"/>
    <w:rsid w:val="586E0D5C"/>
    <w:rsid w:val="59F575EB"/>
    <w:rsid w:val="5CC0019B"/>
    <w:rsid w:val="624B2F98"/>
    <w:rsid w:val="639E0E98"/>
    <w:rsid w:val="63BC60A6"/>
    <w:rsid w:val="65B279B6"/>
    <w:rsid w:val="666A2B2C"/>
    <w:rsid w:val="682952DC"/>
    <w:rsid w:val="68AD5211"/>
    <w:rsid w:val="6DF646F0"/>
    <w:rsid w:val="7055364E"/>
    <w:rsid w:val="70ED3A99"/>
    <w:rsid w:val="71ED520A"/>
    <w:rsid w:val="72C711B5"/>
    <w:rsid w:val="75221F03"/>
    <w:rsid w:val="77975786"/>
    <w:rsid w:val="7BA818A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fal"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0" w:name="Table Simple 1" w:locked="1"/>
    <w:lsdException w:uiPriority="0" w:name="Table Simple 2" w:locked="1"/>
    <w:lsdException w:uiPriority="0" w:name="Table Simple 3" w:locked="1"/>
    <w:lsdException w:uiPriority="0" w:name="Table Classic 1" w:locked="1"/>
    <w:lsdException w:uiPriority="0" w:name="Table Classic 2" w:locked="1"/>
    <w:lsdException w:uiPriority="0" w:name="Table Classic 3" w:locked="1"/>
    <w:lsdException w:uiPriority="0" w:name="Table Classic 4" w:locked="1"/>
    <w:lsdException w:uiPriority="0" w:name="Table Colorful 1" w:locked="1"/>
    <w:lsdException w:uiPriority="0" w:name="Table Colorful 2" w:locked="1"/>
    <w:lsdException w:uiPriority="0" w:name="Table Colorful 3" w:locked="1"/>
    <w:lsdException w:uiPriority="0" w:name="Table Columns 1" w:locked="1"/>
    <w:lsdException w:uiPriority="0" w:name="Table Columns 2" w:locked="1"/>
    <w:lsdException w:uiPriority="0" w:name="Table Columns 3" w:locked="1"/>
    <w:lsdException w:uiPriority="0" w:name="Table Columns 4" w:locked="1"/>
    <w:lsdException w:uiPriority="0" w:name="Table Columns 5" w:locked="1"/>
    <w:lsdException w:uiPriority="0" w:name="Table Grid 1" w:locked="1"/>
    <w:lsdException w:uiPriority="0" w:name="Table Grid 2" w:locked="1"/>
    <w:lsdException w:uiPriority="0" w:name="Table Grid 3" w:locked="1"/>
    <w:lsdException w:uiPriority="0" w:name="Table Grid 4" w:locked="1"/>
    <w:lsdException w:uiPriority="0" w:name="Table Grid 5" w:locked="1"/>
    <w:lsdException w:uiPriority="0" w:name="Table Grid 6" w:locked="1"/>
    <w:lsdException w:uiPriority="0" w:name="Table Grid 7" w:locked="1"/>
    <w:lsdException w:uiPriority="0" w:name="Table Grid 8" w:locked="1"/>
    <w:lsdException w:uiPriority="0" w:name="Table List 1" w:locked="1"/>
    <w:lsdException w:uiPriority="0" w:name="Table List 2" w:locked="1"/>
    <w:lsdException w:uiPriority="0" w:name="Table List 3" w:locked="1"/>
    <w:lsdException w:uiPriority="0" w:name="Table List 4" w:locked="1"/>
    <w:lsdException w:uiPriority="0" w:name="Table List 5" w:locked="1"/>
    <w:lsdException w:uiPriority="0" w:name="Table List 6" w:locked="1"/>
    <w:lsdException w:uiPriority="0" w:name="Table List 7" w:locked="1"/>
    <w:lsdException w:uiPriority="0" w:name="Table List 8" w:locked="1"/>
    <w:lsdException w:uiPriority="0" w:name="Table 3D effects 1" w:locked="1"/>
    <w:lsdException w:uiPriority="0" w:name="Table 3D effects 2" w:locked="1"/>
    <w:lsdException w:uiPriority="0" w:name="Table 3D effects 3" w:locked="1"/>
    <w:lsdException w:uiPriority="0" w:name="Table Contemporary" w:locked="1"/>
    <w:lsdException w:uiPriority="0" w:name="Table Elegant" w:locked="1"/>
    <w:lsdException w:uiPriority="0" w:name="Table Professional" w:locked="1"/>
    <w:lsdException w:uiPriority="0" w:name="Table Subtle 1" w:locked="1"/>
    <w:lsdException w:uiPriority="0" w:name="Table Subtle 2" w:locked="1"/>
    <w:lsdException w:uiPriority="0" w:name="Table Web 1" w:locked="1"/>
    <w:lsdException w:uiPriority="0" w:name="Table Web 2" w:locked="1"/>
    <w:lsdException w:uiPriority="0" w:name="Table Web 3" w:locked="1"/>
    <w:lsdException w:qFormat="1" w:unhideWhenUsed="0" w:uiPriority="99" w:name="Balloon Text"/>
    <w:lsdException w:qFormat="1" w:unhideWhenUsed="0" w:uiPriority="0" w:semiHidden="0" w:name="Table Grid" w:locked="1"/>
    <w:lsdException w:uiPriority="0"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adjustRightInd w:val="0"/>
      <w:spacing w:line="360" w:lineRule="atLeast"/>
      <w:jc w:val="both"/>
      <w:textAlignment w:val="baseline"/>
    </w:pPr>
    <w:rPr>
      <w:rFonts w:ascii="Calibri" w:hAnsi="Calibri" w:eastAsia="宋体fal" w:cs="Times New Roman"/>
      <w:kern w:val="2"/>
      <w:sz w:val="21"/>
      <w:szCs w:val="22"/>
      <w:lang w:val="en-US" w:eastAsia="zh-CN" w:bidi="ar-SA"/>
    </w:rPr>
  </w:style>
  <w:style w:type="paragraph" w:styleId="3">
    <w:name w:val="heading 1"/>
    <w:basedOn w:val="1"/>
    <w:next w:val="1"/>
    <w:link w:val="13"/>
    <w:qFormat/>
    <w:uiPriority w:val="99"/>
    <w:pPr>
      <w:keepNext/>
      <w:keepLines/>
      <w:spacing w:before="340" w:after="330" w:line="578" w:lineRule="auto"/>
      <w:outlineLvl w:val="0"/>
    </w:pPr>
    <w:rPr>
      <w:b/>
      <w:bCs/>
      <w:kern w:val="44"/>
      <w:sz w:val="44"/>
      <w:szCs w:val="44"/>
    </w:rPr>
  </w:style>
  <w:style w:type="paragraph" w:styleId="4">
    <w:name w:val="heading 2"/>
    <w:basedOn w:val="1"/>
    <w:next w:val="1"/>
    <w:link w:val="14"/>
    <w:qFormat/>
    <w:uiPriority w:val="99"/>
    <w:pPr>
      <w:keepNext/>
      <w:keepLines/>
      <w:spacing w:line="416" w:lineRule="atLeast"/>
      <w:outlineLvl w:val="1"/>
    </w:pPr>
    <w:rPr>
      <w:rFonts w:ascii="Arial" w:hAnsi="Arial" w:eastAsia="黑体fal"/>
      <w:b/>
      <w:bCs/>
      <w:kern w:val="0"/>
      <w:sz w:val="32"/>
      <w:szCs w:val="32"/>
    </w:rPr>
  </w:style>
  <w:style w:type="character" w:default="1" w:styleId="9">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unhideWhenUsed/>
    <w:qFormat/>
    <w:uiPriority w:val="99"/>
    <w:pPr>
      <w:autoSpaceDE w:val="0"/>
      <w:autoSpaceDN w:val="0"/>
      <w:jc w:val="center"/>
    </w:pPr>
    <w:rPr>
      <w:rFonts w:ascii="仿宋_GB2312"/>
      <w:kern w:val="0"/>
      <w:sz w:val="24"/>
    </w:rPr>
  </w:style>
  <w:style w:type="paragraph" w:styleId="5">
    <w:name w:val="annotation text"/>
    <w:basedOn w:val="1"/>
    <w:link w:val="15"/>
    <w:qFormat/>
    <w:uiPriority w:val="99"/>
    <w:pPr>
      <w:jc w:val="left"/>
    </w:pPr>
  </w:style>
  <w:style w:type="paragraph" w:styleId="6">
    <w:name w:val="Balloon Text"/>
    <w:basedOn w:val="1"/>
    <w:link w:val="20"/>
    <w:semiHidden/>
    <w:qFormat/>
    <w:uiPriority w:val="99"/>
    <w:rPr>
      <w:sz w:val="18"/>
      <w:szCs w:val="18"/>
    </w:rPr>
  </w:style>
  <w:style w:type="paragraph" w:styleId="7">
    <w:name w:val="footer"/>
    <w:basedOn w:val="1"/>
    <w:link w:val="16"/>
    <w:qFormat/>
    <w:uiPriority w:val="99"/>
    <w:pPr>
      <w:tabs>
        <w:tab w:val="center" w:pos="4153"/>
        <w:tab w:val="right" w:pos="8306"/>
      </w:tabs>
      <w:snapToGrid w:val="0"/>
      <w:spacing w:line="240" w:lineRule="atLeast"/>
      <w:jc w:val="left"/>
    </w:pPr>
    <w:rPr>
      <w:sz w:val="18"/>
      <w:szCs w:val="18"/>
    </w:rPr>
  </w:style>
  <w:style w:type="paragraph" w:styleId="8">
    <w:name w:val="header"/>
    <w:basedOn w:val="1"/>
    <w:link w:val="17"/>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styleId="10">
    <w:name w:val="annotation reference"/>
    <w:basedOn w:val="9"/>
    <w:qFormat/>
    <w:uiPriority w:val="99"/>
    <w:rPr>
      <w:rFonts w:cs="Times New Roman"/>
      <w:sz w:val="21"/>
    </w:rPr>
  </w:style>
  <w:style w:type="table" w:styleId="12">
    <w:name w:val="Table Grid"/>
    <w:basedOn w:val="11"/>
    <w:qFormat/>
    <w:lock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字符"/>
    <w:basedOn w:val="9"/>
    <w:link w:val="3"/>
    <w:qFormat/>
    <w:uiPriority w:val="9"/>
    <w:rPr>
      <w:rFonts w:ascii="Calibri" w:hAnsi="Calibri"/>
      <w:b/>
      <w:bCs/>
      <w:kern w:val="44"/>
      <w:sz w:val="44"/>
      <w:szCs w:val="44"/>
    </w:rPr>
  </w:style>
  <w:style w:type="character" w:customStyle="1" w:styleId="14">
    <w:name w:val="标题 2 字符"/>
    <w:basedOn w:val="9"/>
    <w:link w:val="4"/>
    <w:semiHidden/>
    <w:qFormat/>
    <w:uiPriority w:val="9"/>
    <w:rPr>
      <w:rFonts w:asciiTheme="majorHAnsi" w:hAnsiTheme="majorHAnsi" w:eastAsiaTheme="majorEastAsia" w:cstheme="majorBidi"/>
      <w:b/>
      <w:bCs/>
      <w:sz w:val="32"/>
      <w:szCs w:val="32"/>
    </w:rPr>
  </w:style>
  <w:style w:type="character" w:customStyle="1" w:styleId="15">
    <w:name w:val="批注文字 字符"/>
    <w:basedOn w:val="9"/>
    <w:link w:val="5"/>
    <w:semiHidden/>
    <w:qFormat/>
    <w:uiPriority w:val="99"/>
    <w:rPr>
      <w:rFonts w:ascii="Calibri" w:hAnsi="Calibri"/>
    </w:rPr>
  </w:style>
  <w:style w:type="character" w:customStyle="1" w:styleId="16">
    <w:name w:val="页脚 字符"/>
    <w:basedOn w:val="9"/>
    <w:link w:val="7"/>
    <w:qFormat/>
    <w:locked/>
    <w:uiPriority w:val="99"/>
    <w:rPr>
      <w:rFonts w:ascii="Calibri" w:hAnsi="Calibri" w:eastAsia="宋体fal"/>
      <w:kern w:val="2"/>
      <w:sz w:val="18"/>
    </w:rPr>
  </w:style>
  <w:style w:type="character" w:customStyle="1" w:styleId="17">
    <w:name w:val="页眉 字符"/>
    <w:basedOn w:val="9"/>
    <w:link w:val="8"/>
    <w:qFormat/>
    <w:locked/>
    <w:uiPriority w:val="99"/>
    <w:rPr>
      <w:rFonts w:ascii="Calibri" w:hAnsi="Calibri" w:eastAsia="宋体fal"/>
      <w:kern w:val="2"/>
      <w:sz w:val="18"/>
    </w:rPr>
  </w:style>
  <w:style w:type="paragraph" w:customStyle="1" w:styleId="18">
    <w:name w:val="Default"/>
    <w:qFormat/>
    <w:uiPriority w:val="99"/>
    <w:pPr>
      <w:widowControl w:val="0"/>
      <w:autoSpaceDE w:val="0"/>
      <w:autoSpaceDN w:val="0"/>
      <w:adjustRightInd w:val="0"/>
    </w:pPr>
    <w:rPr>
      <w:rFonts w:ascii="......." w:hAnsi="Calibri" w:eastAsia="......." w:cs="......."/>
      <w:color w:val="000000"/>
      <w:sz w:val="24"/>
      <w:szCs w:val="24"/>
      <w:lang w:val="en-US" w:eastAsia="zh-CN" w:bidi="ar-SA"/>
    </w:rPr>
  </w:style>
  <w:style w:type="paragraph" w:styleId="19">
    <w:name w:val="List Paragraph"/>
    <w:basedOn w:val="1"/>
    <w:qFormat/>
    <w:uiPriority w:val="99"/>
    <w:pPr>
      <w:adjustRightInd/>
      <w:spacing w:line="240" w:lineRule="auto"/>
      <w:ind w:firstLine="420" w:firstLineChars="200"/>
      <w:textAlignment w:val="auto"/>
    </w:pPr>
  </w:style>
  <w:style w:type="character" w:customStyle="1" w:styleId="20">
    <w:name w:val="批注框文本 字符"/>
    <w:basedOn w:val="9"/>
    <w:link w:val="6"/>
    <w:semiHidden/>
    <w:qFormat/>
    <w:uiPriority w:val="99"/>
    <w:rPr>
      <w:rFonts w:ascii="Calibri" w:hAnsi="Calibri"/>
      <w:sz w:val="0"/>
      <w:szCs w:val="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828</Words>
  <Characters>4721</Characters>
  <Lines>39</Lines>
  <Paragraphs>11</Paragraphs>
  <TotalTime>25</TotalTime>
  <ScaleCrop>false</ScaleCrop>
  <LinksUpToDate>false</LinksUpToDate>
  <CharactersWithSpaces>5538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2018-05-08T09:43:00Z</dcterms:created>
  <dc:creator>nj</dc:creator>
  <cp:lastModifiedBy>lenovo</cp:lastModifiedBy>
  <cp:lastPrinted>2018-05-06T07:29:00Z</cp:lastPrinted>
  <dcterms:modified xsi:type="dcterms:W3CDTF">2018-06-05T02:42:20Z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