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3"/>
        <w:spacing w:before="0" w:after="0" w:line="500" w:lineRule="exact"/>
        <w:ind w:firstLine="0" w:firstLineChars="0"/>
        <w:jc w:val="center"/>
        <w:rPr>
          <w:rFonts w:asciiTheme="minorEastAsia" w:hAnsiTheme="minorEastAsia" w:eastAsiaTheme="minorEastAsia" w:cstheme="minorEastAsia"/>
          <w:b/>
          <w:bCs/>
          <w:sz w:val="28"/>
          <w:szCs w:val="28"/>
        </w:rPr>
      </w:pP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p>
    <w:p>
      <w:pPr>
        <w:pStyle w:val="3"/>
        <w:spacing w:before="0" w:after="0" w:line="500" w:lineRule="exact"/>
        <w:ind w:firstLine="0" w:firstLineChars="0"/>
        <w:jc w:val="center"/>
        <w:rPr>
          <w:rFonts w:asciiTheme="minorEastAsia" w:hAnsiTheme="minorEastAsia" w:eastAsiaTheme="minorEastAsia" w:cstheme="minorEastAsia"/>
          <w:b/>
          <w:bCs/>
          <w:sz w:val="52"/>
          <w:szCs w:val="52"/>
        </w:rPr>
      </w:pPr>
    </w:p>
    <w:p>
      <w:pPr>
        <w:pStyle w:val="3"/>
        <w:spacing w:before="0" w:after="0" w:line="500" w:lineRule="exact"/>
        <w:ind w:firstLine="0" w:firstLineChars="0"/>
        <w:jc w:val="center"/>
        <w:rPr>
          <w:rFonts w:asciiTheme="minorEastAsia" w:hAnsiTheme="minorEastAsia" w:eastAsiaTheme="minorEastAsia" w:cstheme="minorEastAsia"/>
          <w:b/>
          <w:bCs/>
          <w:sz w:val="52"/>
          <w:szCs w:val="52"/>
        </w:rPr>
      </w:pPr>
      <w:r>
        <w:rPr>
          <w:rFonts w:hint="eastAsia" w:asciiTheme="minorEastAsia" w:hAnsiTheme="minorEastAsia" w:eastAsiaTheme="minorEastAsia" w:cstheme="minorEastAsia"/>
          <w:b/>
          <w:bCs/>
          <w:sz w:val="52"/>
          <w:szCs w:val="52"/>
        </w:rPr>
        <w:t>天津市河东区启智学校维修工程需求书</w:t>
      </w: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pStyle w:val="2"/>
        <w:ind w:firstLine="1044"/>
        <w:rPr>
          <w:rFonts w:asciiTheme="minorEastAsia" w:hAnsiTheme="minorEastAsia" w:eastAsiaTheme="minorEastAsia" w:cstheme="minorEastAsia"/>
          <w:b/>
          <w:bCs/>
          <w:sz w:val="52"/>
          <w:szCs w:val="52"/>
        </w:rPr>
      </w:pPr>
    </w:p>
    <w:p>
      <w:pPr>
        <w:pStyle w:val="2"/>
        <w:ind w:firstLine="1044"/>
        <w:rPr>
          <w:rFonts w:asciiTheme="minorEastAsia" w:hAnsiTheme="minorEastAsia" w:eastAsiaTheme="minorEastAsia" w:cstheme="minorEastAsia"/>
          <w:b/>
          <w:bCs/>
          <w:sz w:val="52"/>
          <w:szCs w:val="52"/>
        </w:rPr>
      </w:pPr>
    </w:p>
    <w:p>
      <w:pPr>
        <w:pStyle w:val="2"/>
        <w:ind w:firstLine="1044"/>
        <w:rPr>
          <w:rFonts w:asciiTheme="minorEastAsia" w:hAnsiTheme="minorEastAsia" w:eastAsiaTheme="minorEastAsia" w:cstheme="minorEastAsia"/>
          <w:b/>
          <w:bCs/>
          <w:sz w:val="52"/>
          <w:szCs w:val="52"/>
        </w:rPr>
      </w:pPr>
    </w:p>
    <w:p>
      <w:pPr>
        <w:pStyle w:val="2"/>
        <w:ind w:firstLine="1044"/>
        <w:rPr>
          <w:rFonts w:asciiTheme="minorEastAsia" w:hAnsiTheme="minorEastAsia" w:eastAsiaTheme="minorEastAsia" w:cstheme="minorEastAsia"/>
          <w:b/>
          <w:bCs/>
          <w:sz w:val="52"/>
          <w:szCs w:val="52"/>
        </w:rPr>
      </w:pPr>
    </w:p>
    <w:p>
      <w:pPr>
        <w:pStyle w:val="2"/>
        <w:ind w:firstLine="1044"/>
        <w:rPr>
          <w:rFonts w:asciiTheme="minorEastAsia" w:hAnsiTheme="minorEastAsia" w:eastAsiaTheme="minorEastAsia" w:cstheme="minorEastAsia"/>
          <w:b/>
          <w:bCs/>
          <w:sz w:val="52"/>
          <w:szCs w:val="52"/>
        </w:rPr>
      </w:pPr>
    </w:p>
    <w:p>
      <w:pPr>
        <w:spacing w:line="500" w:lineRule="exact"/>
        <w:ind w:firstLine="1044"/>
        <w:rPr>
          <w:rFonts w:asciiTheme="minorEastAsia" w:hAnsiTheme="minorEastAsia" w:eastAsiaTheme="minorEastAsia" w:cstheme="minorEastAsia"/>
          <w:b/>
          <w:bCs/>
          <w:sz w:val="52"/>
          <w:szCs w:val="52"/>
        </w:rPr>
      </w:pPr>
    </w:p>
    <w:p>
      <w:pPr>
        <w:spacing w:line="500" w:lineRule="exact"/>
        <w:ind w:firstLine="883"/>
        <w:jc w:val="center"/>
        <w:rPr>
          <w:rFonts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天津市河东区启智学校</w:t>
      </w: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p>
    <w:p>
      <w:pPr>
        <w:spacing w:line="500" w:lineRule="exact"/>
        <w:ind w:firstLine="562"/>
        <w:rPr>
          <w:rFonts w:asciiTheme="minorEastAsia" w:hAnsiTheme="minorEastAsia" w:eastAsiaTheme="minorEastAsia" w:cstheme="minorEastAsia"/>
          <w:b/>
          <w:bCs/>
          <w:sz w:val="28"/>
          <w:szCs w:val="28"/>
        </w:rPr>
      </w:pPr>
    </w:p>
    <w:p>
      <w:pPr>
        <w:spacing w:line="500" w:lineRule="exact"/>
        <w:ind w:firstLine="562"/>
        <w:rPr>
          <w:rFonts w:asciiTheme="minorEastAsia" w:hAnsiTheme="minorEastAsia" w:eastAsiaTheme="minorEastAsia" w:cstheme="minorEastAsia"/>
          <w:b/>
          <w:bCs/>
          <w:sz w:val="28"/>
          <w:szCs w:val="28"/>
        </w:rPr>
      </w:pP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br w:type="page"/>
      </w: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p>
    <w:p>
      <w:pPr>
        <w:pStyle w:val="3"/>
        <w:spacing w:before="0" w:after="0" w:line="500" w:lineRule="exact"/>
        <w:ind w:firstLine="0" w:firstLineChars="0"/>
        <w:jc w:val="center"/>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天津市河东区启智学校维修工程需求书</w:t>
      </w:r>
    </w:p>
    <w:p>
      <w:pPr>
        <w:spacing w:before="326" w:beforeLines="100" w:after="163" w:afterLines="50" w:line="500" w:lineRule="exact"/>
        <w:ind w:firstLine="562"/>
        <w:jc w:val="left"/>
        <w:outlineLvl w:val="1"/>
        <w:rPr>
          <w:rFonts w:asciiTheme="minorEastAsia" w:hAnsiTheme="minorEastAsia" w:eastAsiaTheme="minorEastAsia" w:cstheme="minorEastAsia"/>
          <w:b/>
          <w:sz w:val="28"/>
          <w:szCs w:val="28"/>
        </w:rPr>
      </w:pPr>
      <w:bookmarkStart w:id="0" w:name="_Toc470872928"/>
      <w:r>
        <w:rPr>
          <w:rFonts w:hint="eastAsia" w:asciiTheme="minorEastAsia" w:hAnsiTheme="minorEastAsia" w:eastAsiaTheme="minorEastAsia" w:cstheme="minorEastAsia"/>
          <w:b/>
          <w:sz w:val="28"/>
          <w:szCs w:val="28"/>
        </w:rPr>
        <w:t>一．项目名称及概况</w:t>
      </w:r>
      <w:bookmarkEnd w:id="0"/>
    </w:p>
    <w:p>
      <w:pPr>
        <w:numPr>
          <w:ilvl w:val="0"/>
          <w:numId w:val="1"/>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项目名称：天津市河东区启智学校维修工程。</w:t>
      </w:r>
    </w:p>
    <w:p>
      <w:pPr>
        <w:numPr>
          <w:ilvl w:val="0"/>
          <w:numId w:val="1"/>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天津市河东区启智学校为了进一步发展教育，实施校园现代化标准建设，认真落实《市教委等十六部门关于印发建立健全天津市中小学校和幼儿园校舍安全保障长效机制的意见的通知》等文件精神。我校对建筑安全隐患进行排查并进行全面分析：天津市河东区启智学校始建于1990年，占地6705平方米，建筑面积5104平方米。随着时间的推移，操场以及教学楼内的护墙板、电路、上下水道、门窗、地砖、墙砖、操场等已经失修，其中有的地方还存在安全隐患，根据津发改投资[2016]852号文件第二项第三条的规定，我校属于党政机关办公楼以外的房屋维修、装修。为此经班子集体研究，河东教育局、河东区政府审批同意，申请对上述建筑、设施、设备的维修改造，为学校创设更加安全、适宜的生活、学习环境。</w:t>
      </w:r>
    </w:p>
    <w:p>
      <w:pPr>
        <w:spacing w:line="500" w:lineRule="exact"/>
        <w:ind w:firstLine="562"/>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二．项目位置</w:t>
      </w:r>
    </w:p>
    <w:p>
      <w:p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本项目位于天津市河东区华龙道万春花园旁。</w:t>
      </w:r>
    </w:p>
    <w:p>
      <w:pPr>
        <w:spacing w:line="500" w:lineRule="exact"/>
        <w:ind w:firstLine="562"/>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三．项目性质</w:t>
      </w:r>
    </w:p>
    <w:p>
      <w:pPr>
        <w:spacing w:line="500" w:lineRule="exact"/>
        <w:ind w:firstLine="56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sz w:val="28"/>
          <w:szCs w:val="28"/>
        </w:rPr>
        <w:t>校舍</w:t>
      </w:r>
      <w:r>
        <w:rPr>
          <w:rFonts w:hint="eastAsia" w:asciiTheme="minorEastAsia" w:hAnsiTheme="minorEastAsia" w:eastAsiaTheme="minorEastAsia" w:cstheme="minorEastAsia"/>
          <w:bCs/>
          <w:sz w:val="28"/>
          <w:szCs w:val="28"/>
        </w:rPr>
        <w:t>改造工程</w:t>
      </w:r>
    </w:p>
    <w:p>
      <w:pPr>
        <w:spacing w:line="500" w:lineRule="exact"/>
        <w:ind w:firstLine="562"/>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四．项目内容及规模</w:t>
      </w:r>
    </w:p>
    <w:p>
      <w:p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项目主要对天津市河东区启智学校维修工程进行改造。主要改造内容包含室外工程、室外车棚工程、报告厅工程、教学楼工程、房修给排水工程、房修电气工程。详见工程量清单。</w:t>
      </w:r>
    </w:p>
    <w:p>
      <w:pPr>
        <w:spacing w:line="500" w:lineRule="exact"/>
        <w:ind w:firstLine="481" w:firstLineChars="171"/>
        <w:rPr>
          <w:rFonts w:hint="eastAsia" w:asciiTheme="minorEastAsia" w:hAnsiTheme="minorEastAsia" w:eastAsiaTheme="minorEastAsia" w:cstheme="minorEastAsia"/>
          <w:b/>
          <w:sz w:val="28"/>
          <w:szCs w:val="28"/>
          <w:lang w:eastAsia="zh-CN"/>
        </w:rPr>
      </w:pPr>
      <w:r>
        <w:rPr>
          <w:rFonts w:hint="eastAsia" w:asciiTheme="minorEastAsia" w:hAnsiTheme="minorEastAsia" w:eastAsiaTheme="minorEastAsia" w:cstheme="minorEastAsia"/>
          <w:b/>
          <w:sz w:val="28"/>
          <w:szCs w:val="28"/>
        </w:rPr>
        <w:t>五.项目</w:t>
      </w:r>
      <w:r>
        <w:rPr>
          <w:rFonts w:hint="eastAsia" w:asciiTheme="minorEastAsia" w:hAnsiTheme="minorEastAsia" w:eastAsiaTheme="minorEastAsia" w:cstheme="minorEastAsia"/>
          <w:b/>
          <w:sz w:val="28"/>
          <w:szCs w:val="28"/>
          <w:lang w:eastAsia="zh-CN"/>
        </w:rPr>
        <w:t>工期</w:t>
      </w:r>
    </w:p>
    <w:p>
      <w:pPr>
        <w:spacing w:line="500" w:lineRule="exact"/>
        <w:ind w:firstLine="478" w:firstLineChars="171"/>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本项目</w:t>
      </w:r>
      <w:r>
        <w:rPr>
          <w:rFonts w:hint="eastAsia" w:asciiTheme="minorEastAsia" w:hAnsiTheme="minorEastAsia" w:eastAsiaTheme="minorEastAsia" w:cstheme="minorEastAsia"/>
          <w:sz w:val="28"/>
          <w:szCs w:val="28"/>
          <w:lang w:eastAsia="zh-CN"/>
        </w:rPr>
        <w:t>工期</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color w:val="auto"/>
          <w:sz w:val="28"/>
          <w:szCs w:val="28"/>
          <w:highlight w:val="none"/>
          <w:lang w:val="en-US" w:eastAsia="zh-CN"/>
        </w:rPr>
        <w:t>25天（特殊情况以合同为准）</w:t>
      </w:r>
      <w:r>
        <w:rPr>
          <w:rFonts w:hint="eastAsia" w:asciiTheme="minorEastAsia" w:hAnsiTheme="minorEastAsia" w:eastAsiaTheme="minorEastAsia" w:cstheme="minorEastAsia"/>
          <w:color w:val="auto"/>
          <w:sz w:val="28"/>
          <w:szCs w:val="28"/>
          <w:highlight w:val="none"/>
        </w:rPr>
        <w:t>。</w:t>
      </w:r>
    </w:p>
    <w:p>
      <w:pPr>
        <w:spacing w:line="500" w:lineRule="exact"/>
        <w:ind w:firstLine="562"/>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六. 项目采购预算及资金来源</w:t>
      </w:r>
    </w:p>
    <w:p>
      <w:p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采购预算198.09万元，该项目的资金使用河东区财政局预算批复资金</w:t>
      </w:r>
    </w:p>
    <w:p>
      <w:pPr>
        <w:spacing w:line="500" w:lineRule="exact"/>
        <w:ind w:firstLine="562"/>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七. 对供应商的相关要求</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供应商须提供有效期内的营业执照。</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供应商须提供建筑工程施工总承包三级及以上资质证书。</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供应商须提供有效期内的安全生产许可证。</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供应商须提供经会计师事务所审计的（2016年度或2017年度）财务审计报告或开标前1个月以内银行出具的资信证明。</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供应商须提供2017年12月至今任意一个月缴纳的社会保障资金的有效票据凭证。</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供应商须提供2017年12月至今任意一个月依法纳税的有效票据凭证；</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供应商须提供参加政府采购活动前3年内在经营活动中没有重大违法记录的书面声明（截至提交响应文件截止日成立不足3年的供应商可提供自成立以来无重大违法记录的书面声明），需提供承诺书。</w:t>
      </w:r>
    </w:p>
    <w:p>
      <w:pPr>
        <w:numPr>
          <w:ilvl w:val="0"/>
          <w:numId w:val="2"/>
        </w:numPr>
        <w:spacing w:line="500" w:lineRule="exact"/>
        <w:ind w:firstLine="560"/>
        <w:rPr>
          <w:rFonts w:asciiTheme="minorEastAsia" w:hAnsiTheme="minorEastAsia" w:eastAsiaTheme="minorEastAsia" w:cstheme="minorEastAsia"/>
          <w:sz w:val="28"/>
          <w:szCs w:val="28"/>
        </w:rPr>
      </w:pPr>
      <w:bookmarkStart w:id="1" w:name="OLE_LINK1"/>
      <w:r>
        <w:rPr>
          <w:rFonts w:hint="eastAsia" w:asciiTheme="minorEastAsia" w:hAnsiTheme="minorEastAsia" w:eastAsiaTheme="minorEastAsia" w:cstheme="minorEastAsia"/>
          <w:sz w:val="28"/>
          <w:szCs w:val="28"/>
        </w:rPr>
        <w:t>正项目经理1名，提供建设行政主管部门颁发的建筑工程专业贰级及以上注册建造师证书原件。并提供任命书</w:t>
      </w:r>
      <w:bookmarkEnd w:id="1"/>
      <w:r>
        <w:rPr>
          <w:rFonts w:hint="eastAsia" w:asciiTheme="minorEastAsia" w:hAnsiTheme="minorEastAsia" w:eastAsiaTheme="minorEastAsia" w:cstheme="minorEastAsia"/>
          <w:sz w:val="28"/>
          <w:szCs w:val="28"/>
        </w:rPr>
        <w:t>。</w:t>
      </w:r>
    </w:p>
    <w:p>
      <w:p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施工员1名、质量员1名、安全员1名、民管员1名、试验员1名、材料员1名、机械员1名、造价员1名、资料员1名，专业与本项目相关，均应为本单位职工，供应商提供任命书。</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xml:space="preserve">    总人数不得少于4人。</w:t>
      </w:r>
    </w:p>
    <w:p>
      <w:p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以上项目经理必须为供应商本单位人员，其单位名称应与供应商名称一致；</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备注：（1）以上人员须提供考核依据，项目经理提供建造师注册证，项目部成员提供《天津市建设工程管理人员岗位资格证书》原件。（2）项目部管理人员在投标有效期内不得更换，否则按废标处理。（3）</w:t>
      </w:r>
      <w:bookmarkStart w:id="2" w:name="OLE_LINK2"/>
      <w:r>
        <w:rPr>
          <w:rFonts w:hint="eastAsia" w:asciiTheme="minorEastAsia" w:hAnsiTheme="minorEastAsia" w:eastAsiaTheme="minorEastAsia" w:cstheme="minorEastAsia"/>
          <w:sz w:val="28"/>
          <w:szCs w:val="28"/>
        </w:rPr>
        <w:t>项目部人员配置执行建筑[2012]141号文件和津建筑【2012】1091号文件，且具有有效的投标资格。</w:t>
      </w:r>
      <w:bookmarkEnd w:id="2"/>
      <w:r>
        <w:rPr>
          <w:rFonts w:hint="eastAsia" w:asciiTheme="minorEastAsia" w:hAnsiTheme="minorEastAsia" w:eastAsiaTheme="minorEastAsia" w:cstheme="minorEastAsia"/>
          <w:sz w:val="28"/>
          <w:szCs w:val="28"/>
        </w:rPr>
        <w:t xml:space="preserve">（4）项目经理可兼任施工项目部各管理岗位，其他岗位可相互兼任（施工员、质量员、安全员须由专职人员担任，不得由其他管理岗位兼任，施工员、质量员专业须为建筑），每人任职不得超过三个岗位，兼职的岗位由企业出具任命书。 </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非本市的施工企业应按《市建委关于进一步推动我市建筑市场统一开放相关工作的通知》津施管【2015】8号文件执行，提供在有效期内的“进津建筑企业信息登记卡”。</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numPr>
          <w:ilvl w:val="0"/>
          <w:numId w:val="2"/>
        </w:numPr>
        <w:spacing w:line="500" w:lineRule="exact"/>
        <w:ind w:firstLine="560"/>
        <w:rPr>
          <w:rFonts w:hAnsi="宋体" w:cs="宋体"/>
          <w:szCs w:val="24"/>
        </w:rPr>
      </w:pPr>
      <w:r>
        <w:rPr>
          <w:rFonts w:hint="eastAsia" w:asciiTheme="minorEastAsia" w:hAnsiTheme="minorEastAsia" w:eastAsiaTheme="minorEastAsia" w:cstheme="minorEastAsia"/>
          <w:sz w:val="28"/>
          <w:szCs w:val="28"/>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本项目不接受联合体参与磋商。</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供应商应整包进行投标，不得拆包分项投标。</w:t>
      </w:r>
    </w:p>
    <w:p>
      <w:pPr>
        <w:numPr>
          <w:ilvl w:val="0"/>
          <w:numId w:val="2"/>
        </w:numPr>
        <w:spacing w:line="50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未经采购人同意，成交供应商不得转让合同，不得转包或分包。</w:t>
      </w:r>
    </w:p>
    <w:p>
      <w:pPr>
        <w:spacing w:line="500" w:lineRule="exact"/>
        <w:ind w:firstLine="281" w:firstLineChars="100"/>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八.技术要求及标准规范</w:t>
      </w:r>
    </w:p>
    <w:p>
      <w:pPr>
        <w:numPr>
          <w:ilvl w:val="0"/>
          <w:numId w:val="3"/>
        </w:numPr>
        <w:spacing w:line="500" w:lineRule="exact"/>
        <w:ind w:firstLine="560"/>
        <w:rPr>
          <w:rFonts w:ascii="宋体" w:hAnsi="宋体" w:cs="宋体"/>
          <w:bCs/>
          <w:sz w:val="28"/>
          <w:szCs w:val="28"/>
        </w:rPr>
      </w:pPr>
      <w:r>
        <w:rPr>
          <w:rFonts w:hint="eastAsia" w:ascii="宋体" w:hAnsi="宋体" w:cs="宋体"/>
          <w:bCs/>
          <w:sz w:val="28"/>
          <w:szCs w:val="28"/>
        </w:rPr>
        <w:t>本工程施工必须符合建材〔2007〕87号文建筑节能技术要求和技术指标的相关规定，保修期限执行中华人民共和国国务院279号令。</w:t>
      </w:r>
    </w:p>
    <w:p>
      <w:pPr>
        <w:numPr>
          <w:ilvl w:val="0"/>
          <w:numId w:val="3"/>
        </w:numPr>
        <w:spacing w:line="500" w:lineRule="exact"/>
        <w:ind w:firstLine="560"/>
        <w:rPr>
          <w:rFonts w:ascii="宋体" w:hAnsi="宋体" w:cs="宋体"/>
          <w:bCs/>
          <w:sz w:val="28"/>
          <w:szCs w:val="28"/>
        </w:rPr>
      </w:pPr>
      <w:r>
        <w:rPr>
          <w:rFonts w:hint="eastAsia" w:ascii="宋体" w:hAnsi="宋体" w:cs="宋体"/>
          <w:bCs/>
          <w:sz w:val="28"/>
          <w:szCs w:val="28"/>
        </w:rPr>
        <w:t>要求供应商一旦成交，在施工的过程中，要做好对周围成品的保护措施。</w:t>
      </w:r>
    </w:p>
    <w:p>
      <w:pPr>
        <w:numPr>
          <w:ilvl w:val="0"/>
          <w:numId w:val="3"/>
        </w:numPr>
        <w:spacing w:line="500" w:lineRule="exact"/>
        <w:ind w:firstLine="560"/>
        <w:rPr>
          <w:rFonts w:ascii="宋体" w:hAnsi="宋体" w:cs="宋体"/>
          <w:bCs/>
          <w:sz w:val="28"/>
          <w:szCs w:val="28"/>
        </w:rPr>
      </w:pPr>
      <w:r>
        <w:rPr>
          <w:rFonts w:hint="eastAsia" w:ascii="宋体" w:hAnsi="宋体" w:cs="宋体"/>
          <w:bCs/>
          <w:sz w:val="28"/>
          <w:szCs w:val="28"/>
        </w:rPr>
        <w:t>本采购工程项目的材料、设备、施工须达到现行中华人民共和国以及省、自治区、直辖市或行业的工程建设标准及技术规范的要求。</w:t>
      </w:r>
    </w:p>
    <w:p>
      <w:pPr>
        <w:numPr>
          <w:ilvl w:val="0"/>
          <w:numId w:val="3"/>
        </w:numPr>
        <w:spacing w:line="500" w:lineRule="exact"/>
        <w:ind w:firstLine="560"/>
      </w:pPr>
      <w:r>
        <w:rPr>
          <w:rFonts w:hint="eastAsia" w:ascii="宋体" w:hAnsi="宋体" w:cs="宋体"/>
          <w:bCs/>
          <w:sz w:val="28"/>
          <w:szCs w:val="28"/>
        </w:rPr>
        <w:t>必须符合国家规范、行业标准之规定和地区的强制性规定。</w:t>
      </w:r>
    </w:p>
    <w:p>
      <w:pPr>
        <w:numPr>
          <w:ilvl w:val="0"/>
          <w:numId w:val="3"/>
        </w:numPr>
        <w:spacing w:line="500" w:lineRule="exact"/>
        <w:ind w:firstLine="560"/>
        <w:rPr>
          <w:rFonts w:ascii="宋体" w:hAnsi="宋体" w:cs="宋体"/>
          <w:bCs/>
          <w:sz w:val="28"/>
          <w:szCs w:val="28"/>
        </w:rPr>
      </w:pPr>
      <w:r>
        <w:rPr>
          <w:rFonts w:hint="eastAsia" w:ascii="宋体" w:hAnsi="宋体" w:cs="宋体"/>
          <w:bCs/>
          <w:sz w:val="28"/>
          <w:szCs w:val="28"/>
        </w:rPr>
        <w:t>施工过程中使用的材料须经采购人确认后方可进行施工，凡施工单位使用不合格产品或材料，因此而造成的工程质量事故或人身伤亡事故，均由施工单位负责。</w:t>
      </w:r>
    </w:p>
    <w:p>
      <w:pPr>
        <w:numPr>
          <w:ilvl w:val="0"/>
          <w:numId w:val="3"/>
        </w:numPr>
        <w:spacing w:line="500" w:lineRule="exact"/>
        <w:ind w:firstLine="560"/>
        <w:rPr>
          <w:rFonts w:ascii="宋体" w:hAnsi="宋体" w:cs="宋体"/>
          <w:bCs/>
          <w:sz w:val="28"/>
          <w:szCs w:val="28"/>
        </w:rPr>
      </w:pPr>
      <w:r>
        <w:rPr>
          <w:rFonts w:hint="eastAsia" w:ascii="宋体" w:hAnsi="宋体" w:cs="宋体"/>
          <w:bCs/>
          <w:sz w:val="28"/>
          <w:szCs w:val="28"/>
        </w:rPr>
        <w:t>必须满足本项目清单中的技术要求。</w:t>
      </w:r>
    </w:p>
    <w:p>
      <w:pPr>
        <w:numPr>
          <w:ilvl w:val="0"/>
          <w:numId w:val="3"/>
        </w:numPr>
        <w:spacing w:line="500" w:lineRule="exact"/>
        <w:ind w:firstLine="560"/>
        <w:rPr>
          <w:rFonts w:asciiTheme="minorEastAsia" w:hAnsiTheme="minorEastAsia" w:eastAsiaTheme="minorEastAsia" w:cstheme="minorEastAsia"/>
          <w:sz w:val="28"/>
          <w:szCs w:val="28"/>
        </w:rPr>
      </w:pPr>
      <w:r>
        <w:rPr>
          <w:rFonts w:hint="eastAsia" w:ascii="宋体" w:hAnsi="宋体" w:cs="宋体"/>
          <w:bCs/>
          <w:sz w:val="28"/>
          <w:szCs w:val="28"/>
        </w:rPr>
        <w:t>施工人员应遵守我方施工现场的各级管理制度。</w:t>
      </w:r>
    </w:p>
    <w:p>
      <w:pPr>
        <w:numPr>
          <w:ilvl w:val="0"/>
          <w:numId w:val="3"/>
        </w:numPr>
        <w:spacing w:line="500" w:lineRule="exact"/>
        <w:ind w:firstLine="560"/>
        <w:rPr>
          <w:rFonts w:asciiTheme="minorEastAsia" w:hAnsiTheme="minorEastAsia" w:eastAsiaTheme="minorEastAsia" w:cstheme="minorEastAsia"/>
          <w:sz w:val="28"/>
          <w:szCs w:val="28"/>
        </w:rPr>
      </w:pPr>
      <w:r>
        <w:rPr>
          <w:rFonts w:hint="eastAsia" w:ascii="宋体" w:hAnsi="宋体" w:cs="宋体"/>
          <w:bCs/>
          <w:sz w:val="28"/>
          <w:szCs w:val="28"/>
        </w:rPr>
        <w:t>本工程采用的标准及技术规范：清单内的专业施工合格标准以国家及地区现行工程施工及验收规范为准，如有更新，以现行为准。</w:t>
      </w:r>
    </w:p>
    <w:p>
      <w:pPr>
        <w:pStyle w:val="4"/>
        <w:snapToGrid w:val="0"/>
        <w:spacing w:line="500" w:lineRule="exact"/>
        <w:ind w:firstLine="48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九. 报价要求及计算依据 </w:t>
      </w:r>
    </w:p>
    <w:p>
      <w:pPr>
        <w:pStyle w:val="4"/>
        <w:numPr>
          <w:ilvl w:val="0"/>
          <w:numId w:val="4"/>
        </w:numPr>
        <w:snapToGrid w:val="0"/>
        <w:spacing w:line="500" w:lineRule="exact"/>
        <w:ind w:firstLine="560" w:firstLineChars="200"/>
        <w:rPr>
          <w:rFonts w:asciiTheme="minorEastAsia" w:hAnsiTheme="minorEastAsia" w:eastAsiaTheme="minorEastAsia" w:cstheme="minorEastAsia"/>
          <w:bCs/>
          <w:sz w:val="28"/>
          <w:szCs w:val="28"/>
        </w:rPr>
      </w:pPr>
      <w:r>
        <w:rPr>
          <w:rFonts w:hint="eastAsia" w:asciiTheme="minorEastAsia" w:hAnsiTheme="minorEastAsia" w:eastAsiaTheme="minorEastAsia" w:cstheme="minorEastAsia"/>
          <w:bCs/>
          <w:sz w:val="28"/>
          <w:szCs w:val="28"/>
        </w:rPr>
        <w:t>本项目采用固定总价合同形式，报价</w:t>
      </w:r>
      <w:r>
        <w:rPr>
          <w:rFonts w:hint="eastAsia" w:ascii="宋体" w:hAnsi="宋体" w:cs="宋体"/>
          <w:bCs/>
          <w:sz w:val="28"/>
          <w:szCs w:val="28"/>
        </w:rPr>
        <w:t>一次性包死，无任何变更增项费用，因此供应商报价时须充分考虑相应的风险</w:t>
      </w:r>
      <w:r>
        <w:rPr>
          <w:rFonts w:hint="eastAsia" w:asciiTheme="minorEastAsia" w:hAnsiTheme="minorEastAsia" w:eastAsiaTheme="minorEastAsia" w:cstheme="minorEastAsia"/>
          <w:bCs/>
          <w:sz w:val="28"/>
          <w:szCs w:val="28"/>
        </w:rPr>
        <w:t>。</w:t>
      </w:r>
    </w:p>
    <w:p>
      <w:pPr>
        <w:pStyle w:val="4"/>
        <w:numPr>
          <w:ilvl w:val="0"/>
          <w:numId w:val="4"/>
        </w:numPr>
        <w:snapToGrid w:val="0"/>
        <w:spacing w:line="500" w:lineRule="exact"/>
        <w:ind w:firstLine="560" w:firstLineChars="200"/>
        <w:rPr>
          <w:rFonts w:ascii="宋体" w:hAnsi="宋体" w:cs="宋体"/>
          <w:bCs/>
          <w:sz w:val="28"/>
          <w:szCs w:val="28"/>
        </w:rPr>
      </w:pPr>
      <w:r>
        <w:rPr>
          <w:rFonts w:hint="eastAsia" w:asciiTheme="minorEastAsia" w:hAnsiTheme="minorEastAsia" w:eastAsiaTheme="minorEastAsia" w:cstheme="minorEastAsia"/>
          <w:bCs/>
          <w:sz w:val="28"/>
          <w:szCs w:val="28"/>
        </w:rPr>
        <w:t>报价</w:t>
      </w:r>
      <w:r>
        <w:rPr>
          <w:rFonts w:hint="eastAsia" w:ascii="宋体" w:hAnsi="宋体" w:cs="宋体"/>
          <w:bCs/>
          <w:sz w:val="28"/>
          <w:szCs w:val="28"/>
        </w:rPr>
        <w:t>执行定额及取费标准：本工程依据《天津市建筑安装工程工程量清单计价规则》、2016年《天津市建设工程计价办法》、2016年《天津市机电工程预算基价》、2016年《天津市安装工程预算基价》、2016年《天津市房屋修缮工程预算基价》、2016《天津市装饰装修工程预算基价》等，采用工程量清单项目全费用形式报价（综合单价）。</w:t>
      </w:r>
    </w:p>
    <w:p>
      <w:pPr>
        <w:pStyle w:val="4"/>
        <w:numPr>
          <w:ilvl w:val="0"/>
          <w:numId w:val="4"/>
        </w:numPr>
        <w:snapToGrid w:val="0"/>
        <w:spacing w:line="500" w:lineRule="exact"/>
        <w:ind w:firstLine="560" w:firstLineChars="200"/>
        <w:rPr>
          <w:rFonts w:asciiTheme="minorEastAsia" w:hAnsiTheme="minorEastAsia" w:eastAsiaTheme="minorEastAsia" w:cstheme="minorEastAsia"/>
          <w:sz w:val="28"/>
          <w:szCs w:val="28"/>
        </w:rPr>
      </w:pPr>
      <w:r>
        <w:rPr>
          <w:rFonts w:hint="eastAsia" w:ascii="宋体" w:hAnsi="宋体" w:cs="宋体"/>
          <w:bCs/>
          <w:sz w:val="28"/>
          <w:szCs w:val="28"/>
        </w:rPr>
        <w:t>市场价格信息参照标准：参照天津市建设工程造价信息服务中心发布的《天津市工程造价信息》2018年第</w:t>
      </w:r>
      <w:r>
        <w:rPr>
          <w:rFonts w:hint="eastAsia" w:asciiTheme="minorEastAsia" w:hAnsiTheme="minorEastAsia" w:eastAsiaTheme="minorEastAsia" w:cstheme="minorEastAsia"/>
          <w:bCs/>
          <w:sz w:val="28"/>
          <w:szCs w:val="28"/>
          <w:lang w:val="en-US" w:eastAsia="zh-CN"/>
        </w:rPr>
        <w:t>6</w:t>
      </w:r>
      <w:r>
        <w:rPr>
          <w:rFonts w:hint="eastAsia" w:ascii="宋体" w:hAnsi="宋体" w:cs="宋体"/>
          <w:bCs/>
          <w:sz w:val="28"/>
          <w:szCs w:val="28"/>
        </w:rPr>
        <w:t>期发布的材料价格综合价格，特殊材料采用中准价和市场价格计算。</w:t>
      </w:r>
    </w:p>
    <w:p>
      <w:pPr>
        <w:pStyle w:val="4"/>
        <w:snapToGrid w:val="0"/>
        <w:spacing w:line="500" w:lineRule="exact"/>
        <w:ind w:left="240" w:firstLine="281" w:firstLineChars="100"/>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十.验收标准</w:t>
      </w:r>
    </w:p>
    <w:p>
      <w:pPr>
        <w:pStyle w:val="4"/>
        <w:snapToGrid w:val="0"/>
        <w:spacing w:line="500" w:lineRule="exact"/>
        <w:ind w:left="238" w:firstLine="560" w:firstLineChars="200"/>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sz w:val="28"/>
          <w:szCs w:val="28"/>
        </w:rPr>
        <w:t>根据《建设工程质量管理条例》、《建设工程设计管理条例》、《天津市房屋修缮工程施工质量验收标准》等相关文件要求进行验收，修复标准以达到采购人要求为准。</w:t>
      </w:r>
    </w:p>
    <w:p>
      <w:pPr>
        <w:pStyle w:val="4"/>
        <w:snapToGrid w:val="0"/>
        <w:spacing w:line="500" w:lineRule="exact"/>
        <w:ind w:firstLine="0"/>
        <w:rPr>
          <w:rFonts w:asciiTheme="minorEastAsia" w:hAnsiTheme="minorEastAsia" w:eastAsiaTheme="minorEastAsia" w:cstheme="minorEastAsia"/>
          <w:b/>
          <w:bCs/>
          <w:sz w:val="28"/>
          <w:szCs w:val="28"/>
        </w:rPr>
      </w:pPr>
    </w:p>
    <w:p>
      <w:pPr>
        <w:snapToGrid w:val="0"/>
        <w:spacing w:line="500" w:lineRule="exact"/>
        <w:ind w:firstLine="48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p>
      <w:pPr>
        <w:snapToGrid w:val="0"/>
        <w:spacing w:line="500" w:lineRule="exact"/>
        <w:ind w:firstLine="480" w:firstLineChars="0"/>
        <w:rPr>
          <w:rFonts w:hint="eastAsia" w:asciiTheme="minorEastAsia" w:hAnsiTheme="minorEastAsia" w:eastAsiaTheme="minorEastAsia" w:cstheme="minorEastAsia"/>
          <w:sz w:val="28"/>
          <w:szCs w:val="28"/>
        </w:rPr>
      </w:pPr>
    </w:p>
    <w:p>
      <w:pPr>
        <w:snapToGrid w:val="0"/>
        <w:spacing w:line="500" w:lineRule="exact"/>
        <w:ind w:firstLine="480" w:firstLineChars="0"/>
        <w:rPr>
          <w:rFonts w:hint="eastAsia" w:asciiTheme="minorEastAsia" w:hAnsiTheme="minorEastAsia" w:eastAsiaTheme="minorEastAsia" w:cstheme="minorEastAsia"/>
          <w:sz w:val="28"/>
          <w:szCs w:val="28"/>
        </w:rPr>
      </w:pPr>
    </w:p>
    <w:p>
      <w:pPr>
        <w:snapToGrid w:val="0"/>
        <w:spacing w:line="500" w:lineRule="exact"/>
        <w:ind w:firstLine="480" w:firstLineChars="0"/>
        <w:rPr>
          <w:rFonts w:hint="eastAsia" w:asciiTheme="minorEastAsia" w:hAnsiTheme="minorEastAsia" w:eastAsiaTheme="minorEastAsia" w:cstheme="minorEastAsia"/>
          <w:sz w:val="28"/>
          <w:szCs w:val="28"/>
        </w:rPr>
      </w:pPr>
    </w:p>
    <w:p>
      <w:pPr>
        <w:snapToGrid w:val="0"/>
        <w:spacing w:line="500" w:lineRule="exact"/>
        <w:ind w:firstLine="480" w:firstLineChars="0"/>
        <w:rPr>
          <w:rFonts w:hint="eastAsia" w:asciiTheme="minorEastAsia" w:hAnsiTheme="minorEastAsia" w:eastAsiaTheme="minorEastAsia" w:cstheme="minorEastAsia"/>
          <w:sz w:val="28"/>
          <w:szCs w:val="28"/>
        </w:rPr>
      </w:pPr>
    </w:p>
    <w:p>
      <w:pPr>
        <w:snapToGrid w:val="0"/>
        <w:spacing w:line="500" w:lineRule="exact"/>
        <w:ind w:firstLine="480" w:firstLineChars="0"/>
        <w:rPr>
          <w:rFonts w:hint="eastAsia" w:asciiTheme="minorEastAsia" w:hAnsiTheme="minorEastAsia" w:eastAsiaTheme="minorEastAsia" w:cstheme="minorEastAsia"/>
          <w:sz w:val="28"/>
          <w:szCs w:val="28"/>
        </w:rPr>
      </w:pPr>
    </w:p>
    <w:p>
      <w:pPr>
        <w:snapToGrid w:val="0"/>
        <w:spacing w:line="500" w:lineRule="exact"/>
        <w:ind w:firstLine="480" w:firstLineChars="0"/>
        <w:jc w:val="righ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天津市河东区启智学校</w:t>
      </w:r>
    </w:p>
    <w:p>
      <w:pPr>
        <w:snapToGrid w:val="0"/>
        <w:spacing w:line="500" w:lineRule="exact"/>
        <w:ind w:firstLine="480" w:firstLineChars="0"/>
        <w:rPr>
          <w:rFonts w:asciiTheme="minorEastAsia" w:hAnsiTheme="minorEastAsia" w:eastAsiaTheme="minorEastAsia" w:cstheme="minorEastAsia"/>
          <w:sz w:val="28"/>
          <w:szCs w:val="28"/>
        </w:rPr>
      </w:pPr>
      <w:bookmarkStart w:id="3" w:name="_GoBack"/>
      <w:bookmarkEnd w:id="3"/>
    </w:p>
    <w:p>
      <w:pPr>
        <w:spacing w:before="326" w:beforeLines="100" w:after="163" w:afterLines="50" w:line="500" w:lineRule="exact"/>
        <w:ind w:firstLine="0" w:firstLineChars="0"/>
        <w:jc w:val="left"/>
        <w:outlineLvl w:val="1"/>
        <w:rPr>
          <w:rFonts w:asciiTheme="minorEastAsia" w:hAnsiTheme="minorEastAsia" w:eastAsiaTheme="minorEastAsia" w:cstheme="minorEastAsia"/>
          <w:b/>
          <w:sz w:val="28"/>
          <w:szCs w:val="28"/>
        </w:rPr>
      </w:pPr>
    </w:p>
    <w:p>
      <w:pPr>
        <w:spacing w:line="500" w:lineRule="exact"/>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24F53"/>
    <w:multiLevelType w:val="singleLevel"/>
    <w:tmpl w:val="91124F53"/>
    <w:lvl w:ilvl="0" w:tentative="0">
      <w:start w:val="1"/>
      <w:numFmt w:val="decimal"/>
      <w:suff w:val="nothing"/>
      <w:lvlText w:val="%1．"/>
      <w:lvlJc w:val="left"/>
      <w:pPr>
        <w:ind w:left="0" w:firstLine="400"/>
      </w:pPr>
      <w:rPr>
        <w:rFonts w:hint="default"/>
      </w:rPr>
    </w:lvl>
  </w:abstractNum>
  <w:abstractNum w:abstractNumId="1">
    <w:nsid w:val="99785F29"/>
    <w:multiLevelType w:val="singleLevel"/>
    <w:tmpl w:val="99785F29"/>
    <w:lvl w:ilvl="0" w:tentative="0">
      <w:start w:val="1"/>
      <w:numFmt w:val="decimal"/>
      <w:suff w:val="nothing"/>
      <w:lvlText w:val="%1．"/>
      <w:lvlJc w:val="left"/>
      <w:pPr>
        <w:ind w:left="0" w:firstLine="400"/>
      </w:pPr>
      <w:rPr>
        <w:rFonts w:hint="default"/>
      </w:rPr>
    </w:lvl>
  </w:abstractNum>
  <w:abstractNum w:abstractNumId="2">
    <w:nsid w:val="0D252F20"/>
    <w:multiLevelType w:val="singleLevel"/>
    <w:tmpl w:val="0D252F20"/>
    <w:lvl w:ilvl="0" w:tentative="0">
      <w:start w:val="1"/>
      <w:numFmt w:val="decimal"/>
      <w:suff w:val="nothing"/>
      <w:lvlText w:val="%1．"/>
      <w:lvlJc w:val="left"/>
      <w:pPr>
        <w:ind w:left="0" w:firstLine="400"/>
      </w:pPr>
      <w:rPr>
        <w:rFonts w:hint="default"/>
      </w:rPr>
    </w:lvl>
  </w:abstractNum>
  <w:abstractNum w:abstractNumId="3">
    <w:nsid w:val="2D644E47"/>
    <w:multiLevelType w:val="singleLevel"/>
    <w:tmpl w:val="2D644E47"/>
    <w:lvl w:ilvl="0" w:tentative="0">
      <w:start w:val="1"/>
      <w:numFmt w:val="decimal"/>
      <w:suff w:val="nothing"/>
      <w:lvlText w:val="%1．"/>
      <w:lvlJc w:val="left"/>
      <w:pPr>
        <w:ind w:left="0" w:firstLine="4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64AE1"/>
    <w:rsid w:val="007F1359"/>
    <w:rsid w:val="009B2551"/>
    <w:rsid w:val="009C3FDA"/>
    <w:rsid w:val="00E90761"/>
    <w:rsid w:val="00FE4A41"/>
    <w:rsid w:val="0DFC1C22"/>
    <w:rsid w:val="11064AE1"/>
    <w:rsid w:val="13E82CE5"/>
    <w:rsid w:val="1A485540"/>
    <w:rsid w:val="1E43054E"/>
    <w:rsid w:val="20A15C29"/>
    <w:rsid w:val="2A1F0CE2"/>
    <w:rsid w:val="30A022F0"/>
    <w:rsid w:val="3205458E"/>
    <w:rsid w:val="324678B6"/>
    <w:rsid w:val="331D01FE"/>
    <w:rsid w:val="341B578B"/>
    <w:rsid w:val="3719605F"/>
    <w:rsid w:val="373E3BDE"/>
    <w:rsid w:val="3C074AF5"/>
    <w:rsid w:val="3E4547B2"/>
    <w:rsid w:val="40455FA9"/>
    <w:rsid w:val="428C4E80"/>
    <w:rsid w:val="42CA57DD"/>
    <w:rsid w:val="4B0D783D"/>
    <w:rsid w:val="4E7705EE"/>
    <w:rsid w:val="530474E7"/>
    <w:rsid w:val="535D5DF2"/>
    <w:rsid w:val="57596A5A"/>
    <w:rsid w:val="5F8413AD"/>
    <w:rsid w:val="64457EA5"/>
    <w:rsid w:val="6523345C"/>
    <w:rsid w:val="69896598"/>
    <w:rsid w:val="69C90319"/>
    <w:rsid w:val="69ED00A9"/>
    <w:rsid w:val="6C337429"/>
    <w:rsid w:val="71185A5E"/>
    <w:rsid w:val="75B33D92"/>
    <w:rsid w:val="7A8C7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5E5272-8EF2-4990-880D-A750D6236C84}">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398</Words>
  <Characters>2271</Characters>
  <Lines>18</Lines>
  <Paragraphs>5</Paragraphs>
  <TotalTime>1</TotalTime>
  <ScaleCrop>false</ScaleCrop>
  <LinksUpToDate>false</LinksUpToDate>
  <CharactersWithSpaces>2664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lenovo</cp:lastModifiedBy>
  <dcterms:modified xsi:type="dcterms:W3CDTF">2018-07-04T09:19:17Z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