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pacing w:before="0" w:after="0" w:line="500" w:lineRule="exact"/>
        <w:ind w:left="0"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left="0"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left="0" w:firstLine="0" w:firstLineChars="0"/>
        <w:jc w:val="center"/>
        <w:textAlignment w:val="auto"/>
        <w:rPr>
          <w:rFonts w:asciiTheme="minorEastAsia" w:hAnsiTheme="minorEastAsia" w:eastAsiaTheme="minorEastAsia" w:cstheme="minorEastAsia"/>
          <w:b/>
          <w:bCs/>
          <w:color w:val="auto"/>
          <w:sz w:val="52"/>
          <w:szCs w:val="52"/>
        </w:rPr>
      </w:pPr>
    </w:p>
    <w:p>
      <w:pPr>
        <w:pStyle w:val="3"/>
        <w:pageBreakBefore w:val="0"/>
        <w:widowControl w:val="0"/>
        <w:kinsoku/>
        <w:wordWrap/>
        <w:overflowPunct/>
        <w:topLinePunct w:val="0"/>
        <w:autoSpaceDE/>
        <w:autoSpaceDN/>
        <w:bidi w:val="0"/>
        <w:adjustRightInd/>
        <w:spacing w:before="0" w:after="0" w:line="500" w:lineRule="exact"/>
        <w:ind w:left="0" w:firstLine="0" w:firstLineChars="0"/>
        <w:jc w:val="center"/>
        <w:textAlignment w:val="auto"/>
        <w:rPr>
          <w:rFonts w:asciiTheme="minorEastAsia" w:hAnsiTheme="minorEastAsia" w:eastAsiaTheme="minorEastAsia" w:cstheme="minorEastAsia"/>
          <w:b/>
          <w:bCs/>
          <w:color w:val="auto"/>
          <w:sz w:val="52"/>
          <w:szCs w:val="52"/>
        </w:rPr>
      </w:pPr>
      <w:r>
        <w:rPr>
          <w:rFonts w:hint="eastAsia" w:asciiTheme="minorEastAsia" w:hAnsiTheme="minorEastAsia" w:eastAsiaTheme="minorEastAsia" w:cstheme="minorEastAsia"/>
          <w:b/>
          <w:bCs/>
          <w:color w:val="auto"/>
          <w:sz w:val="52"/>
          <w:szCs w:val="52"/>
          <w:lang w:eastAsia="zh-CN"/>
        </w:rPr>
        <w:t>2017年天津市河东区第一幼儿园校舍维修工程-金太阳园项目</w:t>
      </w:r>
      <w:r>
        <w:rPr>
          <w:rFonts w:hint="eastAsia" w:asciiTheme="minorEastAsia" w:hAnsiTheme="minorEastAsia" w:eastAsiaTheme="minorEastAsia" w:cstheme="minorEastAsia"/>
          <w:b/>
          <w:bCs/>
          <w:color w:val="auto"/>
          <w:sz w:val="52"/>
          <w:szCs w:val="52"/>
        </w:rPr>
        <w:t>需求书</w:t>
      </w:r>
    </w:p>
    <w:p>
      <w:pPr>
        <w:pageBreakBefore w:val="0"/>
        <w:widowControl w:val="0"/>
        <w:kinsoku/>
        <w:wordWrap/>
        <w:overflowPunct/>
        <w:topLinePunct w:val="0"/>
        <w:autoSpaceDE/>
        <w:autoSpaceDN/>
        <w:bidi w:val="0"/>
        <w:adjustRightInd/>
        <w:spacing w:line="500" w:lineRule="exact"/>
        <w:ind w:left="0"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left="0"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left="0"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left="0"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left="0"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left="0" w:firstLine="1044"/>
        <w:textAlignment w:val="auto"/>
        <w:rPr>
          <w:rFonts w:asciiTheme="minorEastAsia" w:hAnsiTheme="minorEastAsia" w:eastAsiaTheme="minorEastAsia" w:cstheme="minorEastAsia"/>
          <w:b/>
          <w:bCs/>
          <w:color w:val="auto"/>
          <w:sz w:val="52"/>
          <w:szCs w:val="52"/>
        </w:rPr>
      </w:pPr>
    </w:p>
    <w:p>
      <w:pPr>
        <w:pStyle w:val="2"/>
        <w:pageBreakBefore w:val="0"/>
        <w:widowControl w:val="0"/>
        <w:kinsoku/>
        <w:wordWrap/>
        <w:overflowPunct/>
        <w:topLinePunct w:val="0"/>
        <w:autoSpaceDE/>
        <w:autoSpaceDN/>
        <w:bidi w:val="0"/>
        <w:adjustRightInd/>
        <w:ind w:left="0"/>
        <w:textAlignment w:val="auto"/>
        <w:rPr>
          <w:rFonts w:asciiTheme="minorEastAsia" w:hAnsiTheme="minorEastAsia" w:eastAsiaTheme="minorEastAsia" w:cstheme="minorEastAsia"/>
          <w:b/>
          <w:bCs/>
          <w:color w:val="auto"/>
          <w:sz w:val="52"/>
          <w:szCs w:val="52"/>
        </w:rPr>
      </w:pPr>
    </w:p>
    <w:p>
      <w:pPr>
        <w:pStyle w:val="2"/>
        <w:pageBreakBefore w:val="0"/>
        <w:widowControl w:val="0"/>
        <w:kinsoku/>
        <w:wordWrap/>
        <w:overflowPunct/>
        <w:topLinePunct w:val="0"/>
        <w:autoSpaceDE/>
        <w:autoSpaceDN/>
        <w:bidi w:val="0"/>
        <w:adjustRightInd/>
        <w:ind w:left="0"/>
        <w:textAlignment w:val="auto"/>
        <w:rPr>
          <w:rFonts w:asciiTheme="minorEastAsia" w:hAnsiTheme="minorEastAsia" w:eastAsiaTheme="minorEastAsia" w:cstheme="minorEastAsia"/>
          <w:b/>
          <w:bCs/>
          <w:color w:val="auto"/>
          <w:sz w:val="52"/>
          <w:szCs w:val="52"/>
        </w:rPr>
      </w:pPr>
    </w:p>
    <w:p>
      <w:pPr>
        <w:pStyle w:val="2"/>
        <w:pageBreakBefore w:val="0"/>
        <w:widowControl w:val="0"/>
        <w:kinsoku/>
        <w:wordWrap/>
        <w:overflowPunct/>
        <w:topLinePunct w:val="0"/>
        <w:autoSpaceDE/>
        <w:autoSpaceDN/>
        <w:bidi w:val="0"/>
        <w:adjustRightInd/>
        <w:ind w:left="0"/>
        <w:textAlignment w:val="auto"/>
        <w:rPr>
          <w:rFonts w:asciiTheme="minorEastAsia" w:hAnsiTheme="minorEastAsia" w:eastAsiaTheme="minorEastAsia" w:cstheme="minorEastAsia"/>
          <w:b/>
          <w:bCs/>
          <w:color w:val="auto"/>
          <w:sz w:val="52"/>
          <w:szCs w:val="52"/>
        </w:rPr>
      </w:pPr>
    </w:p>
    <w:p>
      <w:pPr>
        <w:pStyle w:val="2"/>
        <w:pageBreakBefore w:val="0"/>
        <w:widowControl w:val="0"/>
        <w:kinsoku/>
        <w:wordWrap/>
        <w:overflowPunct/>
        <w:topLinePunct w:val="0"/>
        <w:autoSpaceDE/>
        <w:autoSpaceDN/>
        <w:bidi w:val="0"/>
        <w:adjustRightInd/>
        <w:ind w:left="0"/>
        <w:textAlignment w:val="auto"/>
        <w:rPr>
          <w:rFonts w:asciiTheme="minorEastAsia" w:hAnsiTheme="minorEastAsia" w:eastAsiaTheme="minorEastAsia" w:cstheme="minorEastAsia"/>
          <w:b/>
          <w:bCs/>
          <w:color w:val="auto"/>
          <w:sz w:val="52"/>
          <w:szCs w:val="52"/>
        </w:rPr>
      </w:pPr>
    </w:p>
    <w:p>
      <w:pPr>
        <w:pStyle w:val="2"/>
        <w:pageBreakBefore w:val="0"/>
        <w:widowControl w:val="0"/>
        <w:kinsoku/>
        <w:wordWrap/>
        <w:overflowPunct/>
        <w:topLinePunct w:val="0"/>
        <w:autoSpaceDE/>
        <w:autoSpaceDN/>
        <w:bidi w:val="0"/>
        <w:adjustRightInd/>
        <w:ind w:left="0"/>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left="0" w:firstLine="1044"/>
        <w:textAlignment w:val="auto"/>
        <w:rPr>
          <w:rFonts w:asciiTheme="minorEastAsia" w:hAnsiTheme="minorEastAsia" w:eastAsiaTheme="minorEastAsia" w:cstheme="minorEastAsia"/>
          <w:b/>
          <w:bCs/>
          <w:color w:val="auto"/>
          <w:sz w:val="52"/>
          <w:szCs w:val="52"/>
        </w:rPr>
      </w:pPr>
    </w:p>
    <w:p>
      <w:pPr>
        <w:pStyle w:val="3"/>
        <w:pageBreakBefore w:val="0"/>
        <w:widowControl w:val="0"/>
        <w:kinsoku/>
        <w:wordWrap/>
        <w:overflowPunct/>
        <w:topLinePunct w:val="0"/>
        <w:autoSpaceDE/>
        <w:autoSpaceDN/>
        <w:bidi w:val="0"/>
        <w:adjustRightInd/>
        <w:spacing w:before="0" w:after="0" w:line="500" w:lineRule="exact"/>
        <w:ind w:left="0" w:firstLine="0" w:firstLineChars="0"/>
        <w:jc w:val="center"/>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44"/>
          <w:szCs w:val="44"/>
          <w:lang w:eastAsia="zh-CN"/>
        </w:rPr>
        <w:t>天津市河东区第一幼儿园</w:t>
      </w:r>
    </w:p>
    <w:p>
      <w:pPr>
        <w:pageBreakBefore w:val="0"/>
        <w:widowControl w:val="0"/>
        <w:kinsoku/>
        <w:wordWrap/>
        <w:overflowPunct/>
        <w:topLinePunct w:val="0"/>
        <w:autoSpaceDE/>
        <w:autoSpaceDN/>
        <w:bidi w:val="0"/>
        <w:adjustRightInd/>
        <w:spacing w:line="500" w:lineRule="exact"/>
        <w:ind w:left="0" w:firstLine="562"/>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pacing w:line="500" w:lineRule="exact"/>
        <w:ind w:left="0" w:firstLine="562"/>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left="0"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pStyle w:val="3"/>
        <w:pageBreakBefore w:val="0"/>
        <w:widowControl w:val="0"/>
        <w:kinsoku/>
        <w:wordWrap/>
        <w:overflowPunct/>
        <w:topLinePunct w:val="0"/>
        <w:autoSpaceDE/>
        <w:autoSpaceDN/>
        <w:bidi w:val="0"/>
        <w:adjustRightInd/>
        <w:spacing w:before="0" w:after="0" w:line="500" w:lineRule="exact"/>
        <w:ind w:left="0" w:firstLine="0" w:firstLineChars="0"/>
        <w:jc w:val="center"/>
        <w:textAlignment w:val="auto"/>
        <w:rPr>
          <w:rFonts w:hint="eastAsia" w:asciiTheme="minorEastAsia" w:hAnsiTheme="minorEastAsia" w:eastAsiaTheme="minorEastAsia" w:cstheme="minorEastAsia"/>
          <w:b/>
          <w:bCs/>
          <w:color w:val="auto"/>
          <w:sz w:val="28"/>
          <w:szCs w:val="28"/>
          <w:lang w:eastAsia="zh-CN"/>
        </w:rPr>
      </w:pPr>
      <w:r>
        <w:rPr>
          <w:rFonts w:hint="eastAsia" w:asciiTheme="minorEastAsia" w:hAnsiTheme="minorEastAsia" w:eastAsiaTheme="minorEastAsia" w:cstheme="minorEastAsia"/>
          <w:b/>
          <w:bCs/>
          <w:color w:val="auto"/>
          <w:sz w:val="28"/>
          <w:szCs w:val="28"/>
          <w:lang w:eastAsia="zh-CN"/>
        </w:rPr>
        <w:br w:type="page"/>
      </w:r>
    </w:p>
    <w:p>
      <w:pPr>
        <w:pStyle w:val="3"/>
        <w:pageBreakBefore w:val="0"/>
        <w:widowControl w:val="0"/>
        <w:kinsoku/>
        <w:wordWrap/>
        <w:overflowPunct/>
        <w:topLinePunct w:val="0"/>
        <w:autoSpaceDE/>
        <w:autoSpaceDN/>
        <w:bidi w:val="0"/>
        <w:adjustRightInd/>
        <w:spacing w:before="0" w:after="0" w:line="500" w:lineRule="exact"/>
        <w:ind w:left="0"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asciiTheme="minorEastAsia" w:hAnsiTheme="minorEastAsia" w:eastAsiaTheme="minorEastAsia" w:cstheme="minorEastAsia"/>
          <w:b/>
          <w:color w:val="auto"/>
          <w:sz w:val="28"/>
          <w:szCs w:val="28"/>
        </w:rPr>
      </w:pPr>
      <w:bookmarkStart w:id="0" w:name="_Toc470872928"/>
      <w:r>
        <w:rPr>
          <w:rFonts w:hint="eastAsia" w:asciiTheme="minorEastAsia" w:hAnsiTheme="minorEastAsia" w:eastAsiaTheme="minorEastAsia" w:cstheme="minorEastAsia"/>
          <w:b/>
          <w:color w:val="auto"/>
          <w:sz w:val="28"/>
          <w:szCs w:val="28"/>
        </w:rPr>
        <w:t>一．项目名称及概况</w:t>
      </w:r>
      <w:bookmarkEnd w:id="0"/>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项目名称：</w:t>
      </w:r>
      <w:r>
        <w:rPr>
          <w:rFonts w:hint="eastAsia" w:asciiTheme="minorEastAsia" w:hAnsiTheme="minorEastAsia" w:eastAsiaTheme="minorEastAsia" w:cstheme="minorEastAsia"/>
          <w:b w:val="0"/>
          <w:bCs w:val="0"/>
          <w:color w:val="auto"/>
          <w:sz w:val="28"/>
          <w:szCs w:val="28"/>
          <w:lang w:eastAsia="zh-CN"/>
        </w:rPr>
        <w:t>2017年天津市河东区第一幼儿园校舍维修工程</w:t>
      </w:r>
      <w:r>
        <w:rPr>
          <w:rFonts w:hint="eastAsia" w:asciiTheme="minorEastAsia" w:hAnsiTheme="minorEastAsia" w:eastAsiaTheme="minorEastAsia" w:cstheme="minorEastAsia"/>
          <w:b w:val="0"/>
          <w:bCs w:val="0"/>
          <w:color w:val="auto"/>
          <w:sz w:val="28"/>
          <w:szCs w:val="28"/>
          <w:lang w:val="en-US" w:eastAsia="zh-CN"/>
        </w:rPr>
        <w:t>-金太阳园</w:t>
      </w:r>
      <w:r>
        <w:rPr>
          <w:rFonts w:hint="eastAsia" w:asciiTheme="minorEastAsia" w:hAnsiTheme="minorEastAsia" w:eastAsiaTheme="minorEastAsia" w:cstheme="minorEastAsia"/>
          <w:color w:val="auto"/>
          <w:sz w:val="28"/>
          <w:szCs w:val="28"/>
        </w:rPr>
        <w:t>。</w:t>
      </w:r>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b w:val="0"/>
          <w:bCs w:val="0"/>
          <w:color w:val="auto"/>
          <w:sz w:val="28"/>
          <w:szCs w:val="28"/>
          <w:lang w:eastAsia="zh-CN"/>
        </w:rPr>
        <w:t>河东区第一幼儿园为了进一步适应学前教育的发展，实施幼儿园现代化标准建设，认真落实《市教委等十六部门关于印发建立健全天津市中小学校和幼儿园校舍安全保障长效机制的意见的通知》、《托儿所、幼儿园建筑设计规范（JGJ39-2016）》、津教</w:t>
      </w:r>
      <w:bookmarkStart w:id="3" w:name="_GoBack"/>
      <w:bookmarkEnd w:id="3"/>
      <w:r>
        <w:rPr>
          <w:rFonts w:hint="eastAsia" w:asciiTheme="minorEastAsia" w:hAnsiTheme="minorEastAsia" w:eastAsiaTheme="minorEastAsia" w:cstheme="minorEastAsia"/>
          <w:b w:val="0"/>
          <w:bCs w:val="0"/>
          <w:color w:val="auto"/>
          <w:sz w:val="28"/>
          <w:szCs w:val="28"/>
          <w:lang w:eastAsia="zh-CN"/>
        </w:rPr>
        <w:t>委（2017）10号《天津市公办示范幼儿园标准》等文件精</w:t>
      </w:r>
      <w:r>
        <w:rPr>
          <w:rFonts w:hint="eastAsia" w:asciiTheme="minorEastAsia" w:hAnsiTheme="minorEastAsia" w:eastAsiaTheme="minorEastAsia" w:cstheme="minorEastAsia"/>
          <w:b w:val="0"/>
          <w:bCs w:val="0"/>
          <w:color w:val="auto"/>
          <w:sz w:val="28"/>
          <w:szCs w:val="28"/>
          <w:highlight w:val="none"/>
          <w:lang w:eastAsia="zh-CN"/>
        </w:rPr>
        <w:t>神。我园对河东区第一幼儿园的建筑安全隐患进行排查并进行全面分析</w:t>
      </w:r>
      <w:r>
        <w:rPr>
          <w:rFonts w:hint="eastAsia" w:asciiTheme="minorEastAsia" w:hAnsiTheme="minorEastAsia" w:eastAsiaTheme="minorEastAsia" w:cstheme="minorEastAsia"/>
          <w:color w:val="auto"/>
          <w:sz w:val="28"/>
          <w:szCs w:val="28"/>
          <w:highlight w:val="none"/>
        </w:rPr>
        <w:t>：</w:t>
      </w:r>
      <w:r>
        <w:rPr>
          <w:rFonts w:hint="eastAsia" w:asciiTheme="minorEastAsia" w:hAnsiTheme="minorEastAsia" w:eastAsiaTheme="minorEastAsia" w:cstheme="minorEastAsia"/>
          <w:color w:val="auto"/>
          <w:sz w:val="28"/>
          <w:szCs w:val="28"/>
          <w:highlight w:val="none"/>
          <w:lang w:eastAsia="zh-CN"/>
        </w:rPr>
        <w:t>河东区第一幼儿园</w:t>
      </w:r>
      <w:r>
        <w:rPr>
          <w:rFonts w:hint="eastAsia" w:asciiTheme="minorEastAsia" w:hAnsiTheme="minorEastAsia" w:eastAsiaTheme="minorEastAsia" w:cstheme="minorEastAsia"/>
          <w:color w:val="auto"/>
          <w:sz w:val="28"/>
          <w:szCs w:val="28"/>
          <w:highlight w:val="none"/>
        </w:rPr>
        <w:t>总占地面积11951平方米，总建筑面积9333平方米。随</w:t>
      </w:r>
      <w:r>
        <w:rPr>
          <w:rFonts w:hint="eastAsia" w:asciiTheme="minorEastAsia" w:hAnsiTheme="minorEastAsia" w:eastAsiaTheme="minorEastAsia" w:cstheme="minorEastAsia"/>
          <w:color w:val="auto"/>
          <w:sz w:val="28"/>
          <w:szCs w:val="28"/>
          <w:highlight w:val="none"/>
          <w:lang w:eastAsia="zh-CN"/>
        </w:rPr>
        <w:t>着</w:t>
      </w:r>
      <w:r>
        <w:rPr>
          <w:rFonts w:hint="eastAsia" w:asciiTheme="minorEastAsia" w:hAnsiTheme="minorEastAsia" w:eastAsiaTheme="minorEastAsia" w:cstheme="minorEastAsia"/>
          <w:color w:val="auto"/>
          <w:sz w:val="28"/>
          <w:szCs w:val="28"/>
          <w:highlight w:val="none"/>
        </w:rPr>
        <w:t>时间的推移</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rPr>
        <w:t>楼体外墙以及教学楼内的护墙板、电路、上下水道、门窗、地砖、墙砖</w:t>
      </w:r>
      <w:r>
        <w:rPr>
          <w:rFonts w:hint="eastAsia" w:asciiTheme="minorEastAsia" w:hAnsiTheme="minorEastAsia" w:eastAsiaTheme="minorEastAsia" w:cstheme="minorEastAsia"/>
          <w:color w:val="auto"/>
          <w:sz w:val="28"/>
          <w:szCs w:val="28"/>
          <w:highlight w:val="none"/>
          <w:lang w:eastAsia="zh-CN"/>
        </w:rPr>
        <w:t>等</w:t>
      </w:r>
      <w:r>
        <w:rPr>
          <w:rFonts w:hint="eastAsia" w:asciiTheme="minorEastAsia" w:hAnsiTheme="minorEastAsia" w:eastAsiaTheme="minorEastAsia" w:cstheme="minorEastAsia"/>
          <w:color w:val="auto"/>
          <w:sz w:val="28"/>
          <w:szCs w:val="28"/>
          <w:highlight w:val="none"/>
        </w:rPr>
        <w:t>已经失修，其中有的地方还存在安全隐患，根据津发改投资[2016]852号文件第二项第三条的规定，我</w:t>
      </w:r>
      <w:r>
        <w:rPr>
          <w:rFonts w:hint="eastAsia" w:asciiTheme="minorEastAsia" w:hAnsiTheme="minorEastAsia" w:eastAsiaTheme="minorEastAsia" w:cstheme="minorEastAsia"/>
          <w:color w:val="auto"/>
          <w:sz w:val="28"/>
          <w:szCs w:val="28"/>
          <w:highlight w:val="none"/>
          <w:lang w:eastAsia="zh-CN"/>
        </w:rPr>
        <w:t>校</w:t>
      </w:r>
      <w:r>
        <w:rPr>
          <w:rFonts w:hint="eastAsia" w:asciiTheme="minorEastAsia" w:hAnsiTheme="minorEastAsia" w:eastAsiaTheme="minorEastAsia" w:cstheme="minorEastAsia"/>
          <w:color w:val="auto"/>
          <w:sz w:val="28"/>
          <w:szCs w:val="28"/>
          <w:highlight w:val="none"/>
        </w:rPr>
        <w:t>属于党政机关办公楼以外的房屋维修、装修</w:t>
      </w:r>
      <w:r>
        <w:rPr>
          <w:rFonts w:hint="eastAsia" w:asciiTheme="minorEastAsia" w:hAnsiTheme="minorEastAsia" w:eastAsiaTheme="minorEastAsia" w:cstheme="minorEastAsia"/>
          <w:color w:val="auto"/>
          <w:sz w:val="28"/>
          <w:szCs w:val="28"/>
          <w:highlight w:val="none"/>
        </w:rPr>
        <w:t>，为此经班子集体研究，河东教育局、河东区政府审批同意，申请对上述建筑、设施、设备的维修改造，为</w:t>
      </w:r>
      <w:r>
        <w:rPr>
          <w:rFonts w:hint="eastAsia" w:asciiTheme="minorEastAsia" w:hAnsiTheme="minorEastAsia" w:eastAsiaTheme="minorEastAsia" w:cstheme="minorEastAsia"/>
          <w:color w:val="auto"/>
          <w:sz w:val="28"/>
          <w:szCs w:val="28"/>
          <w:highlight w:val="none"/>
          <w:lang w:eastAsia="zh-CN"/>
        </w:rPr>
        <w:t>学校</w:t>
      </w:r>
      <w:r>
        <w:rPr>
          <w:rFonts w:hint="eastAsia" w:asciiTheme="minorEastAsia" w:hAnsiTheme="minorEastAsia" w:eastAsiaTheme="minorEastAsia" w:cstheme="minorEastAsia"/>
          <w:color w:val="auto"/>
          <w:sz w:val="28"/>
          <w:szCs w:val="28"/>
          <w:highlight w:val="none"/>
        </w:rPr>
        <w:t>创设更加安全、适宜的生活、学习环境。</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二．项目位置</w:t>
      </w:r>
    </w:p>
    <w:p>
      <w:pPr>
        <w:pageBreakBefore w:val="0"/>
        <w:widowControl w:val="0"/>
        <w:kinsoku/>
        <w:wordWrap/>
        <w:overflowPunct/>
        <w:topLinePunct w:val="0"/>
        <w:autoSpaceDE/>
        <w:autoSpaceDN/>
        <w:bidi w:val="0"/>
        <w:adjustRightInd/>
        <w:spacing w:line="500" w:lineRule="exact"/>
        <w:ind w:left="0" w:firstLine="56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本项目位于天津市河东区华龙道与新环路交口附近</w:t>
      </w:r>
      <w:r>
        <w:rPr>
          <w:rFonts w:hint="eastAsia" w:asciiTheme="minorEastAsia" w:hAnsiTheme="minorEastAsia" w:eastAsiaTheme="minorEastAsia" w:cstheme="minorEastAsia"/>
          <w:color w:val="auto"/>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三．项目性质</w:t>
      </w:r>
    </w:p>
    <w:p>
      <w:pPr>
        <w:pageBreakBefore w:val="0"/>
        <w:widowControl w:val="0"/>
        <w:kinsoku/>
        <w:wordWrap/>
        <w:overflowPunct/>
        <w:topLinePunct w:val="0"/>
        <w:autoSpaceDE/>
        <w:autoSpaceDN/>
        <w:bidi w:val="0"/>
        <w:adjustRightInd/>
        <w:spacing w:line="500" w:lineRule="exact"/>
        <w:ind w:left="0" w:firstLine="560"/>
        <w:textAlignment w:val="auto"/>
        <w:rPr>
          <w:rFonts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val="0"/>
          <w:bCs w:val="0"/>
          <w:color w:val="auto"/>
          <w:sz w:val="28"/>
          <w:szCs w:val="28"/>
          <w:lang w:eastAsia="zh-CN"/>
        </w:rPr>
        <w:t>校舍维修</w:t>
      </w:r>
      <w:r>
        <w:rPr>
          <w:rFonts w:hint="eastAsia" w:asciiTheme="minorEastAsia" w:hAnsiTheme="minorEastAsia" w:eastAsiaTheme="minorEastAsia" w:cstheme="minorEastAsia"/>
          <w:bCs/>
          <w:color w:val="auto"/>
          <w:sz w:val="28"/>
          <w:szCs w:val="28"/>
        </w:rPr>
        <w:t>工程</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四．项目内容及规模</w:t>
      </w:r>
    </w:p>
    <w:p>
      <w:pPr>
        <w:pageBreakBefore w:val="0"/>
        <w:widowControl w:val="0"/>
        <w:kinsoku/>
        <w:wordWrap/>
        <w:overflowPunct/>
        <w:topLinePunct w:val="0"/>
        <w:autoSpaceDE/>
        <w:autoSpaceDN/>
        <w:bidi w:val="0"/>
        <w:adjustRightInd/>
        <w:spacing w:line="500" w:lineRule="exact"/>
        <w:ind w:left="0" w:firstLine="560"/>
        <w:textAlignment w:val="auto"/>
        <w:rPr>
          <w:rFonts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项目主要对</w:t>
      </w:r>
      <w:r>
        <w:rPr>
          <w:rFonts w:hint="eastAsia" w:asciiTheme="minorEastAsia" w:hAnsiTheme="minorEastAsia" w:eastAsiaTheme="minorEastAsia" w:cstheme="minorEastAsia"/>
          <w:color w:val="auto"/>
          <w:sz w:val="28"/>
          <w:szCs w:val="28"/>
          <w:lang w:eastAsia="zh-CN"/>
        </w:rPr>
        <w:t>2017年天津市河东区第一幼儿园校舍维修工程</w:t>
      </w:r>
      <w:r>
        <w:rPr>
          <w:rFonts w:hint="eastAsia" w:asciiTheme="minorEastAsia" w:hAnsiTheme="minorEastAsia" w:eastAsiaTheme="minorEastAsia" w:cstheme="minorEastAsia"/>
          <w:color w:val="auto"/>
          <w:sz w:val="28"/>
          <w:szCs w:val="28"/>
        </w:rPr>
        <w:t>进行</w:t>
      </w:r>
      <w:r>
        <w:rPr>
          <w:rFonts w:hint="eastAsia" w:asciiTheme="minorEastAsia" w:hAnsiTheme="minorEastAsia" w:eastAsiaTheme="minorEastAsia" w:cstheme="minorEastAsia"/>
          <w:color w:val="auto"/>
          <w:sz w:val="28"/>
          <w:szCs w:val="28"/>
          <w:lang w:eastAsia="zh-CN"/>
        </w:rPr>
        <w:t>校舍维修</w:t>
      </w:r>
      <w:r>
        <w:rPr>
          <w:rFonts w:hint="eastAsia" w:asciiTheme="minorEastAsia" w:hAnsiTheme="minorEastAsia" w:eastAsiaTheme="minorEastAsia" w:cstheme="minorEastAsia"/>
          <w:color w:val="auto"/>
          <w:sz w:val="28"/>
          <w:szCs w:val="28"/>
        </w:rPr>
        <w:t>。主要</w:t>
      </w:r>
      <w:r>
        <w:rPr>
          <w:rFonts w:hint="eastAsia" w:asciiTheme="minorEastAsia" w:hAnsiTheme="minorEastAsia" w:eastAsiaTheme="minorEastAsia" w:cstheme="minorEastAsia"/>
          <w:color w:val="auto"/>
          <w:sz w:val="28"/>
          <w:szCs w:val="28"/>
          <w:lang w:eastAsia="zh-CN"/>
        </w:rPr>
        <w:t>改造</w:t>
      </w:r>
      <w:r>
        <w:rPr>
          <w:rFonts w:hint="eastAsia" w:asciiTheme="minorEastAsia" w:hAnsiTheme="minorEastAsia" w:eastAsiaTheme="minorEastAsia" w:cstheme="minorEastAsia"/>
          <w:color w:val="auto"/>
          <w:sz w:val="28"/>
          <w:szCs w:val="28"/>
        </w:rPr>
        <w:t>内容包含房修土建工程、</w:t>
      </w:r>
      <w:r>
        <w:rPr>
          <w:rFonts w:hint="eastAsia" w:asciiTheme="minorEastAsia" w:hAnsiTheme="minorEastAsia" w:eastAsiaTheme="minorEastAsia" w:cstheme="minorEastAsia"/>
          <w:color w:val="auto"/>
          <w:sz w:val="28"/>
          <w:szCs w:val="28"/>
          <w:lang w:eastAsia="zh-CN"/>
        </w:rPr>
        <w:t>室外土建工程部分、</w:t>
      </w:r>
      <w:r>
        <w:rPr>
          <w:rFonts w:hint="eastAsia" w:asciiTheme="minorEastAsia" w:hAnsiTheme="minorEastAsia" w:eastAsiaTheme="minorEastAsia" w:cstheme="minorEastAsia"/>
          <w:color w:val="auto"/>
          <w:sz w:val="28"/>
          <w:szCs w:val="28"/>
        </w:rPr>
        <w:t>房修电气工程、房修给排水工程。详见工程量清单。</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五.项目</w:t>
      </w:r>
      <w:r>
        <w:rPr>
          <w:rFonts w:hint="eastAsia" w:asciiTheme="minorEastAsia" w:hAnsiTheme="minorEastAsia" w:eastAsiaTheme="minorEastAsia" w:cstheme="minorEastAsia"/>
          <w:b/>
          <w:color w:val="auto"/>
          <w:sz w:val="28"/>
          <w:szCs w:val="28"/>
          <w:lang w:eastAsia="zh-CN"/>
        </w:rPr>
        <w:t>工期</w:t>
      </w:r>
    </w:p>
    <w:p>
      <w:pPr>
        <w:pageBreakBefore w:val="0"/>
        <w:widowControl w:val="0"/>
        <w:kinsoku/>
        <w:wordWrap/>
        <w:overflowPunct/>
        <w:topLinePunct w:val="0"/>
        <w:autoSpaceDE/>
        <w:autoSpaceDN/>
        <w:bidi w:val="0"/>
        <w:adjustRightInd/>
        <w:spacing w:line="500" w:lineRule="exact"/>
        <w:ind w:left="0" w:firstLine="478" w:firstLineChars="171"/>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sz w:val="28"/>
          <w:szCs w:val="28"/>
          <w:highlight w:val="none"/>
        </w:rPr>
        <w:t>本项目的</w:t>
      </w:r>
      <w:r>
        <w:rPr>
          <w:rFonts w:hint="eastAsia" w:asciiTheme="minorEastAsia" w:hAnsiTheme="minorEastAsia" w:eastAsiaTheme="minorEastAsia" w:cstheme="minorEastAsia"/>
          <w:sz w:val="28"/>
          <w:szCs w:val="28"/>
          <w:highlight w:val="none"/>
          <w:lang w:eastAsia="zh-CN"/>
        </w:rPr>
        <w:t>工期</w:t>
      </w:r>
      <w:r>
        <w:rPr>
          <w:rFonts w:hint="eastAsia" w:asciiTheme="minorEastAsia" w:hAnsiTheme="minorEastAsia" w:eastAsiaTheme="minorEastAsia" w:cstheme="minorEastAsia"/>
          <w:sz w:val="28"/>
          <w:szCs w:val="28"/>
          <w:highlight w:val="none"/>
        </w:rPr>
        <w:t>为</w:t>
      </w:r>
      <w:r>
        <w:rPr>
          <w:rFonts w:hint="eastAsia" w:asciiTheme="minorEastAsia" w:hAnsiTheme="minorEastAsia" w:eastAsiaTheme="minorEastAsia" w:cstheme="minorEastAsia"/>
          <w:sz w:val="28"/>
          <w:szCs w:val="28"/>
          <w:highlight w:val="none"/>
          <w:lang w:val="en-US" w:eastAsia="zh-CN"/>
        </w:rPr>
        <w:t>25天</w:t>
      </w:r>
      <w:r>
        <w:rPr>
          <w:rFonts w:hint="eastAsia" w:asciiTheme="minorEastAsia" w:hAnsiTheme="minorEastAsia" w:eastAsiaTheme="minorEastAsia" w:cstheme="minorEastAsia"/>
          <w:sz w:val="28"/>
          <w:szCs w:val="28"/>
          <w:highlight w:val="none"/>
          <w:lang w:eastAsia="zh-CN"/>
        </w:rPr>
        <w:t>（特殊情况以合同为准）</w:t>
      </w:r>
      <w:r>
        <w:rPr>
          <w:rFonts w:hint="eastAsia" w:asciiTheme="minorEastAsia" w:hAnsiTheme="minorEastAsia" w:eastAsiaTheme="minorEastAsia" w:cstheme="minorEastAsia"/>
          <w:color w:val="auto"/>
          <w:sz w:val="28"/>
          <w:szCs w:val="28"/>
          <w:highlight w:val="none"/>
        </w:rPr>
        <w:t>。</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六. 项目采购预算及资金来源</w:t>
      </w:r>
    </w:p>
    <w:p>
      <w:pPr>
        <w:pageBreakBefore w:val="0"/>
        <w:widowControl w:val="0"/>
        <w:kinsoku/>
        <w:wordWrap/>
        <w:overflowPunct/>
        <w:topLinePunct w:val="0"/>
        <w:autoSpaceDE/>
        <w:autoSpaceDN/>
        <w:bidi w:val="0"/>
        <w:adjustRightInd/>
        <w:spacing w:line="500" w:lineRule="exact"/>
        <w:ind w:left="0" w:firstLine="560"/>
        <w:textAlignment w:val="auto"/>
        <w:rPr>
          <w:rFonts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采购预算</w:t>
      </w:r>
      <w:r>
        <w:rPr>
          <w:rFonts w:hint="eastAsia" w:asciiTheme="minorEastAsia" w:hAnsiTheme="minorEastAsia" w:eastAsiaTheme="minorEastAsia" w:cstheme="minorEastAsia"/>
          <w:color w:val="auto"/>
          <w:sz w:val="28"/>
          <w:szCs w:val="28"/>
          <w:lang w:val="en-US" w:eastAsia="zh-CN"/>
        </w:rPr>
        <w:t>173.2</w:t>
      </w:r>
      <w:r>
        <w:rPr>
          <w:rFonts w:hint="eastAsia" w:asciiTheme="minorEastAsia" w:hAnsiTheme="minorEastAsia" w:eastAsiaTheme="minorEastAsia" w:cstheme="minorEastAsia"/>
          <w:color w:val="auto"/>
          <w:sz w:val="28"/>
          <w:szCs w:val="28"/>
        </w:rPr>
        <w:t>万</w:t>
      </w:r>
      <w:r>
        <w:rPr>
          <w:rFonts w:hint="eastAsia" w:asciiTheme="minorEastAsia" w:hAnsiTheme="minorEastAsia" w:eastAsiaTheme="minorEastAsia" w:cstheme="minorEastAsia"/>
          <w:color w:val="auto"/>
          <w:sz w:val="28"/>
          <w:szCs w:val="28"/>
          <w:highlight w:val="none"/>
        </w:rPr>
        <w:t>元，该项目的资金使用</w:t>
      </w:r>
      <w:r>
        <w:rPr>
          <w:rFonts w:hint="eastAsia" w:asciiTheme="minorEastAsia" w:hAnsiTheme="minorEastAsia" w:eastAsiaTheme="minorEastAsia" w:cstheme="minorEastAsia"/>
          <w:color w:val="auto"/>
          <w:sz w:val="28"/>
          <w:szCs w:val="28"/>
          <w:highlight w:val="none"/>
          <w:lang w:eastAsia="zh-CN"/>
        </w:rPr>
        <w:t>区教育附加费。</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七. 对供应商的相关要求</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供应商须提供有效期内的营业执照。</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供应商须提供建筑工程施工总承包三级及以上资质证书。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供应商须提供有效期内的安全生产许可证。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供应商须提供经会计师事务所审计的</w:t>
      </w:r>
      <w:r>
        <w:rPr>
          <w:rFonts w:hint="eastAsia" w:asciiTheme="minorEastAsia" w:hAnsiTheme="minorEastAsia" w:eastAsiaTheme="minorEastAsia" w:cstheme="minorEastAsia"/>
          <w:color w:val="auto"/>
          <w:sz w:val="28"/>
          <w:szCs w:val="28"/>
          <w:lang w:eastAsia="zh-CN"/>
        </w:rPr>
        <w:t>（2016年度或2017年度）</w:t>
      </w:r>
      <w:r>
        <w:rPr>
          <w:rFonts w:hint="eastAsia" w:asciiTheme="minorEastAsia" w:hAnsiTheme="minorEastAsia" w:eastAsiaTheme="minorEastAsia" w:cstheme="minorEastAsia"/>
          <w:color w:val="auto"/>
          <w:sz w:val="28"/>
          <w:szCs w:val="28"/>
        </w:rPr>
        <w:t>财务审计报告或开标前1个月以内银行出具的资信证明</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2017年12月</w:t>
      </w:r>
      <w:r>
        <w:rPr>
          <w:rFonts w:hint="eastAsia" w:asciiTheme="minorEastAsia" w:hAnsiTheme="minorEastAsia" w:eastAsiaTheme="minorEastAsia" w:cstheme="minorEastAsia"/>
          <w:color w:val="auto"/>
          <w:sz w:val="28"/>
          <w:szCs w:val="28"/>
        </w:rPr>
        <w:t>至今任意一个月缴纳的社会保障资金的有效票据凭证</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2017年12月</w:t>
      </w:r>
      <w:r>
        <w:rPr>
          <w:rFonts w:hint="eastAsia" w:asciiTheme="minorEastAsia" w:hAnsiTheme="minorEastAsia" w:eastAsiaTheme="minorEastAsia" w:cstheme="minorEastAsia"/>
          <w:color w:val="auto"/>
          <w:sz w:val="28"/>
          <w:szCs w:val="28"/>
        </w:rPr>
        <w:t>至今任意一个月依法纳税的有效票据凭证；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w:t>
      </w:r>
      <w:r>
        <w:rPr>
          <w:rFonts w:hint="eastAsia" w:asciiTheme="minorEastAsia" w:hAnsiTheme="minorEastAsia" w:eastAsiaTheme="minorEastAsia" w:cstheme="minorEastAsia"/>
          <w:color w:val="auto"/>
          <w:sz w:val="28"/>
          <w:szCs w:val="28"/>
          <w:lang w:eastAsia="zh-CN"/>
        </w:rPr>
        <w:t>须提供参加政府采购活动前3年内在经营活动中没有重大违法记录的书面声明（截至提交响应文件截止日成立不足3年的供应商可提供自成立以来无重大违法记录的书面声明），需提供承诺书。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bookmarkStart w:id="1" w:name="OLE_LINK1"/>
      <w:r>
        <w:rPr>
          <w:rFonts w:hint="eastAsia" w:asciiTheme="minorEastAsia" w:hAnsiTheme="minorEastAsia" w:eastAsiaTheme="minorEastAsia" w:cstheme="minorEastAsia"/>
          <w:color w:val="auto"/>
          <w:sz w:val="28"/>
          <w:szCs w:val="28"/>
          <w:lang w:eastAsia="zh-CN"/>
        </w:rPr>
        <w:t>正项目经理1名，提供建设行政主管部门颁发的建筑工程专业贰级及以上注册建造师证书原件。</w:t>
      </w:r>
      <w:r>
        <w:rPr>
          <w:rFonts w:hint="eastAsia" w:asciiTheme="minorEastAsia" w:hAnsiTheme="minorEastAsia" w:eastAsiaTheme="minorEastAsia" w:cstheme="minorEastAsia"/>
          <w:color w:val="auto"/>
          <w:sz w:val="28"/>
          <w:szCs w:val="28"/>
        </w:rPr>
        <w:t>并提供任命书</w:t>
      </w:r>
      <w:bookmarkEnd w:id="1"/>
      <w:r>
        <w:rPr>
          <w:rFonts w:hint="eastAsia" w:asciiTheme="minorEastAsia" w:hAnsiTheme="minorEastAsia" w:eastAsiaTheme="minorEastAsia" w:cstheme="minorEastAsia"/>
          <w:color w:val="auto"/>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left="0" w:firstLine="560"/>
        <w:textAlignment w:val="auto"/>
        <w:outlineLvl w:val="9"/>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施工员1名、质量员1名、安全员1名、民管员1名、试验员1名、材料员1名、机械员1名、造价员1名、资料员1名，专业与本项目相关，均应为本单位职工，</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提供任命书</w:t>
      </w:r>
      <w:r>
        <w:rPr>
          <w:rFonts w:hint="eastAsia" w:asciiTheme="minorEastAsia" w:hAnsiTheme="minorEastAsia" w:eastAsiaTheme="minorEastAsia" w:cstheme="minorEastAsia"/>
          <w:color w:val="auto"/>
          <w:sz w:val="28"/>
          <w:szCs w:val="28"/>
          <w:lang w:eastAsia="zh-CN"/>
        </w:rPr>
        <w:t>。</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lang w:val="en-US" w:eastAsia="zh-CN"/>
        </w:rPr>
        <w:t xml:space="preserve">    </w:t>
      </w:r>
      <w:r>
        <w:rPr>
          <w:rFonts w:hint="eastAsia" w:asciiTheme="minorEastAsia" w:hAnsiTheme="minorEastAsia" w:eastAsiaTheme="minorEastAsia" w:cstheme="minorEastAsia"/>
          <w:color w:val="auto"/>
          <w:sz w:val="28"/>
          <w:szCs w:val="28"/>
          <w:lang w:eastAsia="zh-CN"/>
        </w:rPr>
        <w:t>总人数不得少于4人。</w:t>
      </w:r>
    </w:p>
    <w:p>
      <w:pPr>
        <w:keepNext w:val="0"/>
        <w:keepLines w:val="0"/>
        <w:pageBreakBefore w:val="0"/>
        <w:widowControl w:val="0"/>
        <w:kinsoku/>
        <w:wordWrap/>
        <w:overflowPunct/>
        <w:topLinePunct w:val="0"/>
        <w:autoSpaceDE/>
        <w:autoSpaceDN/>
        <w:bidi w:val="0"/>
        <w:adjustRightInd/>
        <w:snapToGrid/>
        <w:spacing w:line="500" w:lineRule="exact"/>
        <w:ind w:left="0" w:firstLine="560"/>
        <w:textAlignment w:val="auto"/>
        <w:outlineLvl w:val="9"/>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以上项目经理必须为</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本单位人员，其单位名称应与</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名称一致；</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rPr>
        <w:t>备注：</w:t>
      </w:r>
      <w:r>
        <w:rPr>
          <w:rFonts w:hint="eastAsia" w:asciiTheme="minorEastAsia" w:hAnsiTheme="minorEastAsia" w:eastAsiaTheme="minorEastAsia" w:cstheme="minorEastAsia"/>
          <w:color w:val="auto"/>
          <w:sz w:val="28"/>
          <w:szCs w:val="28"/>
          <w:lang w:eastAsia="zh-CN"/>
        </w:rPr>
        <w:t>（1）以上人员须提供考核依据，项目经理提供建造师注册证，项目部成员提供《天津市建设工程管理人员岗位资格证书》原件。</w:t>
      </w:r>
      <w:r>
        <w:rPr>
          <w:rFonts w:hint="eastAsia" w:asciiTheme="minorEastAsia" w:hAnsiTheme="minorEastAsia" w:eastAsiaTheme="minorEastAsia" w:cstheme="minorEastAsia"/>
          <w:color w:val="auto"/>
          <w:sz w:val="28"/>
          <w:szCs w:val="28"/>
        </w:rPr>
        <w:t>（2）项目部管理人员在投标有效期内不得更换，否则按废标处理。（3）</w:t>
      </w:r>
      <w:bookmarkStart w:id="2" w:name="OLE_LINK2"/>
      <w:r>
        <w:rPr>
          <w:rFonts w:hint="eastAsia" w:asciiTheme="minorEastAsia" w:hAnsiTheme="minorEastAsia" w:eastAsiaTheme="minorEastAsia" w:cstheme="minorEastAsia"/>
          <w:color w:val="auto"/>
          <w:sz w:val="28"/>
          <w:szCs w:val="28"/>
        </w:rPr>
        <w:t>项目部人员配置执行建筑[2012]141号文件和津建筑【2012】1091号文件，且具有有效的投标资格。</w:t>
      </w:r>
      <w:bookmarkEnd w:id="2"/>
      <w:r>
        <w:rPr>
          <w:rFonts w:hint="eastAsia" w:asciiTheme="minorEastAsia" w:hAnsiTheme="minorEastAsia" w:eastAsiaTheme="minorEastAsia" w:cstheme="minorEastAsia"/>
          <w:color w:val="auto"/>
          <w:sz w:val="28"/>
          <w:szCs w:val="28"/>
        </w:rPr>
        <w:t>（4）项目经理可兼任施工项目部各管理岗位，其他岗位可相互兼任（施工员、质量员、安全员</w:t>
      </w:r>
      <w:r>
        <w:rPr>
          <w:rFonts w:hint="eastAsia" w:asciiTheme="minorEastAsia" w:hAnsiTheme="minorEastAsia" w:eastAsiaTheme="minorEastAsia" w:cstheme="minorEastAsia"/>
          <w:color w:val="auto"/>
          <w:sz w:val="28"/>
          <w:szCs w:val="28"/>
          <w:lang w:eastAsia="zh-CN"/>
        </w:rPr>
        <w:t>须</w:t>
      </w:r>
      <w:r>
        <w:rPr>
          <w:rFonts w:hint="eastAsia" w:asciiTheme="minorEastAsia" w:hAnsiTheme="minorEastAsia" w:eastAsiaTheme="minorEastAsia" w:cstheme="minorEastAsia"/>
          <w:color w:val="auto"/>
          <w:sz w:val="28"/>
          <w:szCs w:val="28"/>
        </w:rPr>
        <w:t>由专职人员担任，不得由其他管理岗位兼任，</w:t>
      </w:r>
      <w:r>
        <w:rPr>
          <w:rFonts w:hint="eastAsia" w:asciiTheme="minorEastAsia" w:hAnsiTheme="minorEastAsia" w:eastAsiaTheme="minorEastAsia" w:cstheme="minorEastAsia"/>
          <w:color w:val="auto"/>
          <w:sz w:val="28"/>
          <w:szCs w:val="28"/>
          <w:lang w:eastAsia="zh-CN"/>
        </w:rPr>
        <w:t>施工员、质量员专业须为建筑</w:t>
      </w:r>
      <w:r>
        <w:rPr>
          <w:rFonts w:hint="eastAsia" w:asciiTheme="minorEastAsia" w:hAnsiTheme="minorEastAsia" w:eastAsiaTheme="minorEastAsia" w:cstheme="minorEastAsia"/>
          <w:color w:val="auto"/>
          <w:sz w:val="28"/>
          <w:szCs w:val="28"/>
        </w:rPr>
        <w:t xml:space="preserve">），每人任职不得超过三个岗位，兼职的岗位由企业出具任命书。 </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eastAsia="zh-CN"/>
        </w:rPr>
        <w:t>非本市的施工企业应按《市建委关于进一步推动我市建筑市场统一开放相关工作的通知》津施管【2015】8号文件执行，提供在有效期内的“进津建筑企业信息登记卡”。</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hAnsi="宋体" w:eastAsia="宋体" w:cs="宋体"/>
          <w:color w:val="auto"/>
          <w:szCs w:val="24"/>
          <w:highlight w:val="none"/>
          <w:lang w:val="en-US" w:eastAsia="zh-CN"/>
        </w:rPr>
      </w:pPr>
      <w:r>
        <w:rPr>
          <w:rFonts w:hint="eastAsia" w:asciiTheme="minorEastAsia" w:hAnsiTheme="minorEastAsia" w:eastAsiaTheme="minorEastAsia" w:cstheme="minorEastAsia"/>
          <w:color w:val="auto"/>
          <w:sz w:val="28"/>
          <w:szCs w:val="28"/>
          <w:lang w:val="en-US" w:eastAsia="zh-CN"/>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本项目不接受联合体参与磋商。</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供应商应整包进行投标，不得拆包分项投标。</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未经采购人同意，成交供应商不得转让合同，不得转包或分包。</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八.技术要求及标准规范</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本工程施工必须符合建材〔2007〕87号文建筑节能技术要求和技术指标的相关规定</w:t>
      </w:r>
      <w:r>
        <w:rPr>
          <w:rFonts w:hint="eastAsia" w:ascii="宋体" w:hAnsi="宋体" w:cs="宋体"/>
          <w:bCs/>
          <w:color w:val="auto"/>
          <w:sz w:val="28"/>
          <w:szCs w:val="28"/>
          <w:lang w:eastAsia="zh-CN"/>
        </w:rPr>
        <w:t>，保修期限</w:t>
      </w:r>
      <w:r>
        <w:rPr>
          <w:rFonts w:hint="eastAsia" w:ascii="宋体" w:hAnsi="宋体" w:cs="宋体"/>
          <w:bCs/>
          <w:color w:val="auto"/>
          <w:sz w:val="28"/>
          <w:szCs w:val="28"/>
        </w:rPr>
        <w:t>执行中华人民共和国国务院279号令。</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要求</w:t>
      </w:r>
      <w:r>
        <w:rPr>
          <w:rFonts w:hint="eastAsia" w:ascii="宋体" w:hAnsi="宋体" w:cs="宋体"/>
          <w:bCs/>
          <w:color w:val="auto"/>
          <w:sz w:val="28"/>
          <w:szCs w:val="28"/>
          <w:lang w:eastAsia="zh-CN"/>
        </w:rPr>
        <w:t>供应商</w:t>
      </w:r>
      <w:r>
        <w:rPr>
          <w:rFonts w:hint="eastAsia" w:ascii="宋体" w:hAnsi="宋体" w:cs="宋体"/>
          <w:bCs/>
          <w:color w:val="auto"/>
          <w:sz w:val="28"/>
          <w:szCs w:val="28"/>
        </w:rPr>
        <w:t>一旦</w:t>
      </w:r>
      <w:r>
        <w:rPr>
          <w:rFonts w:hint="eastAsia" w:ascii="宋体" w:hAnsi="宋体" w:cs="宋体"/>
          <w:bCs/>
          <w:color w:val="auto"/>
          <w:sz w:val="28"/>
          <w:szCs w:val="28"/>
          <w:lang w:eastAsia="zh-CN"/>
        </w:rPr>
        <w:t>成交</w:t>
      </w:r>
      <w:r>
        <w:rPr>
          <w:rFonts w:hint="eastAsia" w:ascii="宋体" w:hAnsi="宋体" w:cs="宋体"/>
          <w:bCs/>
          <w:color w:val="auto"/>
          <w:sz w:val="28"/>
          <w:szCs w:val="28"/>
        </w:rPr>
        <w:t>，在施工的过程中，要做好对周围成品的保护措施。</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w:t>
      </w:r>
      <w:r>
        <w:rPr>
          <w:rFonts w:hint="eastAsia" w:ascii="宋体" w:hAnsi="宋体" w:cs="宋体"/>
          <w:bCs/>
          <w:color w:val="auto"/>
          <w:sz w:val="28"/>
          <w:szCs w:val="28"/>
          <w:lang w:eastAsia="zh-CN"/>
        </w:rPr>
        <w:t>采购</w:t>
      </w:r>
      <w:r>
        <w:rPr>
          <w:rFonts w:hint="eastAsia" w:ascii="宋体" w:hAnsi="宋体" w:cs="宋体"/>
          <w:bCs/>
          <w:color w:val="auto"/>
          <w:sz w:val="28"/>
          <w:szCs w:val="28"/>
        </w:rPr>
        <w:t>工程项目的材料、设备、施工须达到现行中华人民共和国以及省、自治区、直辖市或行业的工程建设标准及技术规范的要求。</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rPr>
      </w:pPr>
      <w:r>
        <w:rPr>
          <w:rFonts w:hint="eastAsia" w:ascii="宋体" w:hAnsi="宋体" w:cs="宋体"/>
          <w:bCs/>
          <w:color w:val="auto"/>
          <w:sz w:val="28"/>
          <w:szCs w:val="28"/>
        </w:rPr>
        <w:t>必须符合国家规范、行业标准之规定和地区的强制性规定。</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施工过程中使用的材料须经采购人确认后方可进行施工，凡施工单位使用不合格产品或材料，因此而造成的工程质量事故或人身伤亡事故，均由施工单位负责。</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宋体" w:hAnsi="宋体" w:cs="宋体"/>
          <w:bCs/>
          <w:color w:val="auto"/>
          <w:sz w:val="28"/>
          <w:szCs w:val="28"/>
        </w:rPr>
      </w:pPr>
      <w:r>
        <w:rPr>
          <w:rFonts w:hint="eastAsia" w:ascii="宋体" w:hAnsi="宋体" w:cs="宋体"/>
          <w:bCs/>
          <w:color w:val="auto"/>
          <w:sz w:val="28"/>
          <w:szCs w:val="28"/>
        </w:rPr>
        <w:t>必须满足本项目清单中的技术要求</w:t>
      </w:r>
      <w:r>
        <w:rPr>
          <w:rFonts w:hint="eastAsia" w:ascii="宋体" w:hAnsi="宋体" w:cs="宋体"/>
          <w:bCs/>
          <w:color w:val="auto"/>
          <w:sz w:val="28"/>
          <w:szCs w:val="28"/>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施工人员应遵守我方施工现场的各级管理制度</w:t>
      </w:r>
      <w:r>
        <w:rPr>
          <w:rFonts w:hint="eastAsia" w:ascii="宋体" w:hAnsi="宋体" w:cs="宋体"/>
          <w:bCs/>
          <w:color w:val="auto"/>
          <w:sz w:val="28"/>
          <w:szCs w:val="28"/>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本工程采用的标准及技术规范：清单内的专业施工合格标准以国家及地区现行工程施工及验收规范为准，如有更新，以现行为准。</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 xml:space="preserve">九. 报价要求及计算依据 </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Theme="minorEastAsia" w:hAnsiTheme="minorEastAsia" w:eastAsiaTheme="minorEastAsia" w:cstheme="minorEastAsia"/>
          <w:bCs/>
          <w:color w:val="auto"/>
          <w:sz w:val="28"/>
          <w:szCs w:val="28"/>
          <w:highlight w:val="none"/>
        </w:rPr>
      </w:pPr>
      <w:r>
        <w:rPr>
          <w:rFonts w:hint="eastAsia" w:asciiTheme="minorEastAsia" w:hAnsiTheme="minorEastAsia" w:eastAsiaTheme="minorEastAsia" w:cstheme="minorEastAsia"/>
          <w:bCs/>
          <w:color w:val="auto"/>
          <w:sz w:val="28"/>
          <w:szCs w:val="28"/>
          <w:highlight w:val="none"/>
        </w:rPr>
        <w:t>本项目采用固定总价合同形式，报价</w:t>
      </w:r>
      <w:r>
        <w:rPr>
          <w:rFonts w:hint="eastAsia" w:ascii="宋体" w:hAnsi="宋体" w:cs="宋体"/>
          <w:bCs/>
          <w:color w:val="auto"/>
          <w:sz w:val="28"/>
          <w:szCs w:val="28"/>
          <w:highlight w:val="none"/>
        </w:rPr>
        <w:t>一次性包死，无任何变更增项费用，因此供应商报价时须充分考虑相应的风险</w:t>
      </w:r>
      <w:r>
        <w:rPr>
          <w:rFonts w:hint="eastAsia" w:asciiTheme="minorEastAsia" w:hAnsiTheme="minorEastAsia" w:eastAsiaTheme="minorEastAsia" w:cstheme="minorEastAsia"/>
          <w:bCs/>
          <w:color w:val="auto"/>
          <w:sz w:val="28"/>
          <w:szCs w:val="28"/>
          <w:highlight w:val="none"/>
        </w:rPr>
        <w:t>。</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宋体" w:hAnsi="宋体" w:cs="宋体"/>
          <w:bCs/>
          <w:color w:val="auto"/>
          <w:sz w:val="28"/>
          <w:szCs w:val="28"/>
          <w:highlight w:val="none"/>
        </w:rPr>
      </w:pPr>
      <w:r>
        <w:rPr>
          <w:rFonts w:hint="eastAsia" w:asciiTheme="minorEastAsia" w:hAnsiTheme="minorEastAsia" w:eastAsiaTheme="minorEastAsia" w:cstheme="minorEastAsia"/>
          <w:bCs/>
          <w:color w:val="auto"/>
          <w:sz w:val="28"/>
          <w:szCs w:val="28"/>
          <w:highlight w:val="none"/>
        </w:rPr>
        <w:t>报价</w:t>
      </w:r>
      <w:r>
        <w:rPr>
          <w:rFonts w:hint="eastAsia" w:ascii="宋体" w:hAnsi="宋体" w:cs="宋体"/>
          <w:bCs/>
          <w:color w:val="auto"/>
          <w:sz w:val="28"/>
          <w:szCs w:val="28"/>
          <w:highlight w:val="none"/>
        </w:rPr>
        <w:t>执行定额及取费标准：本工程依据《天津市建筑安装工程工程量清单计价规则》、2016年《天津市建设工程计价办法》、2016年《天津市机电工程预算基价》、2016年《天津市安装工程预算基价》、2016年《天津市房屋修缮工程预算基价》、2016《天津市装饰装修工程预算基价》</w:t>
      </w:r>
      <w:r>
        <w:rPr>
          <w:rFonts w:hint="eastAsia" w:ascii="宋体" w:hAnsi="宋体" w:cs="宋体"/>
          <w:bCs/>
          <w:color w:val="auto"/>
          <w:sz w:val="28"/>
          <w:szCs w:val="28"/>
          <w:highlight w:val="none"/>
          <w:lang w:eastAsia="zh-CN"/>
        </w:rPr>
        <w:t>等</w:t>
      </w:r>
      <w:r>
        <w:rPr>
          <w:rFonts w:hint="eastAsia" w:ascii="宋体" w:hAnsi="宋体" w:cs="宋体"/>
          <w:bCs/>
          <w:color w:val="auto"/>
          <w:sz w:val="28"/>
          <w:szCs w:val="28"/>
          <w:highlight w:val="none"/>
        </w:rPr>
        <w:t>，采用工程量清单项目全费用形式报价（综合单价）。</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市场价格信息参照标准：参照天津市建设工程造价信息服务中心发布的《天津市工程造价信息》201</w:t>
      </w:r>
      <w:r>
        <w:rPr>
          <w:rFonts w:hint="eastAsia" w:ascii="宋体" w:hAnsi="宋体" w:cs="宋体"/>
          <w:bCs/>
          <w:color w:val="auto"/>
          <w:sz w:val="28"/>
          <w:szCs w:val="28"/>
          <w:lang w:val="en-US" w:eastAsia="zh-CN"/>
        </w:rPr>
        <w:t>8</w:t>
      </w:r>
      <w:r>
        <w:rPr>
          <w:rFonts w:hint="eastAsia" w:ascii="宋体" w:hAnsi="宋体" w:cs="宋体"/>
          <w:bCs/>
          <w:color w:val="auto"/>
          <w:sz w:val="28"/>
          <w:szCs w:val="28"/>
        </w:rPr>
        <w:t>年第</w:t>
      </w:r>
      <w:r>
        <w:rPr>
          <w:rFonts w:hint="eastAsia" w:asciiTheme="minorEastAsia" w:hAnsiTheme="minorEastAsia" w:eastAsiaTheme="minorEastAsia" w:cstheme="minorEastAsia"/>
          <w:bCs/>
          <w:color w:val="auto"/>
          <w:sz w:val="28"/>
          <w:szCs w:val="28"/>
          <w:lang w:val="en-US" w:eastAsia="zh-CN"/>
        </w:rPr>
        <w:t>6</w:t>
      </w:r>
      <w:r>
        <w:rPr>
          <w:rFonts w:hint="eastAsia" w:ascii="宋体" w:hAnsi="宋体" w:cs="宋体"/>
          <w:bCs/>
          <w:color w:val="auto"/>
          <w:sz w:val="28"/>
          <w:szCs w:val="28"/>
        </w:rPr>
        <w:t>期发布的材料价格综合价格，特殊材料采用中准价和市场价格计算。</w:t>
      </w:r>
    </w:p>
    <w:p>
      <w:pPr>
        <w:keepNext w:val="0"/>
        <w:keepLines w:val="0"/>
        <w:pageBreakBefore w:val="0"/>
        <w:widowControl w:val="0"/>
        <w:kinsoku/>
        <w:wordWrap/>
        <w:overflowPunct/>
        <w:topLinePunct w:val="0"/>
        <w:autoSpaceDE/>
        <w:autoSpaceDN/>
        <w:bidi w:val="0"/>
        <w:adjustRightInd/>
        <w:snapToGrid/>
        <w:spacing w:line="500" w:lineRule="exact"/>
        <w:ind w:left="0" w:firstLine="0" w:firstLineChars="0"/>
        <w:jc w:val="left"/>
        <w:textAlignment w:val="auto"/>
        <w:outlineLvl w:val="1"/>
        <w:rPr>
          <w:rFonts w:hint="eastAsia" w:asciiTheme="minorEastAsia" w:hAnsiTheme="minorEastAsia" w:eastAsiaTheme="minorEastAsia" w:cstheme="minorEastAsia"/>
          <w:b/>
          <w:color w:val="auto"/>
          <w:sz w:val="28"/>
          <w:szCs w:val="28"/>
        </w:rPr>
      </w:pPr>
      <w:r>
        <w:rPr>
          <w:rFonts w:hint="eastAsia" w:asciiTheme="minorEastAsia" w:hAnsiTheme="minorEastAsia" w:eastAsiaTheme="minorEastAsia" w:cstheme="minorEastAsia"/>
          <w:b/>
          <w:color w:val="auto"/>
          <w:sz w:val="28"/>
          <w:szCs w:val="28"/>
        </w:rPr>
        <w:t>十.验收标准</w:t>
      </w:r>
    </w:p>
    <w:p>
      <w:pPr>
        <w:pStyle w:val="4"/>
        <w:pageBreakBefore w:val="0"/>
        <w:widowControl w:val="0"/>
        <w:kinsoku/>
        <w:wordWrap/>
        <w:overflowPunct/>
        <w:topLinePunct w:val="0"/>
        <w:autoSpaceDE/>
        <w:autoSpaceDN/>
        <w:bidi w:val="0"/>
        <w:adjustRightInd/>
        <w:snapToGrid w:val="0"/>
        <w:spacing w:line="500" w:lineRule="exact"/>
        <w:ind w:left="0" w:firstLine="280" w:firstLineChars="100"/>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color w:val="auto"/>
          <w:sz w:val="28"/>
          <w:szCs w:val="28"/>
        </w:rPr>
        <w:t>根据《天津市公办示范幼儿园标准》、《建设工程质量管理条例》、《建设工程设计管理条例》、《天津市房屋修缮工程施工质量验收标准》等相关文件要求进行验收，修复标准以达到采购人要求为准。</w:t>
      </w:r>
    </w:p>
    <w:p>
      <w:pPr>
        <w:pStyle w:val="4"/>
        <w:pageBreakBefore w:val="0"/>
        <w:widowControl w:val="0"/>
        <w:kinsoku/>
        <w:wordWrap/>
        <w:overflowPunct/>
        <w:topLinePunct w:val="0"/>
        <w:autoSpaceDE/>
        <w:autoSpaceDN/>
        <w:bidi w:val="0"/>
        <w:adjustRightInd/>
        <w:snapToGrid w:val="0"/>
        <w:spacing w:line="500" w:lineRule="exact"/>
        <w:ind w:left="0" w:firstLine="0"/>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napToGrid w:val="0"/>
        <w:spacing w:line="500" w:lineRule="exact"/>
        <w:ind w:left="0" w:firstLine="480" w:firstLineChars="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lang w:eastAsia="zh-CN"/>
        </w:rPr>
        <w:t>天津市河东区第一幼儿园</w:t>
      </w:r>
    </w:p>
    <w:p>
      <w:pPr>
        <w:pageBreakBefore w:val="0"/>
        <w:widowControl w:val="0"/>
        <w:kinsoku/>
        <w:wordWrap/>
        <w:overflowPunct/>
        <w:topLinePunct w:val="0"/>
        <w:autoSpaceDE/>
        <w:autoSpaceDN/>
        <w:bidi w:val="0"/>
        <w:adjustRightInd/>
        <w:spacing w:line="500" w:lineRule="exact"/>
        <w:ind w:left="0" w:firstLine="0" w:firstLineChars="0"/>
        <w:jc w:val="left"/>
        <w:textAlignment w:val="auto"/>
        <w:outlineLvl w:val="1"/>
        <w:rPr>
          <w:rFonts w:asciiTheme="minorEastAsia" w:hAnsiTheme="minorEastAsia" w:eastAsiaTheme="minorEastAsia" w:cstheme="minorEastAsia"/>
          <w:b/>
          <w:color w:val="auto"/>
          <w:sz w:val="28"/>
          <w:szCs w:val="28"/>
        </w:rPr>
      </w:pPr>
    </w:p>
    <w:p>
      <w:pPr>
        <w:pageBreakBefore w:val="0"/>
        <w:widowControl w:val="0"/>
        <w:kinsoku/>
        <w:wordWrap/>
        <w:overflowPunct/>
        <w:topLinePunct w:val="0"/>
        <w:autoSpaceDE/>
        <w:autoSpaceDN/>
        <w:bidi w:val="0"/>
        <w:adjustRightInd/>
        <w:spacing w:line="500" w:lineRule="exact"/>
        <w:ind w:left="0"/>
        <w:textAlignment w:val="auto"/>
        <w:rPr>
          <w:color w:val="auto"/>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24F53"/>
    <w:multiLevelType w:val="singleLevel"/>
    <w:tmpl w:val="91124F53"/>
    <w:lvl w:ilvl="0" w:tentative="0">
      <w:start w:val="1"/>
      <w:numFmt w:val="decimal"/>
      <w:suff w:val="nothing"/>
      <w:lvlText w:val="%1．"/>
      <w:lvlJc w:val="left"/>
      <w:pPr>
        <w:ind w:left="0" w:firstLine="400"/>
      </w:pPr>
      <w:rPr>
        <w:rFonts w:hint="default"/>
      </w:rPr>
    </w:lvl>
  </w:abstractNum>
  <w:abstractNum w:abstractNumId="1">
    <w:nsid w:val="99785F29"/>
    <w:multiLevelType w:val="singleLevel"/>
    <w:tmpl w:val="99785F29"/>
    <w:lvl w:ilvl="0" w:tentative="0">
      <w:start w:val="1"/>
      <w:numFmt w:val="decimal"/>
      <w:suff w:val="nothing"/>
      <w:lvlText w:val="%1．"/>
      <w:lvlJc w:val="left"/>
      <w:pPr>
        <w:ind w:left="0" w:firstLine="400"/>
      </w:pPr>
      <w:rPr>
        <w:rFonts w:hint="default"/>
      </w:rPr>
    </w:lvl>
  </w:abstractNum>
  <w:abstractNum w:abstractNumId="2">
    <w:nsid w:val="0D252F20"/>
    <w:multiLevelType w:val="singleLevel"/>
    <w:tmpl w:val="0D252F20"/>
    <w:lvl w:ilvl="0" w:tentative="0">
      <w:start w:val="1"/>
      <w:numFmt w:val="decimal"/>
      <w:suff w:val="nothing"/>
      <w:lvlText w:val="%1．"/>
      <w:lvlJc w:val="left"/>
      <w:pPr>
        <w:ind w:left="0" w:firstLine="400"/>
      </w:pPr>
      <w:rPr>
        <w:rFonts w:hint="default"/>
      </w:rPr>
    </w:lvl>
  </w:abstractNum>
  <w:abstractNum w:abstractNumId="3">
    <w:nsid w:val="2D644E47"/>
    <w:multiLevelType w:val="singleLevel"/>
    <w:tmpl w:val="2D644E47"/>
    <w:lvl w:ilvl="0" w:tentative="0">
      <w:start w:val="1"/>
      <w:numFmt w:val="decimal"/>
      <w:suff w:val="nothing"/>
      <w:lvlText w:val="%1．"/>
      <w:lvlJc w:val="left"/>
      <w:pPr>
        <w:ind w:left="0" w:firstLine="4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64AE1"/>
    <w:rsid w:val="019200AF"/>
    <w:rsid w:val="0ED47BEE"/>
    <w:rsid w:val="11064AE1"/>
    <w:rsid w:val="13E82CE5"/>
    <w:rsid w:val="1A485540"/>
    <w:rsid w:val="1DD96AA6"/>
    <w:rsid w:val="20A15C29"/>
    <w:rsid w:val="3205458E"/>
    <w:rsid w:val="428C4E80"/>
    <w:rsid w:val="4E7705EE"/>
    <w:rsid w:val="698965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User</cp:lastModifiedBy>
  <dcterms:modified xsi:type="dcterms:W3CDTF">2018-07-05T02:18:22Z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