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1F4E79"/>
          <w:sz w:val="56"/>
          <w:szCs w:val="56"/>
        </w:rPr>
        <w:t xml:space="preserve">GLOBAL MEASLES &amp; RUBELLA</w:t>
      </w:r>
    </w:p>
    <w:p>
      <w:pPr>
        <w:spacing w:after="200"/>
        <w:jc w:val="center"/>
      </w:pPr>
      <w:r>
        <w:rPr>
          <w:rFonts w:ascii="Arial" w:cs="Arial" w:eastAsia="Arial" w:hAnsi="Arial"/>
          <w:b/>
          <w:bCs/>
          <w:color w:val="1F4E79"/>
          <w:sz w:val="56"/>
          <w:szCs w:val="56"/>
        </w:rPr>
        <w:t xml:space="preserve">SURVEILLANCE ANALYSIS</w:t>
      </w:r>
    </w:p>
    <w:p>
      <w:pPr>
        <w:spacing w:after="600"/>
        <w:jc w:val="center"/>
      </w:pPr>
      <w:r>
        <w:rPr>
          <w:rFonts w:ascii="Arial" w:cs="Arial" w:eastAsia="Arial" w:hAnsi="Arial"/>
          <w:color w:val="2E75B6"/>
          <w:sz w:val="36"/>
          <w:szCs w:val="36"/>
        </w:rPr>
        <w:t xml:space="preserve">2012 – 2025</w:t>
      </w:r>
    </w:p>
    <w:p>
      <w:pPr>
        <w:spacing w:after="120"/>
        <w:jc w:val="center"/>
      </w:pPr>
      <w:r>
        <w:rPr>
          <w:rFonts w:ascii="Arial" w:cs="Arial" w:eastAsia="Arial" w:hAnsi="Arial"/>
          <w:color w:val="666666"/>
          <w:sz w:val="24"/>
          <w:szCs w:val="24"/>
        </w:rPr>
        <w:t xml:space="preserve">WHO Surveillance Data — Tidy Tuesday Analysis</w:t>
      </w:r>
    </w:p>
    <w:p>
      <w:pPr>
        <w:spacing w:after="800"/>
        <w:jc w:val="center"/>
      </w:pPr>
      <w:r>
        <w:rPr>
          <w:rFonts w:ascii="Arial" w:cs="Arial" w:eastAsia="Arial" w:hAnsi="Arial"/>
          <w:color w:val="666666"/>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Coverage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Countries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Regions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Surveillance Complete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2,382 records (2012–2025)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195 countries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 WHO regions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93.1% of records</w:t>
            </w:r>
          </w:p>
        </w:tc>
      </w:tr>
    </w:tbl>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Executive Summary</w:t>
      </w:r>
    </w:p>
    <w:p>
      <w:pPr>
        <w:spacing w:after="120"/>
        <w:jc w:val="both"/>
      </w:pPr>
      <w:r>
        <w:rPr>
          <w:rFonts w:ascii="Arial" w:cs="Arial" w:eastAsia="Arial" w:hAnsi="Arial"/>
          <w:sz w:val="22"/>
          <w:szCs w:val="22"/>
        </w:rPr>
        <w:t xml:space="preserve">This report presents a comprehensive analysis of global measles and rubella surveillance data spanning 2012 to 2025, covering 195 countries across all six WHO regions. The analysis draws on 2,382 annual records and a complementary monthly dataset to examine case burden, surveillance quality, regional disparities, and emerging outbreak patterns.</w:t>
      </w:r>
    </w:p>
    <w:p>
      <w:pPr>
        <w:spacing w:after="100"/>
      </w:pPr>
      <w:r>
        <w:t xml:space="preserve"/>
      </w:r>
    </w:p>
    <w:p>
      <w:pPr>
        <w:spacing w:after="120"/>
        <w:jc w:val="both"/>
      </w:pPr>
      <w:r>
        <w:rPr>
          <w:rFonts w:ascii="Arial" w:cs="Arial" w:eastAsia="Arial" w:hAnsi="Arial"/>
          <w:sz w:val="22"/>
          <w:szCs w:val="22"/>
        </w:rPr>
        <w:t xml:space="preserve">Three major findings define this analysis:</w:t>
      </w:r>
    </w:p>
    <w:p>
      <w:pPr>
        <w:pStyle w:val="ListParagraph"/>
        <w:numPr>
          <w:ilvl w:val="0"/>
          <w:numId w:val="2"/>
        </w:numPr>
        <w:spacing w:after="80"/>
      </w:pPr>
      <w:r>
        <w:rPr>
          <w:rFonts w:ascii="Arial" w:cs="Arial" w:eastAsia="Arial" w:hAnsi="Arial"/>
          <w:sz w:val="22"/>
          <w:szCs w:val="22"/>
        </w:rPr>
        <w:t xml:space="preserve">The 2019 global spike (555K cases) was dominated by a single catastrophic outbreak in Madagascar, which alone accounted for 57.6% of the global year-on-year increase.</w:t>
      </w:r>
    </w:p>
    <w:p>
      <w:pPr>
        <w:pStyle w:val="ListParagraph"/>
        <w:numPr>
          <w:ilvl w:val="0"/>
          <w:numId w:val="2"/>
        </w:numPr>
        <w:spacing w:after="80"/>
      </w:pPr>
      <w:r>
        <w:rPr>
          <w:rFonts w:ascii="Arial" w:cs="Arial" w:eastAsia="Arial" w:hAnsi="Arial"/>
          <w:sz w:val="22"/>
          <w:szCs w:val="22"/>
        </w:rPr>
        <w:t xml:space="preserve">The 2023–2025 resurgence is structurally different — geographically distributed across Europe, Southeast Asia, and Eastern Mediterranean, driven by post-COVID vaccination gaps and conflict-zone disruption.</w:t>
      </w:r>
    </w:p>
    <w:p>
      <w:pPr>
        <w:pStyle w:val="ListParagraph"/>
        <w:numPr>
          <w:ilvl w:val="0"/>
          <w:numId w:val="2"/>
        </w:numPr>
        <w:spacing w:after="80"/>
      </w:pPr>
      <w:r>
        <w:rPr>
          <w:rFonts w:ascii="Arial" w:cs="Arial" w:eastAsia="Arial" w:hAnsi="Arial"/>
          <w:sz w:val="22"/>
          <w:szCs w:val="22"/>
        </w:rPr>
        <w:t xml:space="preserve">By 2025, measles has shifted from primarily an African poverty problem to a multi-modal global failure: conflict zones, chronic fragility, vaccine hesitancy, and post-Soviet infrastructure collapse all driving distinct outbreak patterns simultaneously.</w:t>
      </w:r>
    </w:p>
    <w:p>
      <w:pPr>
        <w:spacing w:after="100"/>
      </w:pPr>
      <w:r>
        <w:t xml:space="preserve"/>
      </w:r>
    </w:p>
    <w:p>
      <w:pPr>
        <w:pBdr>
          <w:left w:val="single" w:color="C00000" w:sz="20" w:space="10"/>
        </w:pBdr>
        <w:spacing w:after="100" w:before="100"/>
        <w:ind w:left="360"/>
      </w:pPr>
      <w:r>
        <w:rPr>
          <w:rFonts w:ascii="Arial" w:cs="Arial" w:eastAsia="Arial" w:hAnsi="Arial"/>
          <w:b/>
          <w:bCs/>
          <w:color w:val="C00000"/>
          <w:sz w:val="22"/>
          <w:szCs w:val="22"/>
        </w:rPr>
        <w:t xml:space="preserve">KEY FINDING:  </w:t>
      </w:r>
      <w:r>
        <w:rPr>
          <w:rFonts w:ascii="Arial" w:cs="Arial" w:eastAsia="Arial" w:hAnsi="Arial"/>
          <w:sz w:val="22"/>
          <w:szCs w:val="22"/>
        </w:rPr>
        <w:t xml:space="preserve">Kyrgyzstan recorded an incidence rate of 1,960 cases per million in 2025 — the highest of any country globally and nearly 5x worse than Yemen despite being classified in the European WHO region.</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 Dataset Overview &amp; Data Quality</w:t>
      </w:r>
    </w:p>
    <w:p>
      <w:pPr>
        <w:pStyle w:val="Heading2"/>
        <w:spacing w:after="120" w:before="300"/>
      </w:pPr>
      <w:r>
        <w:rPr>
          <w:rFonts w:ascii="Arial" w:cs="Arial" w:eastAsia="Arial" w:hAnsi="Arial"/>
          <w:b/>
          <w:bCs/>
          <w:color w:val="2E75B6"/>
          <w:sz w:val="28"/>
          <w:szCs w:val="28"/>
        </w:rPr>
        <w:t xml:space="preserve">1.1 Dataset Structure</w:t>
      </w:r>
    </w:p>
    <w:p>
      <w:pPr>
        <w:spacing w:after="120"/>
        <w:jc w:val="both"/>
      </w:pPr>
      <w:r>
        <w:rPr>
          <w:rFonts w:ascii="Arial" w:cs="Arial" w:eastAsia="Arial" w:hAnsi="Arial"/>
          <w:sz w:val="22"/>
          <w:szCs w:val="22"/>
        </w:rPr>
        <w:t xml:space="preserve">Two complementary datasets were used in this analysis:</w:t>
      </w:r>
    </w:p>
    <w:p>
      <w:pPr>
        <w:pStyle w:val="ListParagraph"/>
        <w:numPr>
          <w:ilvl w:val="0"/>
          <w:numId w:val="2"/>
        </w:numPr>
        <w:spacing w:after="80"/>
      </w:pPr>
      <w:r>
        <w:rPr>
          <w:rFonts w:ascii="Arial" w:cs="Arial" w:eastAsia="Arial" w:hAnsi="Arial"/>
          <w:sz w:val="22"/>
          <w:szCs w:val="22"/>
        </w:rPr>
        <w:t xml:space="preserve">Annual dataset: 2,382 records at country-year granularity, covering incidence rates, case classifications (lab-confirmed, epi-linked, clinical), population figures, and discarded cases.</w:t>
      </w:r>
    </w:p>
    <w:p>
      <w:pPr>
        <w:pStyle w:val="ListParagraph"/>
        <w:numPr>
          <w:ilvl w:val="0"/>
          <w:numId w:val="2"/>
        </w:numPr>
        <w:spacing w:after="80"/>
      </w:pPr>
      <w:r>
        <w:rPr>
          <w:rFonts w:ascii="Arial" w:cs="Arial" w:eastAsia="Arial" w:hAnsi="Arial"/>
          <w:sz w:val="22"/>
          <w:szCs w:val="22"/>
        </w:rPr>
        <w:t xml:space="preserve">Monthly dataset: Country-month-year granularity enabling seasonality and outbreak detection analysis. Aggregated to annual for cross-validation against the annual dataset.</w:t>
      </w:r>
    </w:p>
    <w:p>
      <w:pPr>
        <w:spacing w:after="100"/>
      </w:pPr>
      <w:r>
        <w:t xml:space="preserve"/>
      </w:r>
    </w:p>
    <w:p>
      <w:pPr>
        <w:spacing w:after="120"/>
        <w:jc w:val="both"/>
      </w:pPr>
      <w:r>
        <w:rPr>
          <w:rFonts w:ascii="Arial" w:cs="Arial" w:eastAsia="Arial" w:hAnsi="Arial"/>
          <w:sz w:val="22"/>
          <w:szCs w:val="22"/>
        </w:rPr>
        <w:t xml:space="preserve">A critical data quality issue was identified during cleaning: the WHO regional codes were inconsistent between datasets (AFRO vs AFR, EURO vs EUR). Joins were performed exclusively on ISO3 + year to avoid mismatches.</w:t>
      </w:r>
    </w:p>
    <w:p>
      <w:pPr>
        <w:spacing w:after="100"/>
      </w:pPr>
      <w:r>
        <w:t xml:space="preserve"/>
      </w:r>
    </w:p>
    <w:p>
      <w:pPr>
        <w:pStyle w:val="Heading2"/>
        <w:spacing w:after="120" w:before="300"/>
      </w:pPr>
      <w:r>
        <w:rPr>
          <w:rFonts w:ascii="Arial" w:cs="Arial" w:eastAsia="Arial" w:hAnsi="Arial"/>
          <w:b/>
          <w:bCs/>
          <w:color w:val="2E75B6"/>
          <w:sz w:val="28"/>
          <w:szCs w:val="28"/>
        </w:rPr>
        <w:t xml:space="preserve">1.2 Surveillance Completeness</w:t>
      </w:r>
    </w:p>
    <w:p>
      <w:pPr>
        <w:spacing w:after="120"/>
        <w:jc w:val="both"/>
      </w:pPr>
      <w:r>
        <w:rPr>
          <w:rFonts w:ascii="Arial" w:cs="Arial" w:eastAsia="Arial" w:hAnsi="Arial"/>
          <w:sz w:val="22"/>
          <w:szCs w:val="22"/>
        </w:rPr>
        <w:t xml:space="preserve">A surveillance_reported flag was created to identify country-years where all seven breakdown columns (lab-confirmed, epi-linked, clinical for both measles and rubella, plus discarded cases) were fully populated.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records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2,382</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Records with complete surveillance breakdown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93.1%</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Countries represented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195</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Years covered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2012–2025</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2025 global reporting coverage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91.3%</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Missing AFR countries in 2025</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 (Angola, Eritrea — neither high-burden)</w:t>
            </w:r>
          </w:p>
        </w:tc>
      </w:tr>
    </w:tbl>
    <w:p>
      <w:pPr>
        <w:spacing w:after="100"/>
      </w:pPr>
      <w:r>
        <w:t xml:space="preserve"/>
      </w:r>
    </w:p>
    <w:p>
      <w:pPr>
        <w:pBdr>
          <w:left w:val="single" w:color="C55A11" w:sz="20" w:space="10"/>
        </w:pBdr>
        <w:spacing w:after="100" w:before="100"/>
        <w:ind w:left="360"/>
      </w:pPr>
      <w:r>
        <w:rPr>
          <w:rFonts w:ascii="Arial" w:cs="Arial" w:eastAsia="Arial" w:hAnsi="Arial"/>
          <w:b/>
          <w:bCs/>
          <w:color w:val="C55A11"/>
          <w:sz w:val="22"/>
          <w:szCs w:val="22"/>
        </w:rPr>
        <w:t xml:space="preserve">DATA NOTE:  </w:t>
      </w:r>
      <w:r>
        <w:rPr>
          <w:rFonts w:ascii="Arial" w:cs="Arial" w:eastAsia="Arial" w:hAnsi="Arial"/>
          <w:sz w:val="22"/>
          <w:szCs w:val="22"/>
        </w:rPr>
        <w:t xml:space="preserve">The 0.46 correlation between total cases and lab-confirmed cases is surprisingly low, indicating that many high-burden countries rely heavily on clinical diagnosis. This is a surveillance quality signal, not just a counting difference.</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2. Global Trends &amp; The 2019 Outbreak</w:t>
      </w:r>
    </w:p>
    <w:p>
      <w:pPr>
        <w:pStyle w:val="Heading2"/>
        <w:spacing w:after="120" w:before="300"/>
      </w:pPr>
      <w:r>
        <w:rPr>
          <w:rFonts w:ascii="Arial" w:cs="Arial" w:eastAsia="Arial" w:hAnsi="Arial"/>
          <w:b/>
          <w:bCs/>
          <w:color w:val="2E75B6"/>
          <w:sz w:val="28"/>
          <w:szCs w:val="28"/>
        </w:rPr>
        <w:t xml:space="preserve">2.1 Overall Case Trajectory</w:t>
      </w:r>
    </w:p>
    <w:p>
      <w:pPr>
        <w:spacing w:after="120"/>
        <w:jc w:val="both"/>
      </w:pPr>
      <w:r>
        <w:rPr>
          <w:rFonts w:ascii="Arial" w:cs="Arial" w:eastAsia="Arial" w:hAnsi="Arial"/>
          <w:sz w:val="22"/>
          <w:szCs w:val="22"/>
        </w:rPr>
        <w:t xml:space="preserve">Global measles cases showed high volatility across the analysis period with two distinct outbreak periods: the 2019 spike and the 2022–2025 resurgence.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Global Cases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Event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2012–2018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Baseline fluctuation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Variable by region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2019</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~555,000 (spike)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Madagascar-led global outbreak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2020–2021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Sharp decline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COVID-19 reporting disruption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2022–2024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Resurgence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Post-COVID vaccination gap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~88,900 (partial)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Geographic shift to EMR/EUR/AMR</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2.2 The 2019 Global Spike: A Madagascar Story</w:t>
      </w:r>
    </w:p>
    <w:p>
      <w:pPr>
        <w:spacing w:after="120"/>
        <w:jc w:val="both"/>
      </w:pPr>
      <w:r>
        <w:rPr>
          <w:rFonts w:ascii="Arial" w:cs="Arial" w:eastAsia="Arial" w:hAnsi="Arial"/>
          <w:sz w:val="22"/>
          <w:szCs w:val="22"/>
        </w:rPr>
        <w:t xml:space="preserve">The 2019 spike represented a total global year-on-year increase of 349,462 cases. Analysis of country-level contributions reveals an extraordinary concentration: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2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Cases 2018</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Cases 2019</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Increase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Global Spike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Madagascar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12,052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213,291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201,239</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57.59%</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Philippines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~2,500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~28,000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25,579</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7.32%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Nigeria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6,836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28,302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21,466</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6.14%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DR Congo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5,492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18,467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12,975</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3.71%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Kazakhstan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~13,250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12,750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3.65%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Brazil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~500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~11,075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10,575</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3.03%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Top 15 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90.37%</w:t>
            </w:r>
          </w:p>
        </w:tc>
      </w:tr>
    </w:tbl>
    <w:p>
      <w:pPr>
        <w:spacing w:after="100"/>
      </w:pPr>
      <w:r>
        <w:t xml:space="preserve"/>
      </w:r>
    </w:p>
    <w:p>
      <w:pPr>
        <w:pBdr>
          <w:left w:val="single" w:color="2E75B6" w:sz="20" w:space="10"/>
        </w:pBdr>
        <w:spacing w:after="100" w:before="100"/>
        <w:ind w:left="360"/>
      </w:pPr>
      <w:r>
        <w:rPr>
          <w:rFonts w:ascii="Arial" w:cs="Arial" w:eastAsia="Arial" w:hAnsi="Arial"/>
          <w:b/>
          <w:bCs/>
          <w:color w:val="2E75B6"/>
          <w:sz w:val="22"/>
          <w:szCs w:val="22"/>
        </w:rPr>
        <w:t xml:space="preserve">INSIGHT:  </w:t>
      </w:r>
      <w:r>
        <w:rPr>
          <w:rFonts w:ascii="Arial" w:cs="Arial" w:eastAsia="Arial" w:hAnsi="Arial"/>
          <w:sz w:val="22"/>
          <w:szCs w:val="22"/>
        </w:rPr>
        <w:t xml:space="preserve">Madagascar alone drove 57.6% of the entire global increase. Removing Madagascar, 2019 would have been a moderate rather than catastrophic outbreak year.</w:t>
      </w:r>
    </w:p>
    <w:p>
      <w:pPr>
        <w:spacing w:after="100"/>
      </w:pPr>
      <w:r>
        <w:t xml:space="preserve"/>
      </w:r>
    </w:p>
    <w:p>
      <w:pPr>
        <w:pStyle w:val="Heading2"/>
        <w:spacing w:after="120" w:before="300"/>
      </w:pPr>
      <w:r>
        <w:rPr>
          <w:rFonts w:ascii="Arial" w:cs="Arial" w:eastAsia="Arial" w:hAnsi="Arial"/>
          <w:b/>
          <w:bCs/>
          <w:color w:val="2E75B6"/>
          <w:sz w:val="28"/>
          <w:szCs w:val="28"/>
        </w:rPr>
        <w:t xml:space="preserve">2.3 Incidence Rate vs Raw Counts: A Critical Distinction</w:t>
      </w:r>
    </w:p>
    <w:p>
      <w:pPr>
        <w:spacing w:after="120"/>
        <w:jc w:val="both"/>
      </w:pPr>
      <w:r>
        <w:rPr>
          <w:rFonts w:ascii="Arial" w:cs="Arial" w:eastAsia="Arial" w:hAnsi="Arial"/>
          <w:sz w:val="22"/>
          <w:szCs w:val="22"/>
        </w:rPr>
        <w:t xml:space="preserve">Raw case counts and incidence rates tell different stories. When corrected for population size, Europe's 2019 contribution becomes more prominent — particularly Kazakhstan (EUR region), which added ~12,750 cases in a population of only 19 million, translating to approximately 670 cases per million.</w:t>
      </w:r>
    </w:p>
    <w:p>
      <w:pPr>
        <w:spacing w:after="120"/>
        <w:jc w:val="both"/>
      </w:pPr>
      <w:r>
        <w:rPr>
          <w:rFonts w:ascii="Arial" w:cs="Arial" w:eastAsia="Arial" w:hAnsi="Arial"/>
          <w:sz w:val="22"/>
          <w:szCs w:val="22"/>
        </w:rPr>
        <w:t xml:space="preserve">This demonstrates that Africa dominated 2019 in absolute terms, while Europe had a more alarming per-capita rate — a distinction that carries different policy implications.</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3. Regional Analysis</w:t>
      </w:r>
    </w:p>
    <w:p>
      <w:pPr>
        <w:pStyle w:val="Heading2"/>
        <w:spacing w:after="120" w:before="300"/>
      </w:pPr>
      <w:r>
        <w:rPr>
          <w:rFonts w:ascii="Arial" w:cs="Arial" w:eastAsia="Arial" w:hAnsi="Arial"/>
          <w:b/>
          <w:bCs/>
          <w:color w:val="2E75B6"/>
          <w:sz w:val="28"/>
          <w:szCs w:val="28"/>
        </w:rPr>
        <w:t xml:space="preserve">3.1 Regional Distribution of Burden</w:t>
      </w:r>
    </w:p>
    <w:p>
      <w:pPr>
        <w:spacing w:after="120"/>
        <w:jc w:val="both"/>
      </w:pPr>
      <w:r>
        <w:rPr>
          <w:rFonts w:ascii="Arial" w:cs="Arial" w:eastAsia="Arial" w:hAnsi="Arial"/>
          <w:sz w:val="22"/>
          <w:szCs w:val="22"/>
        </w:rPr>
        <w:t xml:space="preserve">AFR (Africa) has historically dominated raw case counts, but incidence rate analysis reveals a more nuanced picture. The median incidence rate by region shows that AFR is mid-range when population is accounted for.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Cases (all years)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Share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Driver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EMR (Eastern Mediterranean)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34.95%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Conflict zones: Yemen, Afghanistan, Sudan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AFR (Africa)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Highest raw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21.19%</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Chronic under-vaccination, DRC, Ethiopia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EUR (Europe)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20.88%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Vaccine hesitancy + Central Asia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SEAR (Southeast Asia)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12.22%</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Large populations, mixed coverage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AMR (Americas)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6.01%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Mexico, Canada outbreaks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WPR (Western Pacific)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4.75%</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Relatively well controlled</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3.2 The 2023 Regional Resurgence</w:t>
      </w:r>
    </w:p>
    <w:p>
      <w:pPr>
        <w:spacing w:after="120"/>
        <w:jc w:val="both"/>
      </w:pPr>
      <w:r>
        <w:rPr>
          <w:rFonts w:ascii="Arial" w:cs="Arial" w:eastAsia="Arial" w:hAnsi="Arial"/>
          <w:sz w:val="22"/>
          <w:szCs w:val="22"/>
        </w:rPr>
        <w:t xml:space="preserve">The 2022–2023 resurgence was distributed across regions in a pattern fundamentally different from 2019:</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Increase 2022→2023</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EUR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+60,043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Largest increase — post-COVID vaccination gap + Central Asia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SEAR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+41,340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India, Indonesia recovery from COVID reporting dip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+33,390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Conflict-related immunization disruption beginning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AFR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+8,521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Moderate — broad-based across multiple countries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WPR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+4,351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Modest regional increase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AMR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Only region to improve in 2023</w:t>
            </w:r>
          </w:p>
        </w:tc>
      </w:tr>
    </w:tbl>
    <w:p>
      <w:pPr>
        <w:spacing w:after="100"/>
      </w:pPr>
      <w:r>
        <w:t xml:space="preserve"/>
      </w:r>
    </w:p>
    <w:p>
      <w:pPr>
        <w:pBdr>
          <w:left w:val="single" w:color="C00000" w:sz="20" w:space="10"/>
        </w:pBdr>
        <w:spacing w:after="100" w:before="100"/>
        <w:ind w:left="360"/>
      </w:pPr>
      <w:r>
        <w:rPr>
          <w:rFonts w:ascii="Arial" w:cs="Arial" w:eastAsia="Arial" w:hAnsi="Arial"/>
          <w:b/>
          <w:bCs/>
          <w:color w:val="C00000"/>
          <w:sz w:val="22"/>
          <w:szCs w:val="22"/>
        </w:rPr>
        <w:t xml:space="preserve">KEY CONTRAST:  </w:t>
      </w:r>
      <w:r>
        <w:rPr>
          <w:rFonts w:ascii="Arial" w:cs="Arial" w:eastAsia="Arial" w:hAnsi="Arial"/>
          <w:sz w:val="22"/>
          <w:szCs w:val="22"/>
        </w:rPr>
        <w:t xml:space="preserve">Europe had the largest absolute increase in 2023 — a high-income region with universal vaccination programs. This is a vaccine hesitancy and post-COVID disruption story, not an infrastructure failure.</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4. Africa Deep Dive</w:t>
      </w:r>
    </w:p>
    <w:p>
      <w:pPr>
        <w:pStyle w:val="Heading2"/>
        <w:spacing w:after="120" w:before="300"/>
      </w:pPr>
      <w:r>
        <w:rPr>
          <w:rFonts w:ascii="Arial" w:cs="Arial" w:eastAsia="Arial" w:hAnsi="Arial"/>
          <w:b/>
          <w:bCs/>
          <w:color w:val="2E75B6"/>
          <w:sz w:val="28"/>
          <w:szCs w:val="28"/>
        </w:rPr>
        <w:t xml:space="preserve">4.1 Trend Assessment</w:t>
      </w:r>
    </w:p>
    <w:p>
      <w:pPr>
        <w:spacing w:after="120"/>
        <w:jc w:val="both"/>
      </w:pPr>
      <w:r>
        <w:rPr>
          <w:rFonts w:ascii="Arial" w:cs="Arial" w:eastAsia="Arial" w:hAnsi="Arial"/>
          <w:sz w:val="22"/>
          <w:szCs w:val="22"/>
        </w:rPr>
        <w:t xml:space="preserve">Africa's measles trajectory shows high volatility rather than a clear trend, driven by a rotating cast of high-burden countries rather than systemic regional improvement or deterioration.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1800"/>
        <w:gridCol w:w="39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AFR Cases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YoY Change</w:t>
            </w:r>
          </w:p>
        </w:tc>
        <w:tc>
          <w:tcPr>
            <w:tcW w:type="dxa" w:w="3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Notable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42,167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+69.7%</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Pre-outbreak baseline</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2019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289,766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+587.2%</w:t>
            </w:r>
          </w:p>
        </w:tc>
        <w:tc>
          <w:tcPr>
            <w:tcW w:type="dxa" w:w="3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Madagascar catastrophe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46,747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-83.9%</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COVID reporting disruption</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26,492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-43.3%</w:t>
            </w:r>
          </w:p>
        </w:tc>
        <w:tc>
          <w:tcPr>
            <w:tcW w:type="dxa" w:w="3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Continued low reporting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64,922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+145.1%</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Post-COVID resurgence begins</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73,443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+13.1%</w:t>
            </w:r>
          </w:p>
        </w:tc>
        <w:tc>
          <w:tcPr>
            <w:tcW w:type="dxa" w:w="3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Continued increase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86,127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+17.3%</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Highest non-2019 level</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18,832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-78.1%</w:t>
            </w:r>
          </w:p>
        </w:tc>
        <w:tc>
          <w:tcPr>
            <w:tcW w:type="dxa" w:w="3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Broad-based decline (43/45 countries reporting)</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4.2 The Mean-Median Gap: A Few Countries Drive Everything</w:t>
      </w:r>
    </w:p>
    <w:p>
      <w:pPr>
        <w:spacing w:after="120"/>
        <w:jc w:val="both"/>
      </w:pPr>
      <w:r>
        <w:rPr>
          <w:rFonts w:ascii="Arial" w:cs="Arial" w:eastAsia="Arial" w:hAnsi="Arial"/>
          <w:sz w:val="22"/>
          <w:szCs w:val="22"/>
        </w:rPr>
        <w:t xml:space="preserve">A critical finding from the statistical analysis is the large divergence between mean and median incidence rates in Africa: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 Incidence (per million)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Incidence (per million)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2019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17.84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215.77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12.1x</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2022</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25.99</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72.02</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2.8x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2023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22.88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73.52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3.2x</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2024</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24.42</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64.28</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2.6x</w:t>
            </w:r>
          </w:p>
        </w:tc>
      </w:tr>
    </w:tbl>
    <w:p>
      <w:pPr>
        <w:spacing w:after="100"/>
      </w:pPr>
      <w:r>
        <w:t xml:space="preserve"/>
      </w:r>
    </w:p>
    <w:p>
      <w:pPr>
        <w:spacing w:after="120"/>
        <w:jc w:val="both"/>
      </w:pPr>
      <w:r>
        <w:rPr>
          <w:rFonts w:ascii="Arial" w:cs="Arial" w:eastAsia="Arial" w:hAnsi="Arial"/>
          <w:sz w:val="22"/>
          <w:szCs w:val="22"/>
        </w:rPr>
        <w:t xml:space="preserve">This pattern means most African countries are performing reasonably well — a small number of high-burden countries (DRC, Ethiopia, Cameroon, CAR) account for the bulk of continental cases.</w:t>
      </w:r>
    </w:p>
    <w:p>
      <w:pPr>
        <w:spacing w:after="100"/>
      </w:pPr>
      <w:r>
        <w:t xml:space="preserve"/>
      </w:r>
    </w:p>
    <w:p>
      <w:pPr>
        <w:pStyle w:val="Heading2"/>
        <w:spacing w:after="120" w:before="300"/>
      </w:pPr>
      <w:r>
        <w:rPr>
          <w:rFonts w:ascii="Arial" w:cs="Arial" w:eastAsia="Arial" w:hAnsi="Arial"/>
          <w:b/>
          <w:bCs/>
          <w:color w:val="2E75B6"/>
          <w:sz w:val="28"/>
          <w:szCs w:val="28"/>
        </w:rPr>
        <w:t xml:space="preserve">4.3 Recurring Outbreak Countries</w:t>
      </w:r>
    </w:p>
    <w:p>
      <w:pPr>
        <w:spacing w:after="120"/>
        <w:jc w:val="both"/>
      </w:pPr>
      <w:r>
        <w:rPr>
          <w:rFonts w:ascii="Arial" w:cs="Arial" w:eastAsia="Arial" w:hAnsi="Arial"/>
          <w:sz w:val="22"/>
          <w:szCs w:val="22"/>
        </w:rPr>
        <w:t xml:space="preserve">Three countries appear in both the 2019 and 2023 top driver lists, indicating persistent endemic transmission rather than isolated outbreaks:</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2019 Spike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2023 Resurgence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DR Congo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(+12,975)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(+6,336)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Never fully recovered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Cameroon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Yes (+2,018)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Yes (+3,114)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Persistent endemic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Central African Republic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(+1,791, +7,463%)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(+1,377, +877%)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Explosive recurring outbreaks</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4.4 The 2025 AFR Decline: Real, Not an Artifact</w:t>
      </w:r>
    </w:p>
    <w:p>
      <w:pPr>
        <w:spacing w:after="120"/>
        <w:jc w:val="both"/>
      </w:pPr>
      <w:r>
        <w:rPr>
          <w:rFonts w:ascii="Arial" w:cs="Arial" w:eastAsia="Arial" w:hAnsi="Arial"/>
          <w:sz w:val="22"/>
          <w:szCs w:val="22"/>
        </w:rPr>
        <w:t xml:space="preserve">A 78% single-year decline in any region warrants scrutiny. Validation confirmed this decline is genuine:</w:t>
      </w:r>
    </w:p>
    <w:p>
      <w:pPr>
        <w:pStyle w:val="ListParagraph"/>
        <w:numPr>
          <w:ilvl w:val="0"/>
          <w:numId w:val="2"/>
        </w:numPr>
        <w:spacing w:after="80"/>
      </w:pPr>
      <w:r>
        <w:rPr>
          <w:rFonts w:ascii="Arial" w:cs="Arial" w:eastAsia="Arial" w:hAnsi="Arial"/>
          <w:sz w:val="22"/>
          <w:szCs w:val="22"/>
        </w:rPr>
        <w:t xml:space="preserve">43 of 45 African countries reported 2025 data (91.3% coverage rate for the region)</w:t>
      </w:r>
    </w:p>
    <w:p>
      <w:pPr>
        <w:pStyle w:val="ListParagraph"/>
        <w:numPr>
          <w:ilvl w:val="0"/>
          <w:numId w:val="2"/>
        </w:numPr>
        <w:spacing w:after="80"/>
      </w:pPr>
      <w:r>
        <w:rPr>
          <w:rFonts w:ascii="Arial" w:cs="Arial" w:eastAsia="Arial" w:hAnsi="Arial"/>
          <w:sz w:val="22"/>
          <w:szCs w:val="22"/>
        </w:rPr>
        <w:t xml:space="preserve">The 2 missing countries (Angola, Eritrea) are not high-burden — their absence cannot explain the 67,295-case gap</w:t>
      </w:r>
    </w:p>
    <w:p>
      <w:pPr>
        <w:pStyle w:val="ListParagraph"/>
        <w:numPr>
          <w:ilvl w:val="0"/>
          <w:numId w:val="2"/>
        </w:numPr>
        <w:spacing w:after="80"/>
      </w:pPr>
      <w:r>
        <w:rPr>
          <w:rFonts w:ascii="Arial" w:cs="Arial" w:eastAsia="Arial" w:hAnsi="Arial"/>
          <w:sz w:val="22"/>
          <w:szCs w:val="22"/>
        </w:rPr>
        <w:t xml:space="preserve">The decline is broad-based: 36 countries declining vs 5 increasing</w:t>
      </w:r>
    </w:p>
    <w:p>
      <w:pPr>
        <w:pStyle w:val="ListParagraph"/>
        <w:numPr>
          <w:ilvl w:val="0"/>
          <w:numId w:val="2"/>
        </w:numPr>
        <w:spacing w:after="80"/>
      </w:pPr>
      <w:r>
        <w:rPr>
          <w:rFonts w:ascii="Arial" w:cs="Arial" w:eastAsia="Arial" w:hAnsi="Arial"/>
          <w:sz w:val="22"/>
          <w:szCs w:val="22"/>
        </w:rPr>
        <w:t xml:space="preserve">Top 5 declining countries (Ethiopia, Nigeria, Cote d'Ivoire, Burkina Faso, Ghana) account for 72.7% of the total drop</w:t>
      </w:r>
    </w:p>
    <w:p>
      <w:pPr>
        <w:spacing w:after="100"/>
      </w:pPr>
      <w:r>
        <w:t xml:space="preserve"/>
      </w:r>
    </w:p>
    <w:p>
      <w:pPr>
        <w:pBdr>
          <w:left w:val="single" w:color="C55A11" w:sz="20" w:space="10"/>
        </w:pBdr>
        <w:spacing w:after="100" w:before="100"/>
        <w:ind w:left="360"/>
      </w:pPr>
      <w:r>
        <w:rPr>
          <w:rFonts w:ascii="Arial" w:cs="Arial" w:eastAsia="Arial" w:hAnsi="Arial"/>
          <w:b/>
          <w:bCs/>
          <w:color w:val="C55A11"/>
          <w:sz w:val="22"/>
          <w:szCs w:val="22"/>
        </w:rPr>
        <w:t xml:space="preserve">CAVEAT:  </w:t>
      </w:r>
      <w:r>
        <w:rPr>
          <w:rFonts w:ascii="Arial" w:cs="Arial" w:eastAsia="Arial" w:hAnsi="Arial"/>
          <w:sz w:val="22"/>
          <w:szCs w:val="22"/>
        </w:rPr>
        <w:t xml:space="preserve">South Africa reported zero cases in 2025 despite confirmed cases via external sources. This suggests some countries submitted blank rows rather than actual data. The decline magnitude may be slightly overstated but the direction is real.</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5. Surveillance Quality Analysis</w:t>
      </w:r>
    </w:p>
    <w:p>
      <w:pPr>
        <w:pStyle w:val="Heading2"/>
        <w:spacing w:after="120" w:before="300"/>
      </w:pPr>
      <w:r>
        <w:rPr>
          <w:rFonts w:ascii="Arial" w:cs="Arial" w:eastAsia="Arial" w:hAnsi="Arial"/>
          <w:b/>
          <w:bCs/>
          <w:color w:val="2E75B6"/>
          <w:sz w:val="28"/>
          <w:szCs w:val="28"/>
        </w:rPr>
        <w:t xml:space="preserve">5.1 Lab Confirmation as a Proxy for System Strength</w:t>
      </w:r>
    </w:p>
    <w:p>
      <w:pPr>
        <w:spacing w:after="120"/>
        <w:jc w:val="both"/>
      </w:pPr>
      <w:r>
        <w:rPr>
          <w:rFonts w:ascii="Arial" w:cs="Arial" w:eastAsia="Arial" w:hAnsi="Arial"/>
          <w:sz w:val="22"/>
          <w:szCs w:val="22"/>
        </w:rPr>
        <w:t xml:space="preserve">The proportion of cases that are laboratory-confirmed (vs clinical diagnosis) serves as the primary surveillance quality metric. A high clinical diagnosis rate indicates weak surveillance — cases are being counted but not verified.</w:t>
      </w:r>
    </w:p>
    <w:p>
      <w:pPr>
        <w:spacing w:after="120"/>
        <w:jc w:val="both"/>
      </w:pPr>
      <w:r>
        <w:rPr>
          <w:rFonts w:ascii="Arial" w:cs="Arial" w:eastAsia="Arial" w:hAnsi="Arial"/>
          <w:sz w:val="22"/>
          <w:szCs w:val="22"/>
        </w:rPr>
        <w:t xml:space="preserve">The overall correlation between total cases and lab-confirmed cases was only 0.46, revealing that many high-burden countries rely heavily on clinical diagnosis. This has two implications: true case counts are uncertain, and outbreak severity may be systematically underestimated in regions with weak lab infrastructure.</w:t>
      </w:r>
    </w:p>
    <w:p>
      <w:pPr>
        <w:spacing w:after="100"/>
      </w:pPr>
      <w:r>
        <w:t xml:space="preserve"/>
      </w:r>
    </w:p>
    <w:p>
      <w:pPr>
        <w:pStyle w:val="Heading2"/>
        <w:spacing w:after="120" w:before="300"/>
      </w:pPr>
      <w:r>
        <w:rPr>
          <w:rFonts w:ascii="Arial" w:cs="Arial" w:eastAsia="Arial" w:hAnsi="Arial"/>
          <w:b/>
          <w:bCs/>
          <w:color w:val="2E75B6"/>
          <w:sz w:val="28"/>
          <w:szCs w:val="28"/>
        </w:rPr>
        <w:t xml:space="preserve">5.2 The Discard Rate Signal</w:t>
      </w:r>
    </w:p>
    <w:p>
      <w:pPr>
        <w:spacing w:after="120"/>
        <w:jc w:val="both"/>
      </w:pPr>
      <w:r>
        <w:rPr>
          <w:rFonts w:ascii="Arial" w:cs="Arial" w:eastAsia="Arial" w:hAnsi="Arial"/>
          <w:sz w:val="22"/>
          <w:szCs w:val="22"/>
        </w:rPr>
        <w:t xml:space="preserve">A high discard rate (suspected cases that were investigated and ruled out) is paradoxically a sign of a strong surveillance system — it means the country is actively investigating and correctly rejecting non-measles cases. Countries with low or zero discard rates may not be doing thorough surveillance.</w:t>
      </w:r>
    </w:p>
    <w:p>
      <w:pPr>
        <w:spacing w:after="100"/>
      </w:pPr>
      <w:r>
        <w:t xml:space="preserve"/>
      </w:r>
    </w:p>
    <w:p>
      <w:pPr>
        <w:pBdr>
          <w:left w:val="single" w:color="2E75B6" w:sz="20" w:space="10"/>
        </w:pBdr>
        <w:spacing w:after="100" w:before="100"/>
        <w:ind w:left="360"/>
      </w:pPr>
      <w:r>
        <w:rPr>
          <w:rFonts w:ascii="Arial" w:cs="Arial" w:eastAsia="Arial" w:hAnsi="Arial"/>
          <w:b/>
          <w:bCs/>
          <w:color w:val="2E75B6"/>
          <w:sz w:val="22"/>
          <w:szCs w:val="22"/>
        </w:rPr>
        <w:t xml:space="preserve">ANALYTICAL NOTE:  </w:t>
      </w:r>
      <w:r>
        <w:rPr>
          <w:rFonts w:ascii="Arial" w:cs="Arial" w:eastAsia="Arial" w:hAnsi="Arial"/>
          <w:sz w:val="22"/>
          <w:szCs w:val="22"/>
        </w:rPr>
        <w:t xml:space="preserve">Null values in discarded_cases mean the country did not report this metric at all — distinct from reporting zero. Countries with null discard rates should be excluded from surveillance quality comparisons.</w:t>
      </w:r>
    </w:p>
    <w:p>
      <w:pPr>
        <w:spacing w:after="100"/>
      </w:pPr>
      <w:r>
        <w:t xml:space="preserve"/>
      </w:r>
    </w:p>
    <w:p>
      <w:pPr>
        <w:pStyle w:val="Heading2"/>
        <w:spacing w:after="120" w:before="300"/>
      </w:pPr>
      <w:r>
        <w:rPr>
          <w:rFonts w:ascii="Arial" w:cs="Arial" w:eastAsia="Arial" w:hAnsi="Arial"/>
          <w:b/>
          <w:bCs/>
          <w:color w:val="2E75B6"/>
          <w:sz w:val="28"/>
          <w:szCs w:val="28"/>
        </w:rPr>
        <w:t xml:space="preserve">5.3 Missingness Patterns</w:t>
      </w:r>
    </w:p>
    <w:p>
      <w:pPr>
        <w:spacing w:after="120"/>
        <w:jc w:val="both"/>
      </w:pPr>
      <w:r>
        <w:rPr>
          <w:rFonts w:ascii="Arial" w:cs="Arial" w:eastAsia="Arial" w:hAnsi="Arial"/>
          <w:sz w:val="22"/>
          <w:szCs w:val="22"/>
        </w:rPr>
        <w:t xml:space="preserve">Missingness in surveillance breakdown columns is not random. Analysis of the missingness heatmap by year reveals:</w:t>
      </w:r>
    </w:p>
    <w:p>
      <w:pPr>
        <w:pStyle w:val="ListParagraph"/>
        <w:numPr>
          <w:ilvl w:val="0"/>
          <w:numId w:val="2"/>
        </w:numPr>
        <w:spacing w:after="80"/>
      </w:pPr>
      <w:r>
        <w:rPr>
          <w:rFonts w:ascii="Arial" w:cs="Arial" w:eastAsia="Arial" w:hAnsi="Arial"/>
          <w:sz w:val="22"/>
          <w:szCs w:val="22"/>
        </w:rPr>
        <w:t xml:space="preserve">Missing data clusters in specific years (particularly 2020–2021) consistent with COVID-19 disrupting reporting systems</w:t>
      </w:r>
    </w:p>
    <w:p>
      <w:pPr>
        <w:pStyle w:val="ListParagraph"/>
        <w:numPr>
          <w:ilvl w:val="0"/>
          <w:numId w:val="2"/>
        </w:numPr>
        <w:spacing w:after="80"/>
      </w:pPr>
      <w:r>
        <w:rPr>
          <w:rFonts w:ascii="Arial" w:cs="Arial" w:eastAsia="Arial" w:hAnsi="Arial"/>
          <w:sz w:val="22"/>
          <w:szCs w:val="22"/>
        </w:rPr>
        <w:t xml:space="preserve">Some countries consistently report totals without breakdowns — a structural surveillance gap</w:t>
      </w:r>
    </w:p>
    <w:p>
      <w:pPr>
        <w:pStyle w:val="ListParagraph"/>
        <w:numPr>
          <w:ilvl w:val="0"/>
          <w:numId w:val="2"/>
        </w:numPr>
        <w:spacing w:after="80"/>
      </w:pPr>
      <w:r>
        <w:rPr>
          <w:rFonts w:ascii="Arial" w:cs="Arial" w:eastAsia="Arial" w:hAnsi="Arial"/>
          <w:sz w:val="22"/>
          <w:szCs w:val="22"/>
        </w:rPr>
        <w:t xml:space="preserve">Rubella columns have systematically higher missingness than measles columns, reflecting that rubella surveillance was added later in many countries</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6. The 2025 Global Landscape</w:t>
      </w:r>
    </w:p>
    <w:p>
      <w:pPr>
        <w:pStyle w:val="Heading2"/>
        <w:spacing w:after="120" w:before="300"/>
      </w:pPr>
      <w:r>
        <w:rPr>
          <w:rFonts w:ascii="Arial" w:cs="Arial" w:eastAsia="Arial" w:hAnsi="Arial"/>
          <w:b/>
          <w:bCs/>
          <w:color w:val="2E75B6"/>
          <w:sz w:val="28"/>
          <w:szCs w:val="28"/>
        </w:rPr>
        <w:t xml:space="preserve">6.1 Top 20 Countries by Case Burden</w:t>
      </w:r>
    </w:p>
    <w:p>
      <w:pPr>
        <w:spacing w:after="120"/>
        <w:jc w:val="both"/>
      </w:pPr>
      <w:r>
        <w:rPr>
          <w:rFonts w:ascii="Arial" w:cs="Arial" w:eastAsia="Arial" w:hAnsi="Arial"/>
          <w:sz w:val="22"/>
          <w:szCs w:val="22"/>
        </w:rPr>
        <w:t xml:space="preserve">With 91.3% global reporting coverage, 2025 data presents a reliable snapshot of the current measles landscape:</w:t>
      </w:r>
    </w:p>
    <w:p>
      <w:pPr>
        <w:spacing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1200"/>
        <w:gridCol w:w="12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c>
          <w:tcPr>
            <w:tcW w:type="dxa" w:w="1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Yemen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12,791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14.40%</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EMR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India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8,351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9.40%</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SEAR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Pakistan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7,927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8.92%</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EMR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Afghanistan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6,739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7.58%</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EMR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Kyrgyzstan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5,959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6.71%</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EUR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Ethiopia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4,781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5.38%</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AFR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Romania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3,603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4.06%</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EUR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Nigeria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2,504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2.82%</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AFR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Canada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2.47%</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AMR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Russian Federation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1,986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2.24%</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EUR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Mexico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2.17%</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AMR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Indonesia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1,841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2.07%</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SEAR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Niger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2.04%</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AFR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Sudan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1,692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1.90%</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EMR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DR Congo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1.71%</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AFR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Kazakhstan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1,501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1.69%</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EUR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Tajikistan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1.59%</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EUR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Burkina Faso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1,394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1.57%</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AFR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United States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1.31%</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AMR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Cambodia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1,060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1.19%</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WPR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Top 20 total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81.22%</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6.2 Kyrgyzstan: The Most Alarming Finding</w:t>
      </w:r>
    </w:p>
    <w:p>
      <w:pPr>
        <w:spacing w:after="120"/>
        <w:jc w:val="both"/>
      </w:pPr>
      <w:r>
        <w:rPr>
          <w:rFonts w:ascii="Arial" w:cs="Arial" w:eastAsia="Arial" w:hAnsi="Arial"/>
          <w:sz w:val="22"/>
          <w:szCs w:val="22"/>
        </w:rPr>
        <w:t xml:space="preserve">Kyrgyzstan's 5,959 cases in a population of approximately 7 million translates to an incidence rate of 1,960 cases per million — by far the highest of any country in 2025.</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3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Cases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Population (approx)</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Incidence Rate (per million)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Kyrgyzstan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5,959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 million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1,960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Yemen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12,791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~35 million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~365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Afghanistan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6,739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~42 million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~160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Romania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3,603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~19 million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~190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Canada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2,197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 million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~55</w:t>
            </w:r>
          </w:p>
        </w:tc>
      </w:tr>
    </w:tbl>
    <w:p>
      <w:pPr>
        <w:spacing w:after="100"/>
      </w:pPr>
      <w:r>
        <w:t xml:space="preserve"/>
      </w:r>
    </w:p>
    <w:p>
      <w:pPr>
        <w:pBdr>
          <w:left w:val="single" w:color="C00000" w:sz="20" w:space="10"/>
        </w:pBdr>
        <w:spacing w:after="100" w:before="100"/>
        <w:ind w:left="360"/>
      </w:pPr>
      <w:r>
        <w:rPr>
          <w:rFonts w:ascii="Arial" w:cs="Arial" w:eastAsia="Arial" w:hAnsi="Arial"/>
          <w:b/>
          <w:bCs/>
          <w:color w:val="C00000"/>
          <w:sz w:val="22"/>
          <w:szCs w:val="22"/>
        </w:rPr>
        <w:t xml:space="preserve">CRITICAL FINDING:  </w:t>
      </w:r>
      <w:r>
        <w:rPr>
          <w:rFonts w:ascii="Arial" w:cs="Arial" w:eastAsia="Arial" w:hAnsi="Arial"/>
          <w:sz w:val="22"/>
          <w:szCs w:val="22"/>
        </w:rPr>
        <w:t xml:space="preserve">Kyrgyzstan's incidence rate of 1,960 per million is nearly 5x worse than Yemen (a country in active conflict) and 2,000x above the WHO threshold of 1 per million that defines endemic transmission. This is the most underreported public health story in this dataset.</w:t>
      </w:r>
    </w:p>
    <w:p>
      <w:pPr>
        <w:spacing w:after="100"/>
      </w:pPr>
      <w:r>
        <w:t xml:space="preserve"/>
      </w:r>
    </w:p>
    <w:p>
      <w:pPr>
        <w:pStyle w:val="Heading2"/>
        <w:spacing w:after="120" w:before="300"/>
      </w:pPr>
      <w:r>
        <w:rPr>
          <w:rFonts w:ascii="Arial" w:cs="Arial" w:eastAsia="Arial" w:hAnsi="Arial"/>
          <w:b/>
          <w:bCs/>
          <w:color w:val="2E75B6"/>
          <w:sz w:val="28"/>
          <w:szCs w:val="28"/>
        </w:rPr>
        <w:t xml:space="preserve">6.3 The High-Income Country Problem</w:t>
      </w:r>
    </w:p>
    <w:p>
      <w:pPr>
        <w:spacing w:after="120"/>
        <w:jc w:val="both"/>
      </w:pPr>
      <w:r>
        <w:rPr>
          <w:rFonts w:ascii="Arial" w:cs="Arial" w:eastAsia="Arial" w:hAnsi="Arial"/>
          <w:sz w:val="22"/>
          <w:szCs w:val="22"/>
        </w:rPr>
        <w:t xml:space="preserve">Four wealthy countries with universal vaccination programs account for a significant share of 2025 global cases: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Cases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Romania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3,603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Persistent vaccine hesitancy clusters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Canada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2,197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2.47%</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Specific unvaccinated communities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Russian Federation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1,986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2.24%</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Declining vaccination rates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United States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1,166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1.31%</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Vaccine hesitancy outbreaks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Combined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8,952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More than DRC + Nigeria + Burkina Faso combined</w:t>
            </w:r>
          </w:p>
        </w:tc>
      </w:tr>
    </w:tbl>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7. Outbreak Watch List</w:t>
      </w:r>
    </w:p>
    <w:p>
      <w:pPr>
        <w:pStyle w:val="Heading2"/>
        <w:spacing w:after="120" w:before="300"/>
      </w:pPr>
      <w:r>
        <w:rPr>
          <w:rFonts w:ascii="Arial" w:cs="Arial" w:eastAsia="Arial" w:hAnsi="Arial"/>
          <w:b/>
          <w:bCs/>
          <w:color w:val="2E75B6"/>
          <w:sz w:val="28"/>
          <w:szCs w:val="28"/>
        </w:rPr>
        <w:t xml:space="preserve">7.1 Methodology</w:t>
      </w:r>
    </w:p>
    <w:p>
      <w:pPr>
        <w:spacing w:after="120"/>
        <w:jc w:val="both"/>
      </w:pPr>
      <w:r>
        <w:rPr>
          <w:rFonts w:ascii="Arial" w:cs="Arial" w:eastAsia="Arial" w:hAnsi="Arial"/>
          <w:sz w:val="22"/>
          <w:szCs w:val="22"/>
        </w:rPr>
        <w:t xml:space="preserve">Countries flagged as watch-list candidates met two criteria: a year-on-year increase exceeding 500% AND fewer than 5,000 total cases. This combination identifies countries in early-stage outbreak trajectories before they reach catastrophic scale — analogous to Madagascar's trajectory from 12,052 cases in 2018 to 213,291 in 2019.</w:t>
      </w:r>
    </w:p>
    <w:p>
      <w:pPr>
        <w:spacing w:after="100"/>
      </w:pPr>
      <w:r>
        <w:t xml:space="preserve"/>
      </w:r>
    </w:p>
    <w:p>
      <w:pPr>
        <w:pStyle w:val="Heading2"/>
        <w:spacing w:after="120" w:before="300"/>
      </w:pPr>
      <w:r>
        <w:rPr>
          <w:rFonts w:ascii="Arial" w:cs="Arial" w:eastAsia="Arial" w:hAnsi="Arial"/>
          <w:b/>
          <w:bCs/>
          <w:color w:val="2E75B6"/>
          <w:sz w:val="28"/>
          <w:szCs w:val="28"/>
        </w:rPr>
        <w:t xml:space="preserve">7.2 2024→2025 Global Watch List</w:t>
      </w:r>
    </w:p>
    <w:p>
      <w:pPr>
        <w:spacing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7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 Cases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Cases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Increase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Tajikistan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Real outbreak</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Post-Soviet infra. weakness + proximity to Afghanistan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Mexico</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1,926</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27,414%</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 — Real outbreak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Large population, last major outbreak 1990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Canada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2,197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1,405%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Real outbreak</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Vaccine hesitancy clusters confirmed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Mongolia</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382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3,083%</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2 — Monitor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Significant rate increase, mid-range absolute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Lao PDR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 Monitor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Small but rapid growth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Belize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Inf%</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 — Noise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Single-digit cases, likely imported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Bhutan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 — Noise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Single-digit cases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Costa Rica</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Inf%</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 — Noise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Single case, not actionable</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7.3 Africa Watch List 2024→2025</w:t>
      </w:r>
    </w:p>
    <w:p>
      <w:pPr>
        <w:spacing w:after="120"/>
        <w:jc w:val="both"/>
      </w:pPr>
      <w:r>
        <w:rPr>
          <w:rFonts w:ascii="Arial" w:cs="Arial" w:eastAsia="Arial" w:hAnsi="Arial"/>
          <w:sz w:val="22"/>
          <w:szCs w:val="22"/>
        </w:rPr>
        <w:t xml:space="preserve">Zero African countries met the watch-list criteria for 2024→2025. This is itself a significant finding — Africa, historically the region generating the most outbreak alerts, had no new explosive emergences in this period.</w:t>
      </w:r>
    </w:p>
    <w:p>
      <w:pPr>
        <w:spacing w:after="120"/>
        <w:jc w:val="both"/>
      </w:pPr>
      <w:r>
        <w:rPr>
          <w:rFonts w:ascii="Arial" w:cs="Arial" w:eastAsia="Arial" w:hAnsi="Arial"/>
          <w:sz w:val="22"/>
          <w:szCs w:val="22"/>
        </w:rPr>
        <w:t xml:space="preserve">Two interpretations are possible: (1) genuine broad-based improvement, or (2) high-burden countries already have elevated baseline cases and cannot generate &gt;500% increases from near-zero. The broad-based decline data (36 of 45 countries declining) supports interpretation (1) but the question warrants ongoing monitoring.</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8. The Four Failure Modes of 2025</w:t>
      </w:r>
    </w:p>
    <w:p>
      <w:pPr>
        <w:spacing w:after="120"/>
        <w:jc w:val="both"/>
      </w:pPr>
      <w:r>
        <w:rPr>
          <w:rFonts w:ascii="Arial" w:cs="Arial" w:eastAsia="Arial" w:hAnsi="Arial"/>
          <w:sz w:val="22"/>
          <w:szCs w:val="22"/>
        </w:rPr>
        <w:t xml:space="preserve">The 2025 measles landscape cannot be described by a single narrative. Four structurally distinct failure modes are operating simultaneously, each requiring different interventions:</w:t>
      </w:r>
    </w:p>
    <w:p>
      <w:pPr>
        <w:spacing w:after="100"/>
      </w:pPr>
      <w:r>
        <w:t xml:space="preserve"/>
      </w:r>
    </w:p>
    <w:p>
      <w:pPr>
        <w:pStyle w:val="Heading2"/>
        <w:spacing w:after="120" w:before="300"/>
      </w:pPr>
      <w:r>
        <w:rPr>
          <w:rFonts w:ascii="Arial" w:cs="Arial" w:eastAsia="Arial" w:hAnsi="Arial"/>
          <w:b/>
          <w:bCs/>
          <w:color w:val="2E75B6"/>
          <w:sz w:val="28"/>
          <w:szCs w:val="28"/>
        </w:rPr>
        <w:t xml:space="preserve">Failure Mode 1: Conflict Disruption</w:t>
      </w:r>
    </w:p>
    <w:p>
      <w:pPr>
        <w:spacing w:after="120"/>
        <w:jc w:val="both"/>
      </w:pPr>
      <w:r>
        <w:rPr>
          <w:rFonts w:ascii="Arial" w:cs="Arial" w:eastAsia="Arial" w:hAnsi="Arial"/>
          <w:sz w:val="22"/>
          <w:szCs w:val="22"/>
        </w:rPr>
        <w:t xml:space="preserve">Yemen (14.4% of global cases), Afghanistan (7.6%), and Sudan (1.9%) represent countries where health infrastructure has been destroyed or severely disrupted by armed conflict. Vaccination campaigns cannot reach populations, cold chains are broken, and surveillance itself is compromised.</w:t>
      </w:r>
    </w:p>
    <w:p>
      <w:pPr>
        <w:pBdr>
          <w:left w:val="single" w:color="C00000" w:sz="20" w:space="10"/>
        </w:pBdr>
        <w:spacing w:after="100" w:before="100"/>
        <w:ind w:left="360"/>
      </w:pPr>
      <w:r>
        <w:rPr>
          <w:rFonts w:ascii="Arial" w:cs="Arial" w:eastAsia="Arial" w:hAnsi="Arial"/>
          <w:b/>
          <w:bCs/>
          <w:color w:val="C00000"/>
          <w:sz w:val="22"/>
          <w:szCs w:val="22"/>
        </w:rPr>
        <w:t xml:space="preserve">Countries:  </w:t>
      </w:r>
      <w:r>
        <w:rPr>
          <w:rFonts w:ascii="Arial" w:cs="Arial" w:eastAsia="Arial" w:hAnsi="Arial"/>
          <w:sz w:val="22"/>
          <w:szCs w:val="22"/>
        </w:rPr>
        <w:t xml:space="preserve">Yemen, Afghanistan, Sudan, parts of EMR</w:t>
      </w:r>
    </w:p>
    <w:p>
      <w:pPr>
        <w:spacing w:after="100"/>
      </w:pPr>
      <w:r>
        <w:t xml:space="preserve"/>
      </w:r>
    </w:p>
    <w:p>
      <w:pPr>
        <w:pStyle w:val="Heading2"/>
        <w:spacing w:after="120" w:before="300"/>
      </w:pPr>
      <w:r>
        <w:rPr>
          <w:rFonts w:ascii="Arial" w:cs="Arial" w:eastAsia="Arial" w:hAnsi="Arial"/>
          <w:b/>
          <w:bCs/>
          <w:color w:val="2E75B6"/>
          <w:sz w:val="28"/>
          <w:szCs w:val="28"/>
        </w:rPr>
        <w:t xml:space="preserve">Failure Mode 2: Chronic Fragility</w:t>
      </w:r>
    </w:p>
    <w:p>
      <w:pPr>
        <w:spacing w:after="120"/>
        <w:jc w:val="both"/>
      </w:pPr>
      <w:r>
        <w:rPr>
          <w:rFonts w:ascii="Arial" w:cs="Arial" w:eastAsia="Arial" w:hAnsi="Arial"/>
          <w:sz w:val="22"/>
          <w:szCs w:val="22"/>
        </w:rPr>
        <w:t xml:space="preserve">India (9.4%), Pakistan (8.9%), Ethiopia (5.4%), Nigeria (2.8%), and DRC (1.7%) represent large-population countries with persistent gaps in routine immunization coverage. These are not acute crises but chronic failures of vaccination system reach, particularly in rural and underserved populations.</w:t>
      </w:r>
    </w:p>
    <w:p>
      <w:pPr>
        <w:pBdr>
          <w:left w:val="single" w:color="C55A11" w:sz="20" w:space="10"/>
        </w:pBdr>
        <w:spacing w:after="100" w:before="100"/>
        <w:ind w:left="360"/>
      </w:pPr>
      <w:r>
        <w:rPr>
          <w:rFonts w:ascii="Arial" w:cs="Arial" w:eastAsia="Arial" w:hAnsi="Arial"/>
          <w:b/>
          <w:bCs/>
          <w:color w:val="C55A11"/>
          <w:sz w:val="22"/>
          <w:szCs w:val="22"/>
        </w:rPr>
        <w:t xml:space="preserve">Countries:  </w:t>
      </w:r>
      <w:r>
        <w:rPr>
          <w:rFonts w:ascii="Arial" w:cs="Arial" w:eastAsia="Arial" w:hAnsi="Arial"/>
          <w:sz w:val="22"/>
          <w:szCs w:val="22"/>
        </w:rPr>
        <w:t xml:space="preserve">India, Pakistan, Ethiopia, Nigeria, DRC, Niger</w:t>
      </w:r>
    </w:p>
    <w:p>
      <w:pPr>
        <w:spacing w:after="100"/>
      </w:pPr>
      <w:r>
        <w:t xml:space="preserve"/>
      </w:r>
    </w:p>
    <w:p>
      <w:pPr>
        <w:pStyle w:val="Heading2"/>
        <w:spacing w:after="120" w:before="300"/>
      </w:pPr>
      <w:r>
        <w:rPr>
          <w:rFonts w:ascii="Arial" w:cs="Arial" w:eastAsia="Arial" w:hAnsi="Arial"/>
          <w:b/>
          <w:bCs/>
          <w:color w:val="2E75B6"/>
          <w:sz w:val="28"/>
          <w:szCs w:val="28"/>
        </w:rPr>
        <w:t xml:space="preserve">Failure Mode 3: Vaccine Hesitancy</w:t>
      </w:r>
    </w:p>
    <w:p>
      <w:pPr>
        <w:spacing w:after="120"/>
        <w:jc w:val="both"/>
      </w:pPr>
      <w:r>
        <w:rPr>
          <w:rFonts w:ascii="Arial" w:cs="Arial" w:eastAsia="Arial" w:hAnsi="Arial"/>
          <w:sz w:val="22"/>
          <w:szCs w:val="22"/>
        </w:rPr>
        <w:t xml:space="preserve">Romania (4.1%), Canada (2.5%), Russia (2.2%), and the United States (1.3%) are high-income countries with functioning health systems where measles cases should be near zero. These outbreaks reflect a failure of public trust and vaccine acceptance, not infrastructure or access.</w:t>
      </w:r>
    </w:p>
    <w:p>
      <w:pPr>
        <w:pBdr>
          <w:left w:val="single" w:color="2E75B6" w:sz="20" w:space="10"/>
        </w:pBdr>
        <w:spacing w:after="100" w:before="100"/>
        <w:ind w:left="360"/>
      </w:pPr>
      <w:r>
        <w:rPr>
          <w:rFonts w:ascii="Arial" w:cs="Arial" w:eastAsia="Arial" w:hAnsi="Arial"/>
          <w:b/>
          <w:bCs/>
          <w:color w:val="2E75B6"/>
          <w:sz w:val="22"/>
          <w:szCs w:val="22"/>
        </w:rPr>
        <w:t xml:space="preserve">Countries:  </w:t>
      </w:r>
      <w:r>
        <w:rPr>
          <w:rFonts w:ascii="Arial" w:cs="Arial" w:eastAsia="Arial" w:hAnsi="Arial"/>
          <w:sz w:val="22"/>
          <w:szCs w:val="22"/>
        </w:rPr>
        <w:t xml:space="preserve">Romania, Canada, Russia, USA</w:t>
      </w:r>
    </w:p>
    <w:p>
      <w:pPr>
        <w:spacing w:after="100"/>
      </w:pPr>
      <w:r>
        <w:t xml:space="preserve"/>
      </w:r>
    </w:p>
    <w:p>
      <w:pPr>
        <w:pStyle w:val="Heading2"/>
        <w:spacing w:after="120" w:before="300"/>
      </w:pPr>
      <w:r>
        <w:rPr>
          <w:rFonts w:ascii="Arial" w:cs="Arial" w:eastAsia="Arial" w:hAnsi="Arial"/>
          <w:b/>
          <w:bCs/>
          <w:color w:val="2E75B6"/>
          <w:sz w:val="28"/>
          <w:szCs w:val="28"/>
        </w:rPr>
        <w:t xml:space="preserve">Failure Mode 4: Post-Soviet Infrastructure Collapse</w:t>
      </w:r>
    </w:p>
    <w:p>
      <w:pPr>
        <w:spacing w:after="120"/>
        <w:jc w:val="both"/>
      </w:pPr>
      <w:r>
        <w:rPr>
          <w:rFonts w:ascii="Arial" w:cs="Arial" w:eastAsia="Arial" w:hAnsi="Arial"/>
          <w:sz w:val="22"/>
          <w:szCs w:val="22"/>
        </w:rPr>
        <w:t xml:space="preserve">Kyrgyzstan (1,960 per million — highest globally), Tajikistan (1,416 cases from zero), and Kazakhstan represent a distinct pattern: countries that inherited Soviet-era vaccination systems which have degraded over 30+ years of post-independence underinvestment. These countries nominally have vaccination programs but coverage has quietly collapsed.</w:t>
      </w:r>
    </w:p>
    <w:p>
      <w:pPr>
        <w:pBdr>
          <w:left w:val="single" w:color="375623" w:sz="20" w:space="10"/>
        </w:pBdr>
        <w:spacing w:after="100" w:before="100"/>
        <w:ind w:left="360"/>
      </w:pPr>
      <w:r>
        <w:rPr>
          <w:rFonts w:ascii="Arial" w:cs="Arial" w:eastAsia="Arial" w:hAnsi="Arial"/>
          <w:b/>
          <w:bCs/>
          <w:color w:val="375623"/>
          <w:sz w:val="22"/>
          <w:szCs w:val="22"/>
        </w:rPr>
        <w:t xml:space="preserve">Countries:  </w:t>
      </w:r>
      <w:r>
        <w:rPr>
          <w:rFonts w:ascii="Arial" w:cs="Arial" w:eastAsia="Arial" w:hAnsi="Arial"/>
          <w:sz w:val="22"/>
          <w:szCs w:val="22"/>
        </w:rPr>
        <w:t xml:space="preserve">Kyrgyzstan, Tajikistan, Kazakhstan (all classified as EUR in WHO data)</w:t>
      </w:r>
    </w:p>
    <w:p>
      <w:pPr>
        <w:spacing w:after="1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9. Conclusions</w:t>
      </w:r>
    </w:p>
    <w:p>
      <w:pPr>
        <w:pStyle w:val="Heading2"/>
        <w:spacing w:after="120" w:before="300"/>
      </w:pPr>
      <w:r>
        <w:rPr>
          <w:rFonts w:ascii="Arial" w:cs="Arial" w:eastAsia="Arial" w:hAnsi="Arial"/>
          <w:b/>
          <w:bCs/>
          <w:color w:val="2E75B6"/>
          <w:sz w:val="28"/>
          <w:szCs w:val="28"/>
        </w:rPr>
        <w:t xml:space="preserve">9.1 Key Findings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2019 outbreak was a single-country crisis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Madagascar = 57.6% of global spike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Targeted response to one country could have dramatically reduced global burden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2023–2025 resurgence is structurally different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EUR led 2023 increase at +60K</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Multi-region simultaneous failure requires global coordination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AFR declining in 2025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Broad-based across 36/45 countries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First encouraging signal in the dataset but requires sustained monitoring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EMR is the new epicenter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34.95% of 2025 global cases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Conflict-zone vaccination requires humanitarian-public health 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Kyrgyzstan is the most underreported crisis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1,960 per million — highest globally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Post-Soviet region requires dedicated attention beyond EUR averages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sz w:val="20"/>
                <w:szCs w:val="20"/>
              </w:rPr>
              <w:t xml:space="preserve">High-income hesitancy is ~10% of global burden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Romania + Canada + Russia + USA combined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20"/>
                <w:szCs w:val="20"/>
              </w:rPr>
              <w:t xml:space="preserve">Trust and communication failures in wealthy nations are now globally significant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Surveillance quality varies widely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0.46 correlation total vs lab-confirmed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Case counts in low-income regions should be treated as underestimates</w:t>
            </w:r>
          </w:p>
        </w:tc>
      </w:tr>
    </w:tbl>
    <w:p>
      <w:pPr>
        <w:spacing w:after="100"/>
      </w:pPr>
      <w:r>
        <w:t xml:space="preserve"/>
      </w:r>
    </w:p>
    <w:p>
      <w:pPr>
        <w:pStyle w:val="Heading2"/>
        <w:spacing w:after="120" w:before="300"/>
      </w:pPr>
      <w:r>
        <w:rPr>
          <w:rFonts w:ascii="Arial" w:cs="Arial" w:eastAsia="Arial" w:hAnsi="Arial"/>
          <w:b/>
          <w:bCs/>
          <w:color w:val="2E75B6"/>
          <w:sz w:val="28"/>
          <w:szCs w:val="28"/>
        </w:rPr>
        <w:t xml:space="preserve">9.2 Analytical Caveats</w:t>
      </w:r>
    </w:p>
    <w:p>
      <w:pPr>
        <w:pStyle w:val="ListParagraph"/>
        <w:numPr>
          <w:ilvl w:val="0"/>
          <w:numId w:val="2"/>
        </w:numPr>
        <w:spacing w:after="80"/>
      </w:pPr>
      <w:r>
        <w:rPr>
          <w:rFonts w:ascii="Arial" w:cs="Arial" w:eastAsia="Arial" w:hAnsi="Arial"/>
          <w:sz w:val="22"/>
          <w:szCs w:val="22"/>
        </w:rPr>
        <w:t xml:space="preserve">South Africa reported zero 2025 cases despite confirmed external reports — some country submissions appear to be blank placeholders rather than confirmed zero counts.</w:t>
      </w:r>
    </w:p>
    <w:p>
      <w:pPr>
        <w:pStyle w:val="ListParagraph"/>
        <w:numPr>
          <w:ilvl w:val="0"/>
          <w:numId w:val="2"/>
        </w:numPr>
        <w:spacing w:after="80"/>
      </w:pPr>
      <w:r>
        <w:rPr>
          <w:rFonts w:ascii="Arial" w:cs="Arial" w:eastAsia="Arial" w:hAnsi="Arial"/>
          <w:sz w:val="22"/>
          <w:szCs w:val="22"/>
        </w:rPr>
        <w:t xml:space="preserve">The 0.46 correlation between total and lab-confirmed cases means that cross-country comparisons of raw case counts carry systematic uncertainty in regions with weaker lab infrastructure.</w:t>
      </w:r>
    </w:p>
    <w:p>
      <w:pPr>
        <w:pStyle w:val="ListParagraph"/>
        <w:numPr>
          <w:ilvl w:val="0"/>
          <w:numId w:val="2"/>
        </w:numPr>
        <w:spacing w:after="80"/>
      </w:pPr>
      <w:r>
        <w:rPr>
          <w:rFonts w:ascii="Arial" w:cs="Arial" w:eastAsia="Arial" w:hAnsi="Arial"/>
          <w:sz w:val="22"/>
          <w:szCs w:val="22"/>
        </w:rPr>
        <w:t xml:space="preserve">2025 data, while 91.3% complete globally, may have regional variation in reporting timeliness — AFR completeness should be verified at the country level for high-burden nations.</w:t>
      </w:r>
    </w:p>
    <w:p>
      <w:pPr>
        <w:pStyle w:val="ListParagraph"/>
        <w:numPr>
          <w:ilvl w:val="0"/>
          <w:numId w:val="2"/>
        </w:numPr>
        <w:spacing w:after="80"/>
      </w:pPr>
      <w:r>
        <w:rPr>
          <w:rFonts w:ascii="Arial" w:cs="Arial" w:eastAsia="Arial" w:hAnsi="Arial"/>
          <w:sz w:val="22"/>
          <w:szCs w:val="22"/>
        </w:rPr>
        <w:t xml:space="preserve">Rubella analysis is limited by higher missingness rates in the monthly dataset, particularly for early years and months within a year when rubella surveillance was not yet established.</w:t>
      </w:r>
    </w:p>
    <w:p>
      <w:pPr>
        <w:spacing w:after="100"/>
      </w:pPr>
      <w:r>
        <w:t xml:space="preserve"/>
      </w:r>
    </w:p>
    <w:p>
      <w:pPr>
        <w:pStyle w:val="Heading2"/>
        <w:spacing w:after="120" w:before="300"/>
      </w:pPr>
      <w:r>
        <w:rPr>
          <w:rFonts w:ascii="Arial" w:cs="Arial" w:eastAsia="Arial" w:hAnsi="Arial"/>
          <w:b/>
          <w:bCs/>
          <w:color w:val="2E75B6"/>
          <w:sz w:val="28"/>
          <w:szCs w:val="28"/>
        </w:rPr>
        <w:t xml:space="preserve">9.3 Suggested Next Steps</w:t>
      </w:r>
    </w:p>
    <w:p>
      <w:pPr>
        <w:pStyle w:val="ListParagraph"/>
        <w:numPr>
          <w:ilvl w:val="0"/>
          <w:numId w:val="3"/>
        </w:numPr>
        <w:spacing w:after="80"/>
      </w:pPr>
      <w:r>
        <w:rPr>
          <w:rFonts w:ascii="Arial" w:cs="Arial" w:eastAsia="Arial" w:hAnsi="Arial"/>
          <w:sz w:val="22"/>
          <w:szCs w:val="22"/>
        </w:rPr>
        <w:t xml:space="preserve">Cross-reference with WHO vaccination coverage data (MCV1/MCV2) to test whether incidence rate correlates with coverage gaps — particularly for Kyrgyzstan and the post-Soviet cluster.</w:t>
      </w:r>
    </w:p>
    <w:p>
      <w:pPr>
        <w:pStyle w:val="ListParagraph"/>
        <w:numPr>
          <w:ilvl w:val="0"/>
          <w:numId w:val="3"/>
        </w:numPr>
        <w:spacing w:after="80"/>
      </w:pPr>
      <w:r>
        <w:rPr>
          <w:rFonts w:ascii="Arial" w:cs="Arial" w:eastAsia="Arial" w:hAnsi="Arial"/>
          <w:sz w:val="22"/>
          <w:szCs w:val="22"/>
        </w:rPr>
        <w:t xml:space="preserve">Investigate the South Africa zero-reporting anomaly and develop a systematic method for distinguishing 'confirmed zero' from 'did not report' in the dataset.</w:t>
      </w:r>
    </w:p>
    <w:p>
      <w:pPr>
        <w:pStyle w:val="ListParagraph"/>
        <w:numPr>
          <w:ilvl w:val="0"/>
          <w:numId w:val="3"/>
        </w:numPr>
        <w:spacing w:after="80"/>
      </w:pPr>
      <w:r>
        <w:rPr>
          <w:rFonts w:ascii="Arial" w:cs="Arial" w:eastAsia="Arial" w:hAnsi="Arial"/>
          <w:sz w:val="22"/>
          <w:szCs w:val="22"/>
        </w:rPr>
        <w:t xml:space="preserve">Apply the watch-list methodology retrospectively to 2017–2018 data to test whether Madagascar would have been flagged before its 2019 explosion.</w:t>
      </w:r>
    </w:p>
    <w:p>
      <w:pPr>
        <w:pStyle w:val="ListParagraph"/>
        <w:numPr>
          <w:ilvl w:val="0"/>
          <w:numId w:val="3"/>
        </w:numPr>
        <w:spacing w:after="80"/>
      </w:pPr>
      <w:r>
        <w:rPr>
          <w:rFonts w:ascii="Arial" w:cs="Arial" w:eastAsia="Arial" w:hAnsi="Arial"/>
          <w:sz w:val="22"/>
          <w:szCs w:val="22"/>
        </w:rPr>
        <w:t xml:space="preserve">Extend the monthly dataset analysis to examine seasonality patterns within EMR conflict zones — outbreak peaks may correlate with displacement events.</w:t>
      </w:r>
    </w:p>
    <w:p>
      <w:pPr>
        <w:spacing w:after="100"/>
      </w:pPr>
      <w:r>
        <w:t xml:space="preserve"/>
      </w:r>
    </w:p>
    <w:p>
      <w:pPr>
        <w:spacing w:after="100"/>
      </w:pPr>
      <w:r>
        <w:t xml:space="preserve"/>
      </w:r>
    </w:p>
    <w:p>
      <w:pPr>
        <w:pBdr>
          <w:top w:val="single" w:color="CCCCCC" w:sz="4" w:space="8"/>
        </w:pBdr>
        <w:spacing w:before="200"/>
        <w:jc w:val="center"/>
      </w:pPr>
      <w:r>
        <w:rPr>
          <w:rFonts w:ascii="Arial" w:cs="Arial" w:eastAsia="Arial" w:hAnsi="Arial"/>
          <w:i/>
          <w:iCs/>
          <w:color w:val="888888"/>
          <w:sz w:val="18"/>
          <w:szCs w:val="18"/>
        </w:rPr>
        <w:t xml:space="preserve">Data Source: WHO Global Measles and Rubella Surveillance Data via Tidy Tuesday. Analysis performed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2026-03-26T20:00:10.160Z</dcterms:created>
  <dcterms:modified xsi:type="dcterms:W3CDTF">2026-03-26T20:00:10.161Z</dcterms:modified>
</cp:coreProperties>
</file>

<file path=docProps/custom.xml><?xml version="1.0" encoding="utf-8"?>
<Properties xmlns="http://schemas.openxmlformats.org/officeDocument/2006/custom-properties" xmlns:vt="http://schemas.openxmlformats.org/officeDocument/2006/docPropsVTypes"/>
</file>