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color w:val="595959"/>
          <w:sz w:val="20"/>
          <w:szCs w:val="20"/>
        </w:rPr>
        <w:t xml:space="preserve">COMPLEXE SCOLAIRE LA PROVIDENCE DE DON ORIONE</w:t>
      </w:r>
    </w:p>
    <w:p>
      <w:pPr>
        <w:spacing w:after="200"/>
      </w:pPr>
      <w:r>
        <w:rPr>
          <w:b/>
          <w:bCs/>
          <w:color w:val="7A1F3D"/>
          <w:sz w:val="44"/>
          <w:szCs w:val="44"/>
        </w:rPr>
        <w:t xml:space="preserve">Rapport d'audit technique</w:t>
      </w:r>
    </w:p>
    <w:p>
      <w:pPr>
        <w:spacing w:after="400"/>
      </w:pPr>
      <w:r>
        <w:rPr>
          <w:color w:val="1F1F1F"/>
          <w:sz w:val="28"/>
          <w:szCs w:val="28"/>
        </w:rPr>
        <w:t xml:space="preserve">Module Paiements &amp; Comptabilité — Encaissements scolarité</w:t>
      </w:r>
    </w:p>
    <w:p>
      <w:pPr>
        <w:spacing w:after="140" w:line="288"/>
      </w:pPr>
      <w:r>
        <w:rPr>
          <w:b/>
          <w:bCs/>
          <w:sz w:val="21"/>
          <w:szCs w:val="21"/>
        </w:rPr>
        <w:t xml:space="preserve">Date : </w:t>
      </w:r>
      <w:r>
        <w:rPr>
          <w:sz w:val="21"/>
          <w:szCs w:val="21"/>
        </w:rPr>
        <w:t xml:space="preserve">10 août 2026</w:t>
      </w:r>
    </w:p>
    <w:p>
      <w:pPr>
        <w:spacing w:after="140" w:line="288"/>
      </w:pPr>
      <w:r>
        <w:rPr>
          <w:b/>
          <w:bCs/>
          <w:sz w:val="21"/>
          <w:szCs w:val="21"/>
        </w:rPr>
        <w:t xml:space="preserve">Environnement testé : </w:t>
      </w:r>
      <w:r>
        <w:rPr>
          <w:sz w:val="21"/>
          <w:szCs w:val="21"/>
        </w:rPr>
        <w:t xml:space="preserve">Supabase local (127.0.0.1:54321), copie en lecture des données de production réimportée localement</w:t>
      </w:r>
    </w:p>
    <w:p>
      <w:pPr>
        <w:spacing w:after="140" w:line="288"/>
      </w:pPr>
      <w:r>
        <w:rPr>
          <w:b/>
          <w:bCs/>
          <w:sz w:val="21"/>
          <w:szCs w:val="21"/>
        </w:rPr>
        <w:t xml:space="preserve">Méthode : </w:t>
      </w:r>
      <w:r>
        <w:rPr>
          <w:sz w:val="21"/>
          <w:szCs w:val="21"/>
        </w:rPr>
        <w:t xml:space="preserve">tests fonctionnels en navigateur (Playwright), appels directs aux fonctions RPC PostgreSQL, requêtes SQL de vérification, lecture de code</w:t>
      </w:r>
    </w:p>
    <w:p>
      <w:pPr>
        <w:spacing w:after="140" w:line="288"/>
      </w:pPr>
      <w:r>
        <w:rPr>
          <w:i/>
          <w:iCs/>
          <w:color w:val="595959"/>
          <w:sz w:val="20"/>
          <w:szCs w:val="20"/>
        </w:rPr>
        <w:t xml:space="preserve">Aucune action n'a été exécutée en production. Toutes les données de test créées localement ont été supprimées après vérification.</w:t>
      </w:r>
    </w:p>
    <w:p>
      <w:pPr>
        <w:pageBreakBefore/>
      </w:pPr>
      <w:r>
        <w:t xml:space="preserve"/>
      </w:r>
    </w:p>
    <w:p>
      <w:pPr>
        <w:pStyle w:val="Heading1"/>
        <w:pBdr>
          <w:bottom w:val="single" w:color="7A1F3D" w:sz="6"/>
        </w:pBdr>
        <w:spacing w:after="160" w:before="360"/>
      </w:pPr>
      <w:r>
        <w:rPr>
          <w:b/>
          <w:bCs/>
          <w:color w:val="7A1F3D"/>
          <w:sz w:val="30"/>
          <w:szCs w:val="30"/>
        </w:rPr>
        <w:t xml:space="preserve">1. Résumé exécutif</w:t>
      </w:r>
    </w:p>
    <w:p>
      <w:pPr>
        <w:spacing w:after="140" w:line="288"/>
      </w:pPr>
      <w:r>
        <w:rPr>
          <w:color w:val="1F1F1F"/>
          <w:sz w:val="21"/>
          <w:szCs w:val="21"/>
        </w:rPr>
        <w:t xml:space="preserve">Le module Paiements a été testé fonctionnellement de bout en bout : consultation de la liste des familles, ouverture de fiche élève, encaissement, application d'une remise/bourse, annulation d'un paiement, et vérification croisée systématique des montants affichés contre la base de données PostgreSQL locale.</w:t>
      </w:r>
    </w:p>
    <w:p>
      <w:pPr>
        <w:spacing w:after="140" w:line="288"/>
      </w:pPr>
      <w:r>
        <w:rPr>
          <w:sz w:val="21"/>
          <w:szCs w:val="21"/>
        </w:rPr>
        <w:t xml:space="preserve">Quatre anomalies ont été identifiées, dont une jugée </w:t>
      </w:r>
      <w:r>
        <w:rPr>
          <w:b/>
          <w:bCs/>
          <w:color w:val="B00020"/>
          <w:sz w:val="21"/>
          <w:szCs w:val="21"/>
        </w:rPr>
        <w:t xml:space="preserve">critique</w:t>
      </w:r>
      <w:r>
        <w:rPr>
          <w:sz w:val="21"/>
          <w:szCs w:val="21"/>
        </w:rPr>
        <w:t xml:space="preserve"> car elle touche l'intégrité des données financières de façon silencieuse et cumulative :</w:t>
      </w:r>
    </w:p>
    <w:p>
      <w:pPr>
        <w:pStyle w:val="ListParagraph"/>
        <w:numPr>
          <w:ilvl w:val="0"/>
          <w:numId w:val="2"/>
        </w:numPr>
        <w:spacing w:after="80" w:line="276"/>
      </w:pPr>
      <w:r>
        <w:rPr>
          <w:b/>
          <w:bCs/>
          <w:color w:val="B00020"/>
          <w:sz w:val="21"/>
          <w:szCs w:val="21"/>
        </w:rPr>
        <w:t xml:space="preserve">[CRITIQUE]</w:t>
      </w:r>
      <w:r>
        <w:rPr>
          <w:sz w:val="21"/>
          <w:szCs w:val="21"/>
        </w:rPr>
        <w:t xml:space="preserve">  Après l'annulation d'un encaissement ou d'une remise, le montant "payé" de la tranche concernée n'est pas recalculé — la tranche reste comptée comme payée pour un montant qui a pourtant été annulé.</w:t>
      </w:r>
    </w:p>
    <w:p>
      <w:pPr>
        <w:pStyle w:val="ListParagraph"/>
        <w:numPr>
          <w:ilvl w:val="0"/>
          <w:numId w:val="2"/>
        </w:numPr>
        <w:spacing w:after="80" w:line="276"/>
      </w:pPr>
      <w:r>
        <w:rPr>
          <w:b/>
          <w:bCs/>
          <w:color w:val="B8860B"/>
          <w:sz w:val="21"/>
          <w:szCs w:val="21"/>
        </w:rPr>
        <w:t xml:space="preserve">[MOYEN]</w:t>
      </w:r>
      <w:r>
        <w:rPr>
          <w:sz w:val="21"/>
          <w:szCs w:val="21"/>
        </w:rPr>
        <w:t xml:space="preserve">  Les cartes "Couvert" et "Reste dû" du module excluent les remises/bourses du montant couvert, alors que leur propre sous-texte affiche ces mêmes remises — "Reste dû" est donc surestimé.</w:t>
      </w:r>
    </w:p>
    <w:p>
      <w:pPr>
        <w:pStyle w:val="ListParagraph"/>
        <w:numPr>
          <w:ilvl w:val="0"/>
          <w:numId w:val="2"/>
        </w:numPr>
        <w:spacing w:after="80" w:line="276"/>
      </w:pPr>
      <w:r>
        <w:rPr>
          <w:b/>
          <w:bCs/>
          <w:color w:val="B8860B"/>
          <w:sz w:val="21"/>
          <w:szCs w:val="21"/>
        </w:rPr>
        <w:t xml:space="preserve">[MOYEN]</w:t>
      </w:r>
      <w:r>
        <w:rPr>
          <w:sz w:val="21"/>
          <w:szCs w:val="21"/>
        </w:rPr>
        <w:t xml:space="preserve">  La génération du reçu PDF échoue systématiquement après un encaissement ou une remise ("Bucket not found") — le paiement est bien enregistré, mais le reçu n'est ni stocké ni envoyable.</w:t>
      </w:r>
    </w:p>
    <w:p>
      <w:pPr>
        <w:pStyle w:val="ListParagraph"/>
        <w:numPr>
          <w:ilvl w:val="0"/>
          <w:numId w:val="2"/>
        </w:numPr>
        <w:spacing w:after="80" w:line="276"/>
      </w:pPr>
      <w:r>
        <w:rPr>
          <w:b/>
          <w:bCs/>
          <w:color w:val="555555"/>
          <w:sz w:val="21"/>
          <w:szCs w:val="21"/>
        </w:rPr>
        <w:t xml:space="preserve">[MINEUR]</w:t>
      </w:r>
      <w:r>
        <w:rPr>
          <w:sz w:val="21"/>
          <w:szCs w:val="21"/>
        </w:rPr>
        <w:t xml:space="preserve">  Le bouton "Export" de la liste des encaissements ne déclenche aucune action.</w:t>
      </w:r>
    </w:p>
    <w:p>
      <w:pPr>
        <w:spacing w:after="140" w:line="288"/>
      </w:pPr>
      <w:r>
        <w:rPr>
          <w:color w:val="1F1F1F"/>
          <w:sz w:val="21"/>
          <w:szCs w:val="21"/>
        </w:rPr>
        <w:t xml:space="preserve"/>
      </w:r>
    </w:p>
    <w:p>
      <w:pPr>
        <w:spacing w:after="140" w:line="288"/>
      </w:pPr>
      <w:r>
        <w:rPr>
          <w:color w:val="1F1F1F"/>
          <w:sz w:val="21"/>
          <w:szCs w:val="21"/>
        </w:rPr>
        <w:t xml:space="preserve">En dehors de ces quatre points, le cœur du module fonctionne correctement : les montants agrégés (attendu, encaissé, remises) sont calculés avec exactitude à partir de la table des paiements, les fonctions d'encaissement et de remise ventilent correctement les montants sur les tranches, et les règles de validation des formulaires sont cohérentes.</w:t>
      </w:r>
    </w:p>
    <w:p>
      <w:pPr>
        <w:pStyle w:val="Heading1"/>
        <w:pBdr>
          <w:bottom w:val="single" w:color="7A1F3D" w:sz="6"/>
        </w:pBdr>
        <w:spacing w:after="160" w:before="360"/>
      </w:pPr>
      <w:r>
        <w:rPr>
          <w:b/>
          <w:bCs/>
          <w:color w:val="7A1F3D"/>
          <w:sz w:val="30"/>
          <w:szCs w:val="30"/>
        </w:rPr>
        <w:t xml:space="preserve">2. Périmètre testé</w:t>
      </w:r>
    </w:p>
    <w:p>
      <w:pPr>
        <w:spacing w:after="140" w:line="288"/>
      </w:pPr>
      <w:r>
        <w:rPr>
          <w:color w:val="1F1F1F"/>
          <w:sz w:val="21"/>
          <w:szCs w:val="21"/>
        </w:rPr>
        <w:t xml:space="preserve">Fonctionnalités couvertes :</w:t>
      </w:r>
    </w:p>
    <w:p>
      <w:pPr>
        <w:pStyle w:val="ListParagraph"/>
        <w:numPr>
          <w:ilvl w:val="0"/>
          <w:numId w:val="2"/>
        </w:numPr>
        <w:spacing w:after="80" w:line="276"/>
      </w:pPr>
      <w:r>
        <w:rPr>
          <w:color w:val="1F1F1F"/>
          <w:sz w:val="21"/>
          <w:szCs w:val="21"/>
        </w:rPr>
        <w:t xml:space="preserve">Liste des encaissements (/finances/paiements) : cartes de synthèse, recherche, filtres</w:t>
      </w:r>
    </w:p>
    <w:p>
      <w:pPr>
        <w:pStyle w:val="ListParagraph"/>
        <w:numPr>
          <w:ilvl w:val="0"/>
          <w:numId w:val="2"/>
        </w:numPr>
        <w:spacing w:after="80" w:line="276"/>
      </w:pPr>
      <w:r>
        <w:rPr>
          <w:color w:val="1F1F1F"/>
          <w:sz w:val="21"/>
          <w:szCs w:val="21"/>
        </w:rPr>
        <w:t xml:space="preserve">Fiche élève (StudentDetailDrawer) : détail des tranches, historique des paiements</w:t>
      </w:r>
    </w:p>
    <w:p>
      <w:pPr>
        <w:pStyle w:val="ListParagraph"/>
        <w:numPr>
          <w:ilvl w:val="0"/>
          <w:numId w:val="2"/>
        </w:numPr>
        <w:spacing w:after="80" w:line="276"/>
      </w:pPr>
      <w:r>
        <w:rPr>
          <w:color w:val="1F1F1F"/>
          <w:sz w:val="21"/>
          <w:szCs w:val="21"/>
        </w:rPr>
        <w:t xml:space="preserve">Encaissement d'un paiement (PaymentDialog → RPC solder_scolarite)</w:t>
      </w:r>
    </w:p>
    <w:p>
      <w:pPr>
        <w:pStyle w:val="ListParagraph"/>
        <w:numPr>
          <w:ilvl w:val="0"/>
          <w:numId w:val="2"/>
        </w:numPr>
        <w:spacing w:after="80" w:line="276"/>
      </w:pPr>
      <w:r>
        <w:rPr>
          <w:color w:val="1F1F1F"/>
          <w:sz w:val="21"/>
          <w:szCs w:val="21"/>
        </w:rPr>
        <w:t xml:space="preserve">Application d'une remise / bourse (DiscountDialog → RPC appliquer_remise)</w:t>
      </w:r>
    </w:p>
    <w:p>
      <w:pPr>
        <w:pStyle w:val="ListParagraph"/>
        <w:numPr>
          <w:ilvl w:val="0"/>
          <w:numId w:val="2"/>
        </w:numPr>
        <w:spacing w:after="80" w:line="276"/>
      </w:pPr>
      <w:r>
        <w:rPr>
          <w:color w:val="1F1F1F"/>
          <w:sz w:val="21"/>
          <w:szCs w:val="21"/>
        </w:rPr>
        <w:t xml:space="preserve">Annulation d'un paiement (CancelPaymentDialog → RPC annuler_paiement_scolarite)</w:t>
      </w:r>
    </w:p>
    <w:p>
      <w:pPr>
        <w:pStyle w:val="ListParagraph"/>
        <w:numPr>
          <w:ilvl w:val="0"/>
          <w:numId w:val="2"/>
        </w:numPr>
        <w:spacing w:after="80" w:line="276"/>
      </w:pPr>
      <w:r>
        <w:rPr>
          <w:color w:val="1F1F1F"/>
          <w:sz w:val="21"/>
          <w:szCs w:val="21"/>
        </w:rPr>
        <w:t xml:space="preserve">Bouton Export</w:t>
      </w:r>
    </w:p>
    <w:p>
      <w:pPr>
        <w:pStyle w:val="ListParagraph"/>
        <w:numPr>
          <w:ilvl w:val="0"/>
          <w:numId w:val="2"/>
        </w:numPr>
        <w:spacing w:after="80" w:line="276"/>
      </w:pPr>
      <w:r>
        <w:rPr>
          <w:color w:val="1F1F1F"/>
          <w:sz w:val="21"/>
          <w:szCs w:val="21"/>
        </w:rPr>
        <w:t xml:space="preserve">Pages adjacentes : Impayés &amp; relances, Reçus &amp; quittances, Synthèse par élève</w:t>
      </w:r>
    </w:p>
    <w:p>
      <w:pPr>
        <w:pStyle w:val="ListParagraph"/>
        <w:numPr>
          <w:ilvl w:val="0"/>
          <w:numId w:val="2"/>
        </w:numPr>
        <w:spacing w:after="80" w:line="276"/>
      </w:pPr>
      <w:r>
        <w:rPr>
          <w:color w:val="1F1F1F"/>
          <w:sz w:val="21"/>
          <w:szCs w:val="21"/>
        </w:rPr>
        <w:t xml:space="preserve">Vérification croisée systématique des montants affichés contre la base PostgreSQL locale</w:t>
      </w:r>
    </w:p>
    <w:p>
      <w:pPr>
        <w:spacing w:after="140" w:line="288"/>
      </w:pPr>
      <w:r>
        <w:rPr>
          <w:color w:val="1F1F1F"/>
          <w:sz w:val="21"/>
          <w:szCs w:val="21"/>
        </w:rPr>
        <w:t xml:space="preserve"/>
      </w:r>
    </w:p>
    <w:p>
      <w:pPr>
        <w:spacing w:after="140" w:line="288"/>
      </w:pPr>
      <w:r>
        <w:rPr>
          <w:b/>
          <w:bCs/>
          <w:color w:val="B8860B"/>
          <w:sz w:val="21"/>
          <w:szCs w:val="21"/>
        </w:rPr>
        <w:t xml:space="preserve">NON VÉRIFIÉ</w:t>
      </w:r>
      <w:r>
        <w:rPr>
          <w:sz w:val="21"/>
          <w:szCs w:val="21"/>
        </w:rPr>
        <w:t xml:space="preserve"> — hors périmètre de cet audit ou non testé faute de temps :</w:t>
      </w:r>
    </w:p>
    <w:p>
      <w:pPr>
        <w:pStyle w:val="ListParagraph"/>
        <w:numPr>
          <w:ilvl w:val="0"/>
          <w:numId w:val="2"/>
        </w:numPr>
        <w:spacing w:after="80" w:line="276"/>
      </w:pPr>
      <w:r>
        <w:rPr>
          <w:color w:val="1F1F1F"/>
          <w:sz w:val="21"/>
          <w:szCs w:val="21"/>
        </w:rPr>
        <w:t xml:space="preserve">Modification d'un paiement existant (RPC modifier_paiement)</w:t>
      </w:r>
    </w:p>
    <w:p>
      <w:pPr>
        <w:pStyle w:val="ListParagraph"/>
        <w:numPr>
          <w:ilvl w:val="0"/>
          <w:numId w:val="2"/>
        </w:numPr>
        <w:spacing w:after="80" w:line="276"/>
      </w:pPr>
      <w:r>
        <w:rPr>
          <w:color w:val="1F1F1F"/>
          <w:sz w:val="21"/>
          <w:szCs w:val="21"/>
        </w:rPr>
        <w:t xml:space="preserve">Module Factures / tenues scolaires (sp_paiements, sp_ventes_tenues) — logique de réconciliation distincte, non auditée</w:t>
      </w:r>
    </w:p>
    <w:p>
      <w:pPr>
        <w:pStyle w:val="ListParagraph"/>
        <w:numPr>
          <w:ilvl w:val="0"/>
          <w:numId w:val="2"/>
        </w:numPr>
        <w:spacing w:after="80" w:line="276"/>
      </w:pPr>
      <w:r>
        <w:rPr>
          <w:color w:val="1F1F1F"/>
          <w:sz w:val="21"/>
          <w:szCs w:val="21"/>
        </w:rPr>
        <w:t xml:space="preserve">Comportement en environnement de production (tests réalisés uniquement en local)</w:t>
      </w:r>
    </w:p>
    <w:p>
      <w:pPr>
        <w:pStyle w:val="ListParagraph"/>
        <w:numPr>
          <w:ilvl w:val="0"/>
          <w:numId w:val="2"/>
        </w:numPr>
        <w:spacing w:after="80" w:line="276"/>
      </w:pPr>
      <w:r>
        <w:rPr>
          <w:color w:val="1F1F1F"/>
          <w:sz w:val="21"/>
          <w:szCs w:val="21"/>
        </w:rPr>
        <w:t xml:space="preserve">Existence du bucket de stockage des reçus en production</w:t>
      </w:r>
    </w:p>
    <w:p>
      <w:pPr>
        <w:pStyle w:val="ListParagraph"/>
        <w:numPr>
          <w:ilvl w:val="0"/>
          <w:numId w:val="2"/>
        </w:numPr>
        <w:spacing w:after="80" w:line="276"/>
      </w:pPr>
      <w:r>
        <w:rPr>
          <w:color w:val="1F1F1F"/>
          <w:sz w:val="21"/>
          <w:szCs w:val="21"/>
        </w:rPr>
        <w:t xml:space="preserve">Filtre "Statut" de la liste (ouverture du menu confirmée, sélection non vérifiée formellement)</w:t>
      </w:r>
    </w:p>
    <w:p>
      <w:pPr>
        <w:pStyle w:val="Heading1"/>
        <w:pBdr>
          <w:bottom w:val="single" w:color="7A1F3D" w:sz="6"/>
        </w:pBdr>
        <w:spacing w:after="160" w:before="360"/>
      </w:pPr>
      <w:r>
        <w:rPr>
          <w:b/>
          <w:bCs/>
          <w:color w:val="7A1F3D"/>
          <w:sz w:val="30"/>
          <w:szCs w:val="30"/>
        </w:rPr>
        <w:t xml:space="preserve">3. Anomalies détectées</w:t>
      </w:r>
    </w:p>
    <w:p>
      <w:pPr>
        <w:pStyle w:val="Heading2"/>
        <w:spacing w:after="120" w:before="300"/>
      </w:pPr>
      <w:r>
        <w:rPr>
          <w:b/>
          <w:bCs/>
          <w:color w:val="B00020"/>
          <w:sz w:val="24"/>
          <w:szCs w:val="24"/>
        </w:rPr>
        <w:t xml:space="preserve">3.1 — Le montant "payé" d'une tranche n'est pas corrigé après annulation d'un paiement</w:t>
      </w:r>
    </w:p>
    <w:p>
      <w:pPr>
        <w:spacing w:after="100" w:line="276"/>
      </w:pPr>
      <w:r>
        <w:rPr>
          <w:b/>
          <w:bCs/>
          <w:color w:val="B00020"/>
          <w:sz w:val="21"/>
          <w:szCs w:val="21"/>
        </w:rPr>
        <w:t xml:space="preserve">SÉVÉRITÉ  </w:t>
      </w:r>
      <w:r>
        <w:rPr>
          <w:color w:val="1F1F1F"/>
          <w:sz w:val="21"/>
          <w:szCs w:val="21"/>
        </w:rPr>
        <w:t xml:space="preserve">Critique — intégrité des données financières</w:t>
      </w:r>
    </w:p>
    <w:p>
      <w:pPr>
        <w:spacing w:after="100" w:line="276"/>
      </w:pPr>
      <w:r>
        <w:rPr>
          <w:b/>
          <w:bCs/>
          <w:color w:val="1F1F1F"/>
          <w:sz w:val="21"/>
          <w:szCs w:val="21"/>
        </w:rPr>
        <w:t xml:space="preserve">OBSERVÉ  </w:t>
      </w:r>
      <w:r>
        <w:rPr>
          <w:color w:val="1F1F1F"/>
          <w:sz w:val="21"/>
          <w:szCs w:val="21"/>
        </w:rPr>
        <w:t xml:space="preserve">Test réalisé en appelant directement les fonctions RPC via l'API REST locale (même chemin d'authentification que l'application) :</w:t>
      </w:r>
    </w:p>
    <w:p>
      <w:pPr>
        <w:pStyle w:val="ListParagraph"/>
        <w:numPr>
          <w:ilvl w:val="0"/>
          <w:numId w:val="2"/>
        </w:numPr>
        <w:spacing w:after="80" w:line="276"/>
      </w:pPr>
      <w:r>
        <w:rPr>
          <w:color w:val="1F1F1F"/>
          <w:sz w:val="21"/>
          <w:szCs w:val="21"/>
        </w:rPr>
        <w:t xml:space="preserve">Application d'une remise de 3 000 FCFA sur une tranche à 0 FCFA payé → RPC appliquer_remise exécuté avec succès, tranche mise à jour : payé = 3 000, statut = "partielle". Comportement correct.</w:t>
      </w:r>
    </w:p>
    <w:p>
      <w:pPr>
        <w:pStyle w:val="ListParagraph"/>
        <w:numPr>
          <w:ilvl w:val="0"/>
          <w:numId w:val="2"/>
        </w:numPr>
        <w:spacing w:after="80" w:line="276"/>
      </w:pPr>
      <w:r>
        <w:rPr>
          <w:color w:val="1F1F1F"/>
          <w:sz w:val="21"/>
          <w:szCs w:val="21"/>
        </w:rPr>
        <w:t xml:space="preserve">Annulation immédiate de ce même paiement → RPC annuler_paiement_scolarite retourne { ok: true, nouveau_paye_tranche: 3000 }. Le paiement est bien marqué annulé (annule_le, annule_par, motif_annulation correctement renseignés).</w:t>
      </w:r>
    </w:p>
    <w:p>
      <w:pPr>
        <w:pStyle w:val="ListParagraph"/>
        <w:numPr>
          <w:ilvl w:val="0"/>
          <w:numId w:val="2"/>
        </w:numPr>
        <w:spacing w:after="80" w:line="276"/>
      </w:pPr>
      <w:r>
        <w:rPr>
          <w:color w:val="1F1F1F"/>
          <w:sz w:val="21"/>
          <w:szCs w:val="21"/>
        </w:rPr>
        <w:t xml:space="preserve">Vérification en base après annulation : la tranche affiche toujours payé = 3 000, statut = "partielle" — alors que le paiement qui justifiait ce montant est annulé.</w:t>
      </w:r>
    </w:p>
    <w:p>
      <w:pPr>
        <w:spacing w:after="100" w:line="276"/>
      </w:pPr>
      <w:r>
        <w:rPr>
          <w:b/>
          <w:bCs/>
          <w:color w:val="1F1F1F"/>
          <w:sz w:val="21"/>
          <w:szCs w:val="21"/>
        </w:rPr>
        <w:t xml:space="preserve">CAUSE RACINE (lecture de code)  </w:t>
      </w:r>
      <w:r>
        <w:rPr>
          <w:color w:val="1F1F1F"/>
          <w:sz w:val="21"/>
          <w:szCs w:val="21"/>
        </w:rPr>
        <w:t xml:space="preserve">La fonction trigger reconcilier_tranche_paiements() (déclenchée après chaque INSERT/UPDATE/DELETE sur paiements) recalcule le montant payé de la tranche ainsi :</w:t>
      </w:r>
    </w:p>
    <w:p>
      <w:pPr>
        <w:pBdr>
          <w:top w:val="single" w:color="CCCCCC" w:sz="2"/>
          <w:bottom w:val="single" w:color="CCCCCC" w:sz="2"/>
          <w:left w:val="single" w:color="CCCCCC" w:sz="2"/>
          <w:right w:val="single" w:color="CCCCCC" w:sz="2"/>
        </w:pBdr>
        <w:shd w:fill="F5F5F5" w:val="clear"/>
        <w:spacing w:after="140"/>
      </w:pPr>
      <w:r>
        <w:rPr>
          <w:rFonts w:ascii="Courier New" w:cs="Courier New" w:eastAsia="Courier New" w:hAnsi="Courier New"/>
          <w:color w:val="333333"/>
          <w:sz w:val="18"/>
          <w:szCs w:val="18"/>
        </w:rPr>
        <w:t xml:space="preserve">SELECT COALESCE(SUM(montant), 0) INTO v_total
FROM public.paiements WHERE tranche_id = v_tranche_id;</w:t>
      </w:r>
    </w:p>
    <w:p>
      <w:pPr>
        <w:spacing w:after="140" w:line="288"/>
      </w:pPr>
      <w:r>
        <w:rPr>
          <w:color w:val="1F1F1F"/>
          <w:sz w:val="21"/>
          <w:szCs w:val="21"/>
        </w:rPr>
        <w:t xml:space="preserve">Cette requête ne filtre pas sur annule_le IS NULL : elle additionne tous les paiements de la tranche, y compris ceux annulés. La fonction annuler_paiement_scolarite() marque le paiement comme annulé mais ne déclenche aucun recalcul indépendant — elle s'appuie sur ce trigger, qui est bugué.</w:t>
      </w:r>
    </w:p>
    <w:p>
      <w:pPr>
        <w:spacing w:after="100" w:line="276"/>
      </w:pPr>
      <w:r>
        <w:rPr>
          <w:b/>
          <w:bCs/>
          <w:color w:val="1F1F1F"/>
          <w:sz w:val="21"/>
          <w:szCs w:val="21"/>
        </w:rPr>
        <w:t xml:space="preserve">PREUVE CHIFFRÉE COMPLÉMENTAIRE  </w:t>
      </w:r>
      <w:r>
        <w:rPr>
          <w:color w:val="1F1F1F"/>
          <w:sz w:val="21"/>
          <w:szCs w:val="21"/>
        </w:rPr>
        <w:t xml:space="preserve">Comparaison, sur l'ensemble de l'année scolaire active, entre la somme des paiements valides et la somme des montants "payé" au niveau des tranches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7200"/>
        <w:gridCol w:w="3060"/>
      </w:tblGrid>
      <w:tr>
        <w:trPr>
          <w:tblHeader/>
        </w:trPr>
        <w:tc>
          <w:tcPr>
            <w:tcW w:type="dxa" w:w="7200"/>
            <w:shd w:fill="7A1F3D" w:val="clear"/>
            <w:tcMar>
              <w:top w:type="dxa" w:w="80"/>
              <w:left w:type="dxa" w:w="100"/>
              <w:bottom w:type="dxa" w:w="80"/>
              <w:right w:type="dxa" w:w="100"/>
            </w:tcMar>
          </w:tcPr>
          <w:p>
            <w:pPr>
              <w:jc w:val="left"/>
            </w:pPr>
            <w:r>
              <w:rPr>
                <w:b/>
                <w:bCs/>
                <w:color w:val="FFFFFF"/>
                <w:sz w:val="19"/>
                <w:szCs w:val="19"/>
              </w:rPr>
              <w:t xml:space="preserve">Indicateur</w:t>
            </w:r>
          </w:p>
        </w:tc>
        <w:tc>
          <w:tcPr>
            <w:tcW w:type="dxa" w:w="3060"/>
            <w:shd w:fill="7A1F3D" w:val="clear"/>
            <w:tcMar>
              <w:top w:type="dxa" w:w="80"/>
              <w:left w:type="dxa" w:w="100"/>
              <w:bottom w:type="dxa" w:w="80"/>
              <w:right w:type="dxa" w:w="100"/>
            </w:tcMar>
          </w:tcPr>
          <w:p>
            <w:pPr>
              <w:jc w:val="left"/>
            </w:pPr>
            <w:r>
              <w:rPr>
                <w:b/>
                <w:bCs/>
                <w:color w:val="FFFFFF"/>
                <w:sz w:val="19"/>
                <w:szCs w:val="19"/>
              </w:rPr>
              <w:t xml:space="preserve">Valeur</w:t>
            </w:r>
          </w:p>
        </w:tc>
      </w:tr>
      <w:tr>
        <w:tc>
          <w:tcPr>
            <w:tcW w:type="dxa" w:w="7200"/>
            <w:tcMar>
              <w:top w:type="dxa" w:w="80"/>
              <w:left w:type="dxa" w:w="100"/>
              <w:bottom w:type="dxa" w:w="80"/>
              <w:right w:type="dxa" w:w="100"/>
            </w:tcMar>
          </w:tcPr>
          <w:p>
            <w:pPr>
              <w:jc w:val="left"/>
            </w:pPr>
            <w:r>
              <w:rPr>
                <w:b w:val="false"/>
                <w:bCs w:val="false"/>
                <w:color w:val="1F1F1F"/>
                <w:sz w:val="19"/>
                <w:szCs w:val="19"/>
              </w:rPr>
              <w:t xml:space="preserve">Somme des paiements valides (encaissements + remises, annule_le IS NULL)</w:t>
            </w:r>
          </w:p>
        </w:tc>
        <w:tc>
          <w:tcPr>
            <w:tcW w:type="dxa" w:w="3060"/>
            <w:tcMar>
              <w:top w:type="dxa" w:w="80"/>
              <w:left w:type="dxa" w:w="100"/>
              <w:bottom w:type="dxa" w:w="80"/>
              <w:right w:type="dxa" w:w="100"/>
            </w:tcMar>
          </w:tcPr>
          <w:p>
            <w:pPr>
              <w:jc w:val="left"/>
            </w:pPr>
            <w:r>
              <w:rPr>
                <w:b w:val="false"/>
                <w:bCs w:val="false"/>
                <w:color w:val="1F1F1F"/>
                <w:sz w:val="19"/>
                <w:szCs w:val="19"/>
              </w:rPr>
              <w:t xml:space="preserve">9 620 000 FCFA</w:t>
            </w:r>
          </w:p>
        </w:tc>
      </w:tr>
      <w:tr>
        <w:tc>
          <w:tcPr>
            <w:tcW w:type="dxa" w:w="7200"/>
            <w:shd w:fill="F2F2F2" w:val="clear"/>
            <w:tcMar>
              <w:top w:type="dxa" w:w="80"/>
              <w:left w:type="dxa" w:w="100"/>
              <w:bottom w:type="dxa" w:w="80"/>
              <w:right w:type="dxa" w:w="100"/>
            </w:tcMar>
          </w:tcPr>
          <w:p>
            <w:pPr>
              <w:jc w:val="left"/>
            </w:pPr>
            <w:r>
              <w:rPr>
                <w:b w:val="false"/>
                <w:bCs w:val="false"/>
                <w:color w:val="1F1F1F"/>
                <w:sz w:val="19"/>
                <w:szCs w:val="19"/>
              </w:rPr>
              <w:t xml:space="preserve">Somme de tranches.paye sur toutes les tranches (avant nettoyage du test)</w:t>
            </w:r>
          </w:p>
        </w:tc>
        <w:tc>
          <w:tcPr>
            <w:tcW w:type="dxa" w:w="3060"/>
            <w:shd w:fill="F2F2F2" w:val="clear"/>
            <w:tcMar>
              <w:top w:type="dxa" w:w="80"/>
              <w:left w:type="dxa" w:w="100"/>
              <w:bottom w:type="dxa" w:w="80"/>
              <w:right w:type="dxa" w:w="100"/>
            </w:tcMar>
          </w:tcPr>
          <w:p>
            <w:pPr>
              <w:jc w:val="left"/>
            </w:pPr>
            <w:r>
              <w:rPr>
                <w:b w:val="false"/>
                <w:bCs w:val="false"/>
                <w:color w:val="1F1F1F"/>
                <w:sz w:val="19"/>
                <w:szCs w:val="19"/>
              </w:rPr>
              <w:t xml:space="preserve">9 623 000 FCFA</w:t>
            </w:r>
          </w:p>
        </w:tc>
      </w:tr>
      <w:tr>
        <w:tc>
          <w:tcPr>
            <w:tcW w:type="dxa" w:w="7200"/>
            <w:tcMar>
              <w:top w:type="dxa" w:w="80"/>
              <w:left w:type="dxa" w:w="100"/>
              <w:bottom w:type="dxa" w:w="80"/>
              <w:right w:type="dxa" w:w="100"/>
            </w:tcMar>
          </w:tcPr>
          <w:p>
            <w:pPr>
              <w:jc w:val="left"/>
            </w:pPr>
            <w:r>
              <w:rPr>
                <w:b w:val="false"/>
                <w:bCs w:val="false"/>
                <w:color w:val="1F1F1F"/>
                <w:sz w:val="19"/>
                <w:szCs w:val="19"/>
              </w:rPr>
              <w:t xml:space="preserve">Écart constaté</w:t>
            </w:r>
          </w:p>
        </w:tc>
        <w:tc>
          <w:tcPr>
            <w:tcW w:type="dxa" w:w="3060"/>
            <w:tcMar>
              <w:top w:type="dxa" w:w="80"/>
              <w:left w:type="dxa" w:w="100"/>
              <w:bottom w:type="dxa" w:w="80"/>
              <w:right w:type="dxa" w:w="100"/>
            </w:tcMar>
          </w:tcPr>
          <w:p>
            <w:pPr>
              <w:jc w:val="left"/>
            </w:pPr>
            <w:r>
              <w:rPr>
                <w:b w:val="false"/>
                <w:bCs w:val="false"/>
                <w:color w:val="1F1F1F"/>
                <w:sz w:val="19"/>
                <w:szCs w:val="19"/>
              </w:rPr>
              <w:t xml:space="preserve">3 000 FCFA — exactement le montant du paiement-test annulé</w:t>
            </w:r>
          </w:p>
        </w:tc>
      </w:tr>
    </w:tbl>
    <w:p>
      <w:pPr>
        <w:spacing w:after="140" w:line="288"/>
      </w:pPr>
      <w:r>
        <w:rPr>
          <w:color w:val="1F1F1F"/>
          <w:sz w:val="21"/>
          <w:szCs w:val="21"/>
        </w:rPr>
        <w:t xml:space="preserve"/>
      </w:r>
    </w:p>
    <w:p>
      <w:pPr>
        <w:spacing w:after="140" w:line="288"/>
      </w:pPr>
      <w:r>
        <w:rPr>
          <w:color w:val="1F1F1F"/>
          <w:sz w:val="21"/>
          <w:szCs w:val="21"/>
        </w:rPr>
        <w:t xml:space="preserve">Après suppression des données de test créées pour cet audit, les deux valeurs redeviennent strictement égales (9 620 000 = 9 620 000), confirmant que la base de données de test ne portait pas cette corruption avant l'audit et que le seul écart introduit est bien celui de l'annulation testée.</w:t>
      </w:r>
    </w:p>
    <w:p>
      <w:pPr>
        <w:spacing w:after="100" w:line="276"/>
      </w:pPr>
      <w:r>
        <w:rPr>
          <w:b/>
          <w:bCs/>
          <w:color w:val="B00020"/>
          <w:sz w:val="21"/>
          <w:szCs w:val="21"/>
        </w:rPr>
        <w:t xml:space="preserve">IMPACT  </w:t>
      </w:r>
      <w:r>
        <w:rPr>
          <w:color w:val="1F1F1F"/>
          <w:sz w:val="21"/>
          <w:szCs w:val="21"/>
        </w:rPr>
        <w:t xml:space="preserve">Tout élément de l'interface qui lit tranches.paye ou tranches.statut directement (badges T1/T2/T3, colonne "Payé / Total" de la liste, logique de verrouillage des tranches suivantes, carte "Restant" du dialogue de remise, StudentDetailDrawer) affichera un montant "payé" supérieur à la réalité après toute annulation. À l'inverse, les cartes agrégées de la page liste (Attendu / Encaissé / Remises) restent correctes car elles resomment directement la table paiements avec le filtre annule_le IS NULL — c'est pourquoi cette anomalie peut passer inaperçue au niveau des totaux globaux tout en faussant les fiches individuelles.</w:t>
      </w:r>
    </w:p>
    <w:p>
      <w:pPr>
        <w:spacing w:after="100" w:line="276"/>
      </w:pPr>
      <w:r>
        <w:rPr>
          <w:b/>
          <w:bCs/>
          <w:color w:val="B00020"/>
          <w:sz w:val="21"/>
          <w:szCs w:val="21"/>
        </w:rPr>
        <w:t xml:space="preserve">RISQUE  </w:t>
      </w:r>
      <w:r>
        <w:rPr>
          <w:color w:val="1F1F1F"/>
          <w:sz w:val="21"/>
          <w:szCs w:val="21"/>
        </w:rPr>
        <w:t xml:space="preserve">Défaut cumulatif et silencieux : chaque annulation future laisse une trace erronée qui ne s'auto-corrige jamais. Plus l'application est utilisée, plus l'écart entre "payé apparent" et "payé réel" peut croître sur les fiches élèves concernées. Non vérifié si des annulations ont déjà eu lieu en production et, si oui, l'ampleur de la dérive déjà accumulée.</w:t>
      </w:r>
    </w:p>
    <w:p>
      <w:pPr>
        <w:spacing w:after="100" w:line="276"/>
      </w:pPr>
      <w:r>
        <w:rPr>
          <w:b/>
          <w:bCs/>
          <w:color w:val="1E7A34"/>
          <w:sz w:val="21"/>
          <w:szCs w:val="21"/>
        </w:rPr>
        <w:t xml:space="preserve">RECOMMANDATION  </w:t>
      </w:r>
      <w:r>
        <w:rPr>
          <w:color w:val="1F1F1F"/>
          <w:sz w:val="21"/>
          <w:szCs w:val="21"/>
        </w:rPr>
        <w:t xml:space="preserve">1) Corriger reconcilier_tranche_paiements() en ajoutant AND annule_le IS NULL au SELECT SUM. 2) Avant de déployer le correctif en production, exécuter une requête de diagnostic en lecture seule pour mesurer l'écart existant (comparer SUM(tranches.paye) à SUM(paiements.montant) filtré). 3) Si un écart est détecté, prévoir une migration de réconciliation ponctuelle recalculant payé/statut pour les tranches concernées, à valider avant application en production, conformément à la règle LOCAL FIRST du projet. 4) Ajouter un test automatisé de non-régression couvrant explicitement le cycle encaissement → annulation → vérification du solde.</w:t>
      </w:r>
    </w:p>
    <w:p>
      <w:pPr>
        <w:pStyle w:val="Heading2"/>
        <w:spacing w:after="120" w:before="300"/>
      </w:pPr>
      <w:r>
        <w:rPr>
          <w:b/>
          <w:bCs/>
          <w:color w:val="B8860B"/>
          <w:sz w:val="24"/>
          <w:szCs w:val="24"/>
        </w:rPr>
        <w:t xml:space="preserve">3.2 — "Couvert" et "Reste dû" excluent les remises malgré le libellé affiché</w:t>
      </w:r>
    </w:p>
    <w:p>
      <w:pPr>
        <w:spacing w:after="100" w:line="276"/>
      </w:pPr>
      <w:r>
        <w:rPr>
          <w:b/>
          <w:bCs/>
          <w:color w:val="B8860B"/>
          <w:sz w:val="21"/>
          <w:szCs w:val="21"/>
        </w:rPr>
        <w:t xml:space="preserve">SÉVÉRITÉ  </w:t>
      </w:r>
      <w:r>
        <w:rPr>
          <w:color w:val="1F1F1F"/>
          <w:sz w:val="21"/>
          <w:szCs w:val="21"/>
        </w:rPr>
        <w:t xml:space="preserve">Moyen — fiabilité de l'affichage, pas de perte de données</w:t>
      </w:r>
    </w:p>
    <w:p>
      <w:pPr>
        <w:spacing w:after="100" w:line="276"/>
      </w:pPr>
      <w:r>
        <w:rPr>
          <w:b/>
          <w:bCs/>
          <w:color w:val="1F1F1F"/>
          <w:sz w:val="21"/>
          <w:szCs w:val="21"/>
        </w:rPr>
        <w:t xml:space="preserve">OBSERVÉ  </w:t>
      </w:r>
      <w:r>
        <w:rPr>
          <w:color w:val="1F1F1F"/>
          <w:sz w:val="21"/>
          <w:szCs w:val="21"/>
        </w:rPr>
        <w:t xml:space="preserve">Sur la page /finances/paiements, capture en conditions réelles (289 élèves, année active 2026-2027)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860"/>
      </w:tblGrid>
      <w:tr>
        <w:trPr>
          <w:tblHeader/>
        </w:trPr>
        <w:tc>
          <w:tcPr>
            <w:tcW w:type="dxa" w:w="3200"/>
            <w:shd w:fill="7A1F3D" w:val="clear"/>
            <w:tcMar>
              <w:top w:type="dxa" w:w="80"/>
              <w:left w:type="dxa" w:w="100"/>
              <w:bottom w:type="dxa" w:w="80"/>
              <w:right w:type="dxa" w:w="100"/>
            </w:tcMar>
          </w:tcPr>
          <w:p>
            <w:pPr>
              <w:jc w:val="left"/>
            </w:pPr>
            <w:r>
              <w:rPr>
                <w:b/>
                <w:bCs/>
                <w:color w:val="FFFFFF"/>
                <w:sz w:val="19"/>
                <w:szCs w:val="19"/>
              </w:rPr>
              <w:t xml:space="preserve">Carte affichée</w:t>
            </w:r>
          </w:p>
        </w:tc>
        <w:tc>
          <w:tcPr>
            <w:tcW w:type="dxa" w:w="3200"/>
            <w:shd w:fill="7A1F3D" w:val="clear"/>
            <w:tcMar>
              <w:top w:type="dxa" w:w="80"/>
              <w:left w:type="dxa" w:w="100"/>
              <w:bottom w:type="dxa" w:w="80"/>
              <w:right w:type="dxa" w:w="100"/>
            </w:tcMar>
          </w:tcPr>
          <w:p>
            <w:pPr>
              <w:jc w:val="left"/>
            </w:pPr>
            <w:r>
              <w:rPr>
                <w:b/>
                <w:bCs/>
                <w:color w:val="FFFFFF"/>
                <w:sz w:val="19"/>
                <w:szCs w:val="19"/>
              </w:rPr>
              <w:t xml:space="preserve">Valeur montrée</w:t>
            </w:r>
          </w:p>
        </w:tc>
        <w:tc>
          <w:tcPr>
            <w:tcW w:type="dxa" w:w="3860"/>
            <w:shd w:fill="7A1F3D" w:val="clear"/>
            <w:tcMar>
              <w:top w:type="dxa" w:w="80"/>
              <w:left w:type="dxa" w:w="100"/>
              <w:bottom w:type="dxa" w:w="80"/>
              <w:right w:type="dxa" w:w="100"/>
            </w:tcMar>
          </w:tcPr>
          <w:p>
            <w:pPr>
              <w:jc w:val="left"/>
            </w:pPr>
            <w:r>
              <w:rPr>
                <w:b/>
                <w:bCs/>
                <w:color w:val="FFFFFF"/>
                <w:sz w:val="19"/>
                <w:szCs w:val="19"/>
              </w:rPr>
              <w:t xml:space="preserve">Sous-texte affiché</w:t>
            </w:r>
          </w:p>
        </w:tc>
      </w:tr>
      <w:tr>
        <w:tc>
          <w:tcPr>
            <w:tcW w:type="dxa" w:w="3200"/>
            <w:tcMar>
              <w:top w:type="dxa" w:w="80"/>
              <w:left w:type="dxa" w:w="100"/>
              <w:bottom w:type="dxa" w:w="80"/>
              <w:right w:type="dxa" w:w="100"/>
            </w:tcMar>
          </w:tcPr>
          <w:p>
            <w:pPr>
              <w:jc w:val="left"/>
            </w:pPr>
            <w:r>
              <w:rPr>
                <w:b w:val="false"/>
                <w:bCs w:val="false"/>
                <w:color w:val="1F1F1F"/>
                <w:sz w:val="19"/>
                <w:szCs w:val="19"/>
              </w:rPr>
              <w:t xml:space="preserve">Couvert</w:t>
            </w:r>
          </w:p>
        </w:tc>
        <w:tc>
          <w:tcPr>
            <w:tcW w:type="dxa" w:w="3200"/>
            <w:tcMar>
              <w:top w:type="dxa" w:w="80"/>
              <w:left w:type="dxa" w:w="100"/>
              <w:bottom w:type="dxa" w:w="80"/>
              <w:right w:type="dxa" w:w="100"/>
            </w:tcMar>
          </w:tcPr>
          <w:p>
            <w:pPr>
              <w:jc w:val="left"/>
            </w:pPr>
            <w:r>
              <w:rPr>
                <w:b w:val="false"/>
                <w:bCs w:val="false"/>
                <w:color w:val="1F1F1F"/>
                <w:sz w:val="19"/>
                <w:szCs w:val="19"/>
              </w:rPr>
              <w:t xml:space="preserve">9 480 000 FCFA</w:t>
            </w:r>
          </w:p>
        </w:tc>
        <w:tc>
          <w:tcPr>
            <w:tcW w:type="dxa" w:w="3860"/>
            <w:tcMar>
              <w:top w:type="dxa" w:w="80"/>
              <w:left w:type="dxa" w:w="100"/>
              <w:bottom w:type="dxa" w:w="80"/>
              <w:right w:type="dxa" w:w="100"/>
            </w:tcMar>
          </w:tcPr>
          <w:p>
            <w:pPr>
              <w:jc w:val="left"/>
            </w:pPr>
            <w:r>
              <w:rPr>
                <w:b w:val="false"/>
                <w:bCs w:val="false"/>
                <w:color w:val="1F1F1F"/>
                <w:sz w:val="19"/>
                <w:szCs w:val="19"/>
              </w:rPr>
              <w:t xml:space="preserve">"dont 9 480 000 encaissé · 140 000 remises · 20%"</w:t>
            </w:r>
          </w:p>
        </w:tc>
      </w:tr>
      <w:tr>
        <w:tc>
          <w:tcPr>
            <w:tcW w:type="dxa" w:w="3200"/>
            <w:shd w:fill="F2F2F2" w:val="clear"/>
            <w:tcMar>
              <w:top w:type="dxa" w:w="80"/>
              <w:left w:type="dxa" w:w="100"/>
              <w:bottom w:type="dxa" w:w="80"/>
              <w:right w:type="dxa" w:w="100"/>
            </w:tcMar>
          </w:tcPr>
          <w:p>
            <w:pPr>
              <w:jc w:val="left"/>
            </w:pPr>
            <w:r>
              <w:rPr>
                <w:b w:val="false"/>
                <w:bCs w:val="false"/>
                <w:color w:val="1F1F1F"/>
                <w:sz w:val="19"/>
                <w:szCs w:val="19"/>
              </w:rPr>
              <w:t xml:space="preserve">Reste dû</w:t>
            </w:r>
          </w:p>
        </w:tc>
        <w:tc>
          <w:tcPr>
            <w:tcW w:type="dxa" w:w="3200"/>
            <w:shd w:fill="F2F2F2" w:val="clear"/>
            <w:tcMar>
              <w:top w:type="dxa" w:w="80"/>
              <w:left w:type="dxa" w:w="100"/>
              <w:bottom w:type="dxa" w:w="80"/>
              <w:right w:type="dxa" w:w="100"/>
            </w:tcMar>
          </w:tcPr>
          <w:p>
            <w:pPr>
              <w:jc w:val="left"/>
            </w:pPr>
            <w:r>
              <w:rPr>
                <w:b w:val="false"/>
                <w:bCs w:val="false"/>
                <w:color w:val="1F1F1F"/>
                <w:sz w:val="19"/>
                <w:szCs w:val="19"/>
              </w:rPr>
              <w:t xml:space="preserve">37 340 000 FCFA</w:t>
            </w:r>
          </w:p>
        </w:tc>
        <w:tc>
          <w:tcPr>
            <w:tcW w:type="dxa" w:w="3860"/>
            <w:shd w:fill="F2F2F2" w:val="clear"/>
            <w:tcMar>
              <w:top w:type="dxa" w:w="80"/>
              <w:left w:type="dxa" w:w="100"/>
              <w:bottom w:type="dxa" w:w="80"/>
              <w:right w:type="dxa" w:w="100"/>
            </w:tcMar>
          </w:tcPr>
          <w:p>
            <w:pPr>
              <w:jc w:val="left"/>
            </w:pPr>
            <w:r>
              <w:rPr>
                <w:b w:val="false"/>
                <w:bCs w:val="false"/>
                <w:color w:val="1F1F1F"/>
                <w:sz w:val="19"/>
                <w:szCs w:val="19"/>
              </w:rPr>
              <w:t xml:space="preserve">—</w:t>
            </w:r>
          </w:p>
        </w:tc>
      </w:tr>
    </w:tbl>
    <w:p>
      <w:pPr>
        <w:spacing w:after="140" w:line="288"/>
      </w:pPr>
      <w:r>
        <w:rPr>
          <w:color w:val="1F1F1F"/>
          <w:sz w:val="21"/>
          <w:szCs w:val="21"/>
        </w:rPr>
        <w:t xml:space="preserve"/>
      </w:r>
    </w:p>
    <w:p>
      <w:pPr>
        <w:spacing w:after="140" w:line="288"/>
      </w:pPr>
      <w:r>
        <w:rPr>
          <w:color w:val="1F1F1F"/>
          <w:sz w:val="21"/>
          <w:szCs w:val="21"/>
        </w:rPr>
        <w:t xml:space="preserve">Le sous-texte de la carte "Couvert" annonce explicitement 140 000 FCFA de remises en plus de l'encaissé, mais la valeur principale affichée (9 480 000) est identique au montant encaissé seul — les remises ne sont pas ajoutées. "Reste dû" (attendu − Couvert) hérite de la même erreur et se trouve donc surestimé de 140 000 FCFA.</w:t>
      </w:r>
    </w:p>
    <w:p>
      <w:pPr>
        <w:spacing w:after="100" w:line="276"/>
      </w:pPr>
      <w:r>
        <w:rPr>
          <w:b/>
          <w:bCs/>
          <w:color w:val="1F1F1F"/>
          <w:sz w:val="21"/>
          <w:szCs w:val="21"/>
        </w:rPr>
        <w:t xml:space="preserve">CAUSE RACINE (lecture de code)  </w:t>
      </w:r>
      <w:r>
        <w:rPr>
          <w:color w:val="1F1F1F"/>
          <w:sz w:val="21"/>
          <w:szCs w:val="21"/>
        </w:rPr>
        <w:t xml:space="preserve">Dans src/pages/finances/useFinanceData.ts : totalPaye = totalEncaisse (n'inclut pas les remises), alors que totalCouvert = totalEncaisse + totalRemises existe déjà et est utilisé correctement ailleurs (le calcul de resteDu au niveau élève, lui, est correct). Payments.tsx et StudentDetailDrawer.tsx affichent totalPaye sous le libellé "Couvert", créant l'incohérence.</w:t>
      </w:r>
    </w:p>
    <w:p>
      <w:pPr>
        <w:spacing w:after="100" w:line="276"/>
      </w:pPr>
      <w:r>
        <w:rPr>
          <w:b/>
          <w:bCs/>
          <w:color w:val="1F1F1F"/>
          <w:sz w:val="21"/>
          <w:szCs w:val="21"/>
        </w:rPr>
        <w:t xml:space="preserve">CONTRE-VÉRIFICATION INDÉPENDANTE  </w:t>
      </w:r>
      <w:r>
        <w:rPr>
          <w:color w:val="1F1F1F"/>
          <w:sz w:val="21"/>
          <w:szCs w:val="21"/>
        </w:rPr>
        <w:t xml:space="preserve">La page "Impayés &amp; relances" calcule son propre total ("Total impayés") et affichait 37 190 000 FCFA au moment du test — une valeur cohérente avec la formule correcte (attendu − encaissé − remises), et différente du "Reste dû" bugué de la page Encaissements. Deux pages du même module affichent donc deux résultats différents pour la même notion.</w:t>
      </w:r>
    </w:p>
    <w:p>
      <w:pPr>
        <w:spacing w:after="100" w:line="276"/>
      </w:pPr>
      <w:r>
        <w:rPr>
          <w:b/>
          <w:bCs/>
          <w:color w:val="1E7A34"/>
          <w:sz w:val="21"/>
          <w:szCs w:val="21"/>
        </w:rPr>
        <w:t xml:space="preserve">RECOMMANDATION  </w:t>
      </w:r>
      <w:r>
        <w:rPr>
          <w:color w:val="1F1F1F"/>
          <w:sz w:val="21"/>
          <w:szCs w:val="21"/>
        </w:rPr>
        <w:t xml:space="preserve">Dans useFinanceData.ts, faire pointer totalPaye vers totalCouvert (encaissé + remises) partout où le libellé affiché est "Couvert" / "Payé", en conservant totalEncaisse séparément pour le sous-texte "dont X encaissé". Un seul point de correction dans le hook suffit à corriger la liste et la fiche élève simultanément.</w:t>
      </w:r>
    </w:p>
    <w:p>
      <w:pPr>
        <w:pStyle w:val="Heading2"/>
        <w:spacing w:after="120" w:before="300"/>
      </w:pPr>
      <w:r>
        <w:rPr>
          <w:b/>
          <w:bCs/>
          <w:color w:val="B8860B"/>
          <w:sz w:val="24"/>
          <w:szCs w:val="24"/>
        </w:rPr>
        <w:t xml:space="preserve">3.3 — Échec systématique de la génération du reçu PDF</w:t>
      </w:r>
    </w:p>
    <w:p>
      <w:pPr>
        <w:spacing w:after="100" w:line="276"/>
      </w:pPr>
      <w:r>
        <w:rPr>
          <w:b/>
          <w:bCs/>
          <w:color w:val="B8860B"/>
          <w:sz w:val="21"/>
          <w:szCs w:val="21"/>
        </w:rPr>
        <w:t xml:space="preserve">SÉVÉRITÉ  </w:t>
      </w:r>
      <w:r>
        <w:rPr>
          <w:color w:val="1F1F1F"/>
          <w:sz w:val="21"/>
          <w:szCs w:val="21"/>
        </w:rPr>
        <w:t xml:space="preserve">Moyen — fonctionnalité annexe indisponible, paiement non affecté</w:t>
      </w:r>
    </w:p>
    <w:p>
      <w:pPr>
        <w:spacing w:after="100" w:line="276"/>
      </w:pPr>
      <w:r>
        <w:rPr>
          <w:b/>
          <w:bCs/>
          <w:color w:val="1F1F1F"/>
          <w:sz w:val="21"/>
          <w:szCs w:val="21"/>
        </w:rPr>
        <w:t xml:space="preserve">OBSERVÉ  </w:t>
      </w:r>
      <w:r>
        <w:rPr>
          <w:color w:val="1F1F1F"/>
          <w:sz w:val="21"/>
          <w:szCs w:val="21"/>
        </w:rPr>
        <w:t xml:space="preserve">Après un encaissement réussi comme après une remise réussie, un toast d'erreur apparaît systématiquement : "Reçu non envoyé au parent — Bucket not found". Le paiement est correctement enregistré en base dans les deux cas (vérifié par requête SQL) ; seule la génération/le téléchargement du reçu échoue.</w:t>
      </w:r>
    </w:p>
    <w:p>
      <w:pPr>
        <w:spacing w:after="100" w:line="276"/>
      </w:pPr>
      <w:r>
        <w:rPr>
          <w:b/>
          <w:bCs/>
          <w:color w:val="B8860B"/>
          <w:sz w:val="21"/>
          <w:szCs w:val="21"/>
        </w:rPr>
        <w:t xml:space="preserve">NON VÉRIFIÉ  </w:t>
      </w:r>
      <w:r>
        <w:rPr>
          <w:color w:val="1F1F1F"/>
          <w:sz w:val="21"/>
          <w:szCs w:val="21"/>
        </w:rPr>
        <w:t xml:space="preserve">Il n'a pas été possible de confirmer si le bucket de stockage Supabase attendu existe en production — l'environnement local ne l'a probablement pas reçu lors de la réimportation des données (le stockage de fichiers n'est généralement pas couvert par un export/import de base de données seule).</w:t>
      </w:r>
    </w:p>
    <w:p>
      <w:pPr>
        <w:spacing w:after="100" w:line="276"/>
      </w:pPr>
      <w:r>
        <w:rPr>
          <w:b/>
          <w:bCs/>
          <w:color w:val="1E7A34"/>
          <w:sz w:val="21"/>
          <w:szCs w:val="21"/>
        </w:rPr>
        <w:t xml:space="preserve">RECOMMANDATION  </w:t>
      </w:r>
      <w:r>
        <w:rPr>
          <w:color w:val="1F1F1F"/>
          <w:sz w:val="21"/>
          <w:szCs w:val="21"/>
        </w:rPr>
        <w:t xml:space="preserve">Vérifier l'existence et le nom exact du bucket attendu (project Supabase de production) puis s'assurer que l'environnement local le recrée automatiquement lors de la mise en place (script de setup local / supabase db reset). Si le problème existe aussi en production, il est prioritaire : les parents ne reçoivent alors aucun reçu.</w:t>
      </w:r>
    </w:p>
    <w:p>
      <w:pPr>
        <w:pStyle w:val="Heading2"/>
        <w:spacing w:after="120" w:before="300"/>
      </w:pPr>
      <w:r>
        <w:rPr>
          <w:b/>
          <w:bCs/>
          <w:color w:val="555555"/>
          <w:sz w:val="24"/>
          <w:szCs w:val="24"/>
        </w:rPr>
        <w:t xml:space="preserve">3.4 — Bouton "Export" non fonctionnel</w:t>
      </w:r>
    </w:p>
    <w:p>
      <w:pPr>
        <w:spacing w:after="100" w:line="276"/>
      </w:pPr>
      <w:r>
        <w:rPr>
          <w:b/>
          <w:bCs/>
          <w:color w:val="555555"/>
          <w:sz w:val="21"/>
          <w:szCs w:val="21"/>
        </w:rPr>
        <w:t xml:space="preserve">SÉVÉRITÉ  </w:t>
      </w:r>
      <w:r>
        <w:rPr>
          <w:color w:val="1F1F1F"/>
          <w:sz w:val="21"/>
          <w:szCs w:val="21"/>
        </w:rPr>
        <w:t xml:space="preserve">Mineur — fonctionnalité absente mais sans impact sur les données</w:t>
      </w:r>
    </w:p>
    <w:p>
      <w:pPr>
        <w:spacing w:after="100" w:line="276"/>
      </w:pPr>
      <w:r>
        <w:rPr>
          <w:b/>
          <w:bCs/>
          <w:color w:val="1F1F1F"/>
          <w:sz w:val="21"/>
          <w:szCs w:val="21"/>
        </w:rPr>
        <w:t xml:space="preserve">OBSERVÉ  </w:t>
      </w:r>
      <w:r>
        <w:rPr>
          <w:color w:val="1F1F1F"/>
          <w:sz w:val="21"/>
          <w:szCs w:val="21"/>
        </w:rPr>
        <w:t xml:space="preserve">Le bouton "Export" de la page Encaissements ne possède aucun gestionnaire onClick dans le code (src/pages/finances/sections/Payments.tsx) et le clic, testé en conditions réelles, ne déclenche aucun téléchargement.</w:t>
      </w:r>
    </w:p>
    <w:p>
      <w:pPr>
        <w:spacing w:after="100" w:line="276"/>
      </w:pPr>
      <w:r>
        <w:rPr>
          <w:b/>
          <w:bCs/>
          <w:color w:val="1E7A34"/>
          <w:sz w:val="21"/>
          <w:szCs w:val="21"/>
        </w:rPr>
        <w:t xml:space="preserve">RECOMMANDATION  </w:t>
      </w:r>
      <w:r>
        <w:rPr>
          <w:color w:val="1F1F1F"/>
          <w:sz w:val="21"/>
          <w:szCs w:val="21"/>
        </w:rPr>
        <w:t xml:space="preserve">Implémenter un export CSV/Excel de la liste filtrée, ou retirer/désactiver visuellement le bouton tant que la fonctionnalité n'est pas prête, pour éviter de laisser croire à une fonctionnalité manquante silencieusement.</w:t>
      </w:r>
    </w:p>
    <w:p>
      <w:pPr>
        <w:pStyle w:val="Heading1"/>
        <w:pBdr>
          <w:bottom w:val="single" w:color="7A1F3D" w:sz="6"/>
        </w:pBdr>
        <w:spacing w:after="160" w:before="360"/>
      </w:pPr>
      <w:r>
        <w:rPr>
          <w:b/>
          <w:bCs/>
          <w:color w:val="7A1F3D"/>
          <w:sz w:val="30"/>
          <w:szCs w:val="30"/>
        </w:rPr>
        <w:t xml:space="preserve">4. Fonctionnalités validées sans anomalie</w:t>
      </w:r>
    </w:p>
    <w:p>
      <w:pPr>
        <w:pStyle w:val="ListParagraph"/>
        <w:numPr>
          <w:ilvl w:val="0"/>
          <w:numId w:val="2"/>
        </w:numPr>
        <w:spacing w:after="80" w:line="276"/>
      </w:pPr>
      <w:r>
        <w:rPr>
          <w:color w:val="1F1F1F"/>
          <w:sz w:val="21"/>
          <w:szCs w:val="21"/>
        </w:rPr>
        <w:t xml:space="preserve">Encaissement (RPC solder_scolarite) : aperçu de ventilation correct avant validation, tranche correctement mise à jour, toast de confirmation correct, montants agrégés cohérents avant toute annulation.</w:t>
      </w:r>
    </w:p>
    <w:p>
      <w:pPr>
        <w:pStyle w:val="ListParagraph"/>
        <w:numPr>
          <w:ilvl w:val="0"/>
          <w:numId w:val="2"/>
        </w:numPr>
        <w:spacing w:after="80" w:line="276"/>
      </w:pPr>
      <w:r>
        <w:rPr>
          <w:color w:val="1F1F1F"/>
          <w:sz w:val="21"/>
          <w:szCs w:val="21"/>
        </w:rPr>
        <w:t xml:space="preserve">Remise / bourse (RPC appliquer_remise) : ventilation correcte sur la tranche choisie, motif et type de remise correctement enregistrés, mise à jour immédiate de la tranche.</w:t>
      </w:r>
    </w:p>
    <w:p>
      <w:pPr>
        <w:pStyle w:val="ListParagraph"/>
        <w:numPr>
          <w:ilvl w:val="0"/>
          <w:numId w:val="2"/>
        </w:numPr>
        <w:spacing w:after="80" w:line="276"/>
      </w:pPr>
      <w:r>
        <w:rPr>
          <w:color w:val="1F1F1F"/>
          <w:sz w:val="21"/>
          <w:szCs w:val="21"/>
        </w:rPr>
        <w:t xml:space="preserve">Règles de validation des formulaires : motif obligatoire (≥ 3 caractères pour une remise, ≥ 5 pour une annulation), plafonnement du montant de remise au reste de la tranche, double confirmation pour l'annulation — logique cohérente et bien implémentée.</w:t>
      </w:r>
    </w:p>
    <w:p>
      <w:pPr>
        <w:pStyle w:val="ListParagraph"/>
        <w:numPr>
          <w:ilvl w:val="0"/>
          <w:numId w:val="2"/>
        </w:numPr>
        <w:spacing w:after="80" w:line="276"/>
      </w:pPr>
      <w:r>
        <w:rPr>
          <w:color w:val="1F1F1F"/>
          <w:sz w:val="21"/>
          <w:szCs w:val="21"/>
        </w:rPr>
        <w:t xml:space="preserve">Montants agrégés de la page liste (Attendu, Encaissé, Remises) : exacts, recalculés directement depuis la table paiements avec filtre sur les paiements non annulés — aucune anomalie détectée sur ces trois indicateurs pris isolément.</w:t>
      </w:r>
    </w:p>
    <w:p>
      <w:pPr>
        <w:pStyle w:val="ListParagraph"/>
        <w:numPr>
          <w:ilvl w:val="0"/>
          <w:numId w:val="2"/>
        </w:numPr>
        <w:spacing w:after="80" w:line="276"/>
      </w:pPr>
      <w:r>
        <w:rPr>
          <w:color w:val="1F1F1F"/>
          <w:sz w:val="21"/>
          <w:szCs w:val="21"/>
        </w:rPr>
        <w:t xml:space="preserve">Pages Impayés &amp; relances, Reçus &amp; quittances, Synthèse par élève : chargement correct avec les données réelles (271 à 289 familles selon la vue), aucune erreur console ni erreur réseau détectée pendant les tests.</w:t>
      </w:r>
    </w:p>
    <w:p>
      <w:pPr>
        <w:pStyle w:val="ListParagraph"/>
        <w:numPr>
          <w:ilvl w:val="0"/>
          <w:numId w:val="2"/>
        </w:numPr>
        <w:spacing w:after="80" w:line="276"/>
      </w:pPr>
      <w:r>
        <w:rPr>
          <w:color w:val="1F1F1F"/>
          <w:sz w:val="21"/>
          <w:szCs w:val="21"/>
        </w:rPr>
        <w:t xml:space="preserve">Aucune fuite d'écriture vers la production détectée pendant les tests : toutes les requêtes ont ciblé exclusivement l'instance Supabase locale (127.0.0.1:54321).</w:t>
      </w:r>
    </w:p>
    <w:p>
      <w:pPr>
        <w:pStyle w:val="Heading1"/>
        <w:pBdr>
          <w:bottom w:val="single" w:color="7A1F3D" w:sz="6"/>
        </w:pBdr>
        <w:spacing w:after="160" w:before="360"/>
      </w:pPr>
      <w:r>
        <w:rPr>
          <w:b/>
          <w:bCs/>
          <w:color w:val="7A1F3D"/>
          <w:sz w:val="30"/>
          <w:szCs w:val="30"/>
        </w:rPr>
        <w:t xml:space="preserve">5. Vérification des montants — synthèse</w:t>
      </w:r>
    </w:p>
    <w:p>
      <w:pPr>
        <w:spacing w:after="140" w:line="288"/>
      </w:pPr>
      <w:r>
        <w:rPr>
          <w:color w:val="1F1F1F"/>
          <w:sz w:val="21"/>
          <w:szCs w:val="21"/>
        </w:rPr>
        <w:t xml:space="preserve">Comparaison, pour l'année scolaire active et l'école testée, entre les montants recalculés directement par requête SQL et ceux affichés par l'application au même instant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800"/>
        <w:gridCol w:w="1560"/>
      </w:tblGrid>
      <w:tr>
        <w:trPr>
          <w:tblHeader/>
        </w:trPr>
        <w:tc>
          <w:tcPr>
            <w:tcW w:type="dxa" w:w="3600"/>
            <w:shd w:fill="7A1F3D" w:val="clear"/>
            <w:tcMar>
              <w:top w:type="dxa" w:w="80"/>
              <w:left w:type="dxa" w:w="100"/>
              <w:bottom w:type="dxa" w:w="80"/>
              <w:right w:type="dxa" w:w="100"/>
            </w:tcMar>
          </w:tcPr>
          <w:p>
            <w:pPr>
              <w:jc w:val="left"/>
            </w:pPr>
            <w:r>
              <w:rPr>
                <w:b/>
                <w:bCs/>
                <w:color w:val="FFFFFF"/>
                <w:sz w:val="19"/>
                <w:szCs w:val="19"/>
              </w:rPr>
              <w:t xml:space="preserve">Indicateur</w:t>
            </w:r>
          </w:p>
        </w:tc>
        <w:tc>
          <w:tcPr>
            <w:tcW w:type="dxa" w:w="2300"/>
            <w:shd w:fill="7A1F3D" w:val="clear"/>
            <w:tcMar>
              <w:top w:type="dxa" w:w="80"/>
              <w:left w:type="dxa" w:w="100"/>
              <w:bottom w:type="dxa" w:w="80"/>
              <w:right w:type="dxa" w:w="100"/>
            </w:tcMar>
          </w:tcPr>
          <w:p>
            <w:pPr>
              <w:jc w:val="left"/>
            </w:pPr>
            <w:r>
              <w:rPr>
                <w:b/>
                <w:bCs/>
                <w:color w:val="FFFFFF"/>
                <w:sz w:val="19"/>
                <w:szCs w:val="19"/>
              </w:rPr>
              <w:t xml:space="preserve">Calculé en base (SQL)</w:t>
            </w:r>
          </w:p>
        </w:tc>
        <w:tc>
          <w:tcPr>
            <w:tcW w:type="dxa" w:w="2800"/>
            <w:shd w:fill="7A1F3D" w:val="clear"/>
            <w:tcMar>
              <w:top w:type="dxa" w:w="80"/>
              <w:left w:type="dxa" w:w="100"/>
              <w:bottom w:type="dxa" w:w="80"/>
              <w:right w:type="dxa" w:w="100"/>
            </w:tcMar>
          </w:tcPr>
          <w:p>
            <w:pPr>
              <w:jc w:val="left"/>
            </w:pPr>
            <w:r>
              <w:rPr>
                <w:b/>
                <w:bCs/>
                <w:color w:val="FFFFFF"/>
                <w:sz w:val="19"/>
                <w:szCs w:val="19"/>
              </w:rPr>
              <w:t xml:space="preserve">Affiché par l'application</w:t>
            </w:r>
          </w:p>
        </w:tc>
        <w:tc>
          <w:tcPr>
            <w:tcW w:type="dxa" w:w="1560"/>
            <w:shd w:fill="7A1F3D" w:val="clear"/>
            <w:tcMar>
              <w:top w:type="dxa" w:w="80"/>
              <w:left w:type="dxa" w:w="100"/>
              <w:bottom w:type="dxa" w:w="80"/>
              <w:right w:type="dxa" w:w="100"/>
            </w:tcMar>
          </w:tcPr>
          <w:p>
            <w:pPr>
              <w:jc w:val="left"/>
            </w:pPr>
            <w:r>
              <w:rPr>
                <w:b/>
                <w:bCs/>
                <w:color w:val="FFFFFF"/>
                <w:sz w:val="19"/>
                <w:szCs w:val="19"/>
              </w:rPr>
              <w:t xml:space="preserve">Écart</w:t>
            </w:r>
          </w:p>
        </w:tc>
      </w:tr>
      <w:tr>
        <w:tc>
          <w:tcPr>
            <w:tcW w:type="dxa" w:w="3600"/>
            <w:tcMar>
              <w:top w:type="dxa" w:w="80"/>
              <w:left w:type="dxa" w:w="100"/>
              <w:bottom w:type="dxa" w:w="80"/>
              <w:right w:type="dxa" w:w="100"/>
            </w:tcMar>
          </w:tcPr>
          <w:p>
            <w:pPr>
              <w:jc w:val="left"/>
            </w:pPr>
            <w:r>
              <w:rPr>
                <w:b w:val="false"/>
                <w:bCs w:val="false"/>
                <w:color w:val="1F1F1F"/>
                <w:sz w:val="19"/>
                <w:szCs w:val="19"/>
              </w:rPr>
              <w:t xml:space="preserve">Attendu (somme des tranches)</w:t>
            </w:r>
          </w:p>
        </w:tc>
        <w:tc>
          <w:tcPr>
            <w:tcW w:type="dxa" w:w="2300"/>
            <w:tcMar>
              <w:top w:type="dxa" w:w="80"/>
              <w:left w:type="dxa" w:w="100"/>
              <w:bottom w:type="dxa" w:w="80"/>
              <w:right w:type="dxa" w:w="100"/>
            </w:tcMar>
          </w:tcPr>
          <w:p>
            <w:pPr>
              <w:jc w:val="left"/>
            </w:pPr>
            <w:r>
              <w:rPr>
                <w:b w:val="false"/>
                <w:bCs w:val="false"/>
                <w:color w:val="1F1F1F"/>
                <w:sz w:val="19"/>
                <w:szCs w:val="19"/>
              </w:rPr>
              <w:t xml:space="preserve">46 820 000</w:t>
            </w:r>
          </w:p>
        </w:tc>
        <w:tc>
          <w:tcPr>
            <w:tcW w:type="dxa" w:w="2800"/>
            <w:tcMar>
              <w:top w:type="dxa" w:w="80"/>
              <w:left w:type="dxa" w:w="100"/>
              <w:bottom w:type="dxa" w:w="80"/>
              <w:right w:type="dxa" w:w="100"/>
            </w:tcMar>
          </w:tcPr>
          <w:p>
            <w:pPr>
              <w:jc w:val="left"/>
            </w:pPr>
            <w:r>
              <w:rPr>
                <w:b w:val="false"/>
                <w:bCs w:val="false"/>
                <w:color w:val="1F1F1F"/>
                <w:sz w:val="19"/>
                <w:szCs w:val="19"/>
              </w:rPr>
              <w:t xml:space="preserve">46 820 000</w:t>
            </w:r>
          </w:p>
        </w:tc>
        <w:tc>
          <w:tcPr>
            <w:tcW w:type="dxa" w:w="1560"/>
            <w:tcMar>
              <w:top w:type="dxa" w:w="80"/>
              <w:left w:type="dxa" w:w="100"/>
              <w:bottom w:type="dxa" w:w="80"/>
              <w:right w:type="dxa" w:w="100"/>
            </w:tcMar>
          </w:tcPr>
          <w:p>
            <w:pPr>
              <w:jc w:val="left"/>
            </w:pPr>
            <w:r>
              <w:rPr>
                <w:b w:val="false"/>
                <w:bCs w:val="false"/>
                <w:color w:val="1F1F1F"/>
                <w:sz w:val="19"/>
                <w:szCs w:val="19"/>
              </w:rPr>
              <w:t xml:space="preserve">Aucun</w:t>
            </w:r>
          </w:p>
        </w:tc>
      </w:tr>
      <w:tr>
        <w:tc>
          <w:tcPr>
            <w:tcW w:type="dxa" w:w="3600"/>
            <w:shd w:fill="F2F2F2" w:val="clear"/>
            <w:tcMar>
              <w:top w:type="dxa" w:w="80"/>
              <w:left w:type="dxa" w:w="100"/>
              <w:bottom w:type="dxa" w:w="80"/>
              <w:right w:type="dxa" w:w="100"/>
            </w:tcMar>
          </w:tcPr>
          <w:p>
            <w:pPr>
              <w:jc w:val="left"/>
            </w:pPr>
            <w:r>
              <w:rPr>
                <w:b w:val="false"/>
                <w:bCs w:val="false"/>
                <w:color w:val="1F1F1F"/>
                <w:sz w:val="19"/>
                <w:szCs w:val="19"/>
              </w:rPr>
              <w:t xml:space="preserve">Encaissé (paiements non annulés)</w:t>
            </w:r>
          </w:p>
        </w:tc>
        <w:tc>
          <w:tcPr>
            <w:tcW w:type="dxa" w:w="2300"/>
            <w:shd w:fill="F2F2F2" w:val="clear"/>
            <w:tcMar>
              <w:top w:type="dxa" w:w="80"/>
              <w:left w:type="dxa" w:w="100"/>
              <w:bottom w:type="dxa" w:w="80"/>
              <w:right w:type="dxa" w:w="100"/>
            </w:tcMar>
          </w:tcPr>
          <w:p>
            <w:pPr>
              <w:jc w:val="left"/>
            </w:pPr>
            <w:r>
              <w:rPr>
                <w:b w:val="false"/>
                <w:bCs w:val="false"/>
                <w:color w:val="1F1F1F"/>
                <w:sz w:val="19"/>
                <w:szCs w:val="19"/>
              </w:rPr>
              <w:t xml:space="preserve">9 480 000</w:t>
            </w:r>
          </w:p>
        </w:tc>
        <w:tc>
          <w:tcPr>
            <w:tcW w:type="dxa" w:w="2800"/>
            <w:shd w:fill="F2F2F2" w:val="clear"/>
            <w:tcMar>
              <w:top w:type="dxa" w:w="80"/>
              <w:left w:type="dxa" w:w="100"/>
              <w:bottom w:type="dxa" w:w="80"/>
              <w:right w:type="dxa" w:w="100"/>
            </w:tcMar>
          </w:tcPr>
          <w:p>
            <w:pPr>
              <w:jc w:val="left"/>
            </w:pPr>
            <w:r>
              <w:rPr>
                <w:b w:val="false"/>
                <w:bCs w:val="false"/>
                <w:color w:val="1F1F1F"/>
                <w:sz w:val="19"/>
                <w:szCs w:val="19"/>
              </w:rPr>
              <w:t xml:space="preserve">9 480 000 ("Couvert")</w:t>
            </w:r>
          </w:p>
        </w:tc>
        <w:tc>
          <w:tcPr>
            <w:tcW w:type="dxa" w:w="1560"/>
            <w:shd w:fill="F2F2F2" w:val="clear"/>
            <w:tcMar>
              <w:top w:type="dxa" w:w="80"/>
              <w:left w:type="dxa" w:w="100"/>
              <w:bottom w:type="dxa" w:w="80"/>
              <w:right w:type="dxa" w:w="100"/>
            </w:tcMar>
          </w:tcPr>
          <w:p>
            <w:pPr>
              <w:jc w:val="left"/>
            </w:pPr>
            <w:r>
              <w:rPr>
                <w:b w:val="false"/>
                <w:bCs w:val="false"/>
                <w:color w:val="1F1F1F"/>
                <w:sz w:val="19"/>
                <w:szCs w:val="19"/>
              </w:rPr>
              <w:t xml:space="preserve">Aucun sur ce sous-total</w:t>
            </w:r>
          </w:p>
        </w:tc>
      </w:tr>
      <w:tr>
        <w:tc>
          <w:tcPr>
            <w:tcW w:type="dxa" w:w="3600"/>
            <w:tcMar>
              <w:top w:type="dxa" w:w="80"/>
              <w:left w:type="dxa" w:w="100"/>
              <w:bottom w:type="dxa" w:w="80"/>
              <w:right w:type="dxa" w:w="100"/>
            </w:tcMar>
          </w:tcPr>
          <w:p>
            <w:pPr>
              <w:jc w:val="left"/>
            </w:pPr>
            <w:r>
              <w:rPr>
                <w:b w:val="false"/>
                <w:bCs w:val="false"/>
                <w:color w:val="1F1F1F"/>
                <w:sz w:val="19"/>
                <w:szCs w:val="19"/>
              </w:rPr>
              <w:t xml:space="preserve">Remises (paiements non annulés)</w:t>
            </w:r>
          </w:p>
        </w:tc>
        <w:tc>
          <w:tcPr>
            <w:tcW w:type="dxa" w:w="2300"/>
            <w:tcMar>
              <w:top w:type="dxa" w:w="80"/>
              <w:left w:type="dxa" w:w="100"/>
              <w:bottom w:type="dxa" w:w="80"/>
              <w:right w:type="dxa" w:w="100"/>
            </w:tcMar>
          </w:tcPr>
          <w:p>
            <w:pPr>
              <w:jc w:val="left"/>
            </w:pPr>
            <w:r>
              <w:rPr>
                <w:b w:val="false"/>
                <w:bCs w:val="false"/>
                <w:color w:val="1F1F1F"/>
                <w:sz w:val="19"/>
                <w:szCs w:val="19"/>
              </w:rPr>
              <w:t xml:space="preserve">140 000</w:t>
            </w:r>
          </w:p>
        </w:tc>
        <w:tc>
          <w:tcPr>
            <w:tcW w:type="dxa" w:w="2800"/>
            <w:tcMar>
              <w:top w:type="dxa" w:w="80"/>
              <w:left w:type="dxa" w:w="100"/>
              <w:bottom w:type="dxa" w:w="80"/>
              <w:right w:type="dxa" w:w="100"/>
            </w:tcMar>
          </w:tcPr>
          <w:p>
            <w:pPr>
              <w:jc w:val="left"/>
            </w:pPr>
            <w:r>
              <w:rPr>
                <w:b w:val="false"/>
                <w:bCs w:val="false"/>
                <w:color w:val="1F1F1F"/>
                <w:sz w:val="19"/>
                <w:szCs w:val="19"/>
              </w:rPr>
              <w:t xml:space="preserve">140 000</w:t>
            </w:r>
          </w:p>
        </w:tc>
        <w:tc>
          <w:tcPr>
            <w:tcW w:type="dxa" w:w="1560"/>
            <w:tcMar>
              <w:top w:type="dxa" w:w="80"/>
              <w:left w:type="dxa" w:w="100"/>
              <w:bottom w:type="dxa" w:w="80"/>
              <w:right w:type="dxa" w:w="100"/>
            </w:tcMar>
          </w:tcPr>
          <w:p>
            <w:pPr>
              <w:jc w:val="left"/>
            </w:pPr>
            <w:r>
              <w:rPr>
                <w:b w:val="false"/>
                <w:bCs w:val="false"/>
                <w:color w:val="1F1F1F"/>
                <w:sz w:val="19"/>
                <w:szCs w:val="19"/>
              </w:rPr>
              <w:t xml:space="preserve">Aucun</w:t>
            </w:r>
          </w:p>
        </w:tc>
      </w:tr>
      <w:tr>
        <w:tc>
          <w:tcPr>
            <w:tcW w:type="dxa" w:w="3600"/>
            <w:shd w:fill="F2F2F2" w:val="clear"/>
            <w:tcMar>
              <w:top w:type="dxa" w:w="80"/>
              <w:left w:type="dxa" w:w="100"/>
              <w:bottom w:type="dxa" w:w="80"/>
              <w:right w:type="dxa" w:w="100"/>
            </w:tcMar>
          </w:tcPr>
          <w:p>
            <w:pPr>
              <w:jc w:val="left"/>
            </w:pPr>
            <w:r>
              <w:rPr>
                <w:b w:val="false"/>
                <w:bCs w:val="false"/>
                <w:color w:val="1F1F1F"/>
                <w:sz w:val="19"/>
                <w:szCs w:val="19"/>
              </w:rPr>
              <w:t xml:space="preserve">"Couvert" = encaissé + remises</w:t>
            </w:r>
          </w:p>
        </w:tc>
        <w:tc>
          <w:tcPr>
            <w:tcW w:type="dxa" w:w="2300"/>
            <w:shd w:fill="F2F2F2" w:val="clear"/>
            <w:tcMar>
              <w:top w:type="dxa" w:w="80"/>
              <w:left w:type="dxa" w:w="100"/>
              <w:bottom w:type="dxa" w:w="80"/>
              <w:right w:type="dxa" w:w="100"/>
            </w:tcMar>
          </w:tcPr>
          <w:p>
            <w:pPr>
              <w:jc w:val="left"/>
            </w:pPr>
            <w:r>
              <w:rPr>
                <w:b w:val="false"/>
                <w:bCs w:val="false"/>
                <w:color w:val="1F1F1F"/>
                <w:sz w:val="19"/>
                <w:szCs w:val="19"/>
              </w:rPr>
              <w:t xml:space="preserve">9 620 000</w:t>
            </w:r>
          </w:p>
        </w:tc>
        <w:tc>
          <w:tcPr>
            <w:tcW w:type="dxa" w:w="2800"/>
            <w:shd w:fill="F2F2F2" w:val="clear"/>
            <w:tcMar>
              <w:top w:type="dxa" w:w="80"/>
              <w:left w:type="dxa" w:w="100"/>
              <w:bottom w:type="dxa" w:w="80"/>
              <w:right w:type="dxa" w:w="100"/>
            </w:tcMar>
          </w:tcPr>
          <w:p>
            <w:pPr>
              <w:jc w:val="left"/>
            </w:pPr>
            <w:r>
              <w:rPr>
                <w:b w:val="false"/>
                <w:bCs w:val="false"/>
                <w:color w:val="1F1F1F"/>
                <w:sz w:val="19"/>
                <w:szCs w:val="19"/>
              </w:rPr>
              <w:t xml:space="preserve">9 480 000</w:t>
            </w:r>
          </w:p>
        </w:tc>
        <w:tc>
          <w:tcPr>
            <w:tcW w:type="dxa" w:w="1560"/>
            <w:shd w:fill="F2F2F2" w:val="clear"/>
            <w:tcMar>
              <w:top w:type="dxa" w:w="80"/>
              <w:left w:type="dxa" w:w="100"/>
              <w:bottom w:type="dxa" w:w="80"/>
              <w:right w:type="dxa" w:w="100"/>
            </w:tcMar>
          </w:tcPr>
          <w:p>
            <w:pPr>
              <w:jc w:val="left"/>
            </w:pPr>
            <w:r>
              <w:rPr>
                <w:b w:val="false"/>
                <w:bCs w:val="false"/>
                <w:color w:val="1F1F1F"/>
                <w:sz w:val="19"/>
                <w:szCs w:val="19"/>
              </w:rPr>
              <w:t xml:space="preserve">− 140 000 (cf. 3.2)</w:t>
            </w:r>
          </w:p>
        </w:tc>
      </w:tr>
      <w:tr>
        <w:tc>
          <w:tcPr>
            <w:tcW w:type="dxa" w:w="3600"/>
            <w:tcMar>
              <w:top w:type="dxa" w:w="80"/>
              <w:left w:type="dxa" w:w="100"/>
              <w:bottom w:type="dxa" w:w="80"/>
              <w:right w:type="dxa" w:w="100"/>
            </w:tcMar>
          </w:tcPr>
          <w:p>
            <w:pPr>
              <w:jc w:val="left"/>
            </w:pPr>
            <w:r>
              <w:rPr>
                <w:b w:val="false"/>
                <w:bCs w:val="false"/>
                <w:color w:val="1F1F1F"/>
                <w:sz w:val="19"/>
                <w:szCs w:val="19"/>
              </w:rPr>
              <w:t xml:space="preserve">"Reste dû" = attendu − couvert</w:t>
            </w:r>
          </w:p>
        </w:tc>
        <w:tc>
          <w:tcPr>
            <w:tcW w:type="dxa" w:w="2300"/>
            <w:tcMar>
              <w:top w:type="dxa" w:w="80"/>
              <w:left w:type="dxa" w:w="100"/>
              <w:bottom w:type="dxa" w:w="80"/>
              <w:right w:type="dxa" w:w="100"/>
            </w:tcMar>
          </w:tcPr>
          <w:p>
            <w:pPr>
              <w:jc w:val="left"/>
            </w:pPr>
            <w:r>
              <w:rPr>
                <w:b w:val="false"/>
                <w:bCs w:val="false"/>
                <w:color w:val="1F1F1F"/>
                <w:sz w:val="19"/>
                <w:szCs w:val="19"/>
              </w:rPr>
              <w:t xml:space="preserve">37 200 000</w:t>
            </w:r>
          </w:p>
        </w:tc>
        <w:tc>
          <w:tcPr>
            <w:tcW w:type="dxa" w:w="2800"/>
            <w:tcMar>
              <w:top w:type="dxa" w:w="80"/>
              <w:left w:type="dxa" w:w="100"/>
              <w:bottom w:type="dxa" w:w="80"/>
              <w:right w:type="dxa" w:w="100"/>
            </w:tcMar>
          </w:tcPr>
          <w:p>
            <w:pPr>
              <w:jc w:val="left"/>
            </w:pPr>
            <w:r>
              <w:rPr>
                <w:b w:val="false"/>
                <w:bCs w:val="false"/>
                <w:color w:val="1F1F1F"/>
                <w:sz w:val="19"/>
                <w:szCs w:val="19"/>
              </w:rPr>
              <w:t xml:space="preserve">37 340 000</w:t>
            </w:r>
          </w:p>
        </w:tc>
        <w:tc>
          <w:tcPr>
            <w:tcW w:type="dxa" w:w="1560"/>
            <w:tcMar>
              <w:top w:type="dxa" w:w="80"/>
              <w:left w:type="dxa" w:w="100"/>
              <w:bottom w:type="dxa" w:w="80"/>
              <w:right w:type="dxa" w:w="100"/>
            </w:tcMar>
          </w:tcPr>
          <w:p>
            <w:pPr>
              <w:jc w:val="left"/>
            </w:pPr>
            <w:r>
              <w:rPr>
                <w:b w:val="false"/>
                <w:bCs w:val="false"/>
                <w:color w:val="1F1F1F"/>
                <w:sz w:val="19"/>
                <w:szCs w:val="19"/>
              </w:rPr>
              <w:t xml:space="preserve">+ 140 000 (cf. 3.2)</w:t>
            </w:r>
          </w:p>
        </w:tc>
      </w:tr>
      <w:tr>
        <w:tc>
          <w:tcPr>
            <w:tcW w:type="dxa" w:w="3600"/>
            <w:shd w:fill="F2F2F2" w:val="clear"/>
            <w:tcMar>
              <w:top w:type="dxa" w:w="80"/>
              <w:left w:type="dxa" w:w="100"/>
              <w:bottom w:type="dxa" w:w="80"/>
              <w:right w:type="dxa" w:w="100"/>
            </w:tcMar>
          </w:tcPr>
          <w:p>
            <w:pPr>
              <w:jc w:val="left"/>
            </w:pPr>
            <w:r>
              <w:rPr>
                <w:b w:val="false"/>
                <w:bCs w:val="false"/>
                <w:color w:val="1F1F1F"/>
                <w:sz w:val="19"/>
                <w:szCs w:val="19"/>
              </w:rPr>
              <w:t xml:space="preserve">Somme tranches.paye (avant annulation-test)</w:t>
            </w:r>
          </w:p>
        </w:tc>
        <w:tc>
          <w:tcPr>
            <w:tcW w:type="dxa" w:w="2300"/>
            <w:shd w:fill="F2F2F2" w:val="clear"/>
            <w:tcMar>
              <w:top w:type="dxa" w:w="80"/>
              <w:left w:type="dxa" w:w="100"/>
              <w:bottom w:type="dxa" w:w="80"/>
              <w:right w:type="dxa" w:w="100"/>
            </w:tcMar>
          </w:tcPr>
          <w:p>
            <w:pPr>
              <w:jc w:val="left"/>
            </w:pPr>
            <w:r>
              <w:rPr>
                <w:b w:val="false"/>
                <w:bCs w:val="false"/>
                <w:color w:val="1F1F1F"/>
                <w:sz w:val="19"/>
                <w:szCs w:val="19"/>
              </w:rPr>
              <w:t xml:space="preserve">9 620 000</w:t>
            </w:r>
          </w:p>
        </w:tc>
        <w:tc>
          <w:tcPr>
            <w:tcW w:type="dxa" w:w="2800"/>
            <w:shd w:fill="F2F2F2" w:val="clear"/>
            <w:tcMar>
              <w:top w:type="dxa" w:w="80"/>
              <w:left w:type="dxa" w:w="100"/>
              <w:bottom w:type="dxa" w:w="80"/>
              <w:right w:type="dxa" w:w="100"/>
            </w:tcMar>
          </w:tcPr>
          <w:p>
            <w:pPr>
              <w:jc w:val="left"/>
            </w:pPr>
            <w:r>
              <w:rPr>
                <w:b w:val="false"/>
                <w:bCs w:val="false"/>
                <w:color w:val="1F1F1F"/>
                <w:sz w:val="19"/>
                <w:szCs w:val="19"/>
              </w:rPr>
              <w:t xml:space="preserve">n/a (interne)</w:t>
            </w:r>
          </w:p>
        </w:tc>
        <w:tc>
          <w:tcPr>
            <w:tcW w:type="dxa" w:w="1560"/>
            <w:shd w:fill="F2F2F2" w:val="clear"/>
            <w:tcMar>
              <w:top w:type="dxa" w:w="80"/>
              <w:left w:type="dxa" w:w="100"/>
              <w:bottom w:type="dxa" w:w="80"/>
              <w:right w:type="dxa" w:w="100"/>
            </w:tcMar>
          </w:tcPr>
          <w:p>
            <w:pPr>
              <w:jc w:val="left"/>
            </w:pPr>
            <w:r>
              <w:rPr>
                <w:b w:val="false"/>
                <w:bCs w:val="false"/>
                <w:color w:val="1F1F1F"/>
                <w:sz w:val="19"/>
                <w:szCs w:val="19"/>
              </w:rPr>
              <w:t xml:space="preserve">Aucun avant annulation</w:t>
            </w:r>
          </w:p>
        </w:tc>
      </w:tr>
      <w:tr>
        <w:tc>
          <w:tcPr>
            <w:tcW w:type="dxa" w:w="3600"/>
            <w:tcMar>
              <w:top w:type="dxa" w:w="80"/>
              <w:left w:type="dxa" w:w="100"/>
              <w:bottom w:type="dxa" w:w="80"/>
              <w:right w:type="dxa" w:w="100"/>
            </w:tcMar>
          </w:tcPr>
          <w:p>
            <w:pPr>
              <w:jc w:val="left"/>
            </w:pPr>
            <w:r>
              <w:rPr>
                <w:b w:val="false"/>
                <w:bCs w:val="false"/>
                <w:color w:val="1F1F1F"/>
                <w:sz w:val="19"/>
                <w:szCs w:val="19"/>
              </w:rPr>
              <w:t xml:space="preserve">Somme tranches.paye (après annulation-test de 3 000)</w:t>
            </w:r>
          </w:p>
        </w:tc>
        <w:tc>
          <w:tcPr>
            <w:tcW w:type="dxa" w:w="2300"/>
            <w:tcMar>
              <w:top w:type="dxa" w:w="80"/>
              <w:left w:type="dxa" w:w="100"/>
              <w:bottom w:type="dxa" w:w="80"/>
              <w:right w:type="dxa" w:w="100"/>
            </w:tcMar>
          </w:tcPr>
          <w:p>
            <w:pPr>
              <w:jc w:val="left"/>
            </w:pPr>
            <w:r>
              <w:rPr>
                <w:b w:val="false"/>
                <w:bCs w:val="false"/>
                <w:color w:val="1F1F1F"/>
                <w:sz w:val="19"/>
                <w:szCs w:val="19"/>
              </w:rPr>
              <w:t xml:space="preserve">9 623 000</w:t>
            </w:r>
          </w:p>
        </w:tc>
        <w:tc>
          <w:tcPr>
            <w:tcW w:type="dxa" w:w="2800"/>
            <w:tcMar>
              <w:top w:type="dxa" w:w="80"/>
              <w:left w:type="dxa" w:w="100"/>
              <w:bottom w:type="dxa" w:w="80"/>
              <w:right w:type="dxa" w:w="100"/>
            </w:tcMar>
          </w:tcPr>
          <w:p>
            <w:pPr>
              <w:jc w:val="left"/>
            </w:pPr>
            <w:r>
              <w:rPr>
                <w:b w:val="false"/>
                <w:bCs w:val="false"/>
                <w:color w:val="1F1F1F"/>
                <w:sz w:val="19"/>
                <w:szCs w:val="19"/>
              </w:rPr>
              <w:t xml:space="preserve">n/a (interne)</w:t>
            </w:r>
          </w:p>
        </w:tc>
        <w:tc>
          <w:tcPr>
            <w:tcW w:type="dxa" w:w="1560"/>
            <w:tcMar>
              <w:top w:type="dxa" w:w="80"/>
              <w:left w:type="dxa" w:w="100"/>
              <w:bottom w:type="dxa" w:w="80"/>
              <w:right w:type="dxa" w:w="100"/>
            </w:tcMar>
          </w:tcPr>
          <w:p>
            <w:pPr>
              <w:jc w:val="left"/>
            </w:pPr>
            <w:r>
              <w:rPr>
                <w:b w:val="false"/>
                <w:bCs w:val="false"/>
                <w:color w:val="1F1F1F"/>
                <w:sz w:val="19"/>
                <w:szCs w:val="19"/>
              </w:rPr>
              <w:t xml:space="preserve">+ 3 000 non corrigé (cf. 3.1)</w:t>
            </w:r>
          </w:p>
        </w:tc>
      </w:tr>
    </w:tbl>
    <w:p>
      <w:pPr>
        <w:pStyle w:val="Heading1"/>
        <w:pBdr>
          <w:bottom w:val="single" w:color="7A1F3D" w:sz="6"/>
        </w:pBdr>
        <w:spacing w:after="160" w:before="360"/>
      </w:pPr>
      <w:r>
        <w:rPr>
          <w:b/>
          <w:bCs/>
          <w:color w:val="7A1F3D"/>
          <w:sz w:val="30"/>
          <w:szCs w:val="30"/>
        </w:rPr>
        <w:t xml:space="preserve">6. Recommandations priorisées</w:t>
      </w:r>
    </w:p>
    <w:p>
      <w:pPr>
        <w:pStyle w:val="Heading3"/>
        <w:spacing w:after="100" w:before="200"/>
      </w:pPr>
      <w:r>
        <w:rPr>
          <w:b/>
          <w:bCs/>
          <w:color w:val="1F1F1F"/>
          <w:sz w:val="21"/>
          <w:szCs w:val="21"/>
        </w:rPr>
        <w:t xml:space="preserve">Priorité 1 — Intégrité des données</w:t>
      </w:r>
    </w:p>
    <w:p>
      <w:pPr>
        <w:pStyle w:val="ListParagraph"/>
        <w:numPr>
          <w:ilvl w:val="0"/>
          <w:numId w:val="2"/>
        </w:numPr>
        <w:spacing w:after="80" w:line="276"/>
      </w:pPr>
      <w:r>
        <w:rPr>
          <w:color w:val="1F1F1F"/>
          <w:sz w:val="21"/>
          <w:szCs w:val="21"/>
        </w:rPr>
        <w:t xml:space="preserve">Corriger le trigger reconcilier_tranche_paiements() (filtre annule_le IS NULL manquant) — voir 3.1.</w:t>
      </w:r>
    </w:p>
    <w:p>
      <w:pPr>
        <w:pStyle w:val="ListParagraph"/>
        <w:numPr>
          <w:ilvl w:val="0"/>
          <w:numId w:val="2"/>
        </w:numPr>
        <w:spacing w:after="80" w:line="276"/>
      </w:pPr>
      <w:r>
        <w:rPr>
          <w:color w:val="1F1F1F"/>
          <w:sz w:val="21"/>
          <w:szCs w:val="21"/>
        </w:rPr>
        <w:t xml:space="preserve">Auditer la production en lecture seule pour mesurer une éventuelle dérive déjà accumulée avant de déployer le correctif.</w:t>
      </w:r>
    </w:p>
    <w:p>
      <w:pPr>
        <w:pStyle w:val="Heading3"/>
        <w:spacing w:after="100" w:before="200"/>
      </w:pPr>
      <w:r>
        <w:rPr>
          <w:b/>
          <w:bCs/>
          <w:color w:val="1F1F1F"/>
          <w:sz w:val="21"/>
          <w:szCs w:val="21"/>
        </w:rPr>
        <w:t xml:space="preserve">Priorité 2 — Fiabilité de l'affichage</w:t>
      </w:r>
    </w:p>
    <w:p>
      <w:pPr>
        <w:pStyle w:val="ListParagraph"/>
        <w:numPr>
          <w:ilvl w:val="0"/>
          <w:numId w:val="2"/>
        </w:numPr>
        <w:spacing w:after="80" w:line="276"/>
      </w:pPr>
      <w:r>
        <w:rPr>
          <w:color w:val="1F1F1F"/>
          <w:sz w:val="21"/>
          <w:szCs w:val="21"/>
        </w:rPr>
        <w:t xml:space="preserve">Unifier le calcul de "Couvert" / "Reste dû" dans useFinanceData.ts — voir 3.2.</w:t>
      </w:r>
    </w:p>
    <w:p>
      <w:pPr>
        <w:pStyle w:val="ListParagraph"/>
        <w:numPr>
          <w:ilvl w:val="0"/>
          <w:numId w:val="2"/>
        </w:numPr>
        <w:spacing w:after="80" w:line="276"/>
      </w:pPr>
      <w:r>
        <w:rPr>
          <w:color w:val="1F1F1F"/>
          <w:sz w:val="21"/>
          <w:szCs w:val="21"/>
        </w:rPr>
        <w:t xml:space="preserve">Résoudre l'échec de génération des reçus (bucket Storage) — voir 3.3.</w:t>
      </w:r>
    </w:p>
    <w:p>
      <w:pPr>
        <w:pStyle w:val="Heading3"/>
        <w:spacing w:after="100" w:before="200"/>
      </w:pPr>
      <w:r>
        <w:rPr>
          <w:b/>
          <w:bCs/>
          <w:color w:val="1F1F1F"/>
          <w:sz w:val="21"/>
          <w:szCs w:val="21"/>
        </w:rPr>
        <w:t xml:space="preserve">Priorité 3 — Complétude</w:t>
      </w:r>
    </w:p>
    <w:p>
      <w:pPr>
        <w:pStyle w:val="ListParagraph"/>
        <w:numPr>
          <w:ilvl w:val="0"/>
          <w:numId w:val="2"/>
        </w:numPr>
        <w:spacing w:after="80" w:line="276"/>
      </w:pPr>
      <w:r>
        <w:rPr>
          <w:color w:val="1F1F1F"/>
          <w:sz w:val="21"/>
          <w:szCs w:val="21"/>
        </w:rPr>
        <w:t xml:space="preserve">Implémenter ou retirer le bouton Export — voir 3.4.</w:t>
      </w:r>
    </w:p>
    <w:p>
      <w:pPr>
        <w:pStyle w:val="ListParagraph"/>
        <w:numPr>
          <w:ilvl w:val="0"/>
          <w:numId w:val="2"/>
        </w:numPr>
        <w:spacing w:after="80" w:line="276"/>
      </w:pPr>
      <w:r>
        <w:rPr>
          <w:color w:val="1F1F1F"/>
          <w:sz w:val="21"/>
          <w:szCs w:val="21"/>
        </w:rPr>
        <w:t xml:space="preserve">Ajouter un test Playwright de non-régression couvrant le cycle complet encaissement → remise → annulation → vérification des soldes, afin de détecter automatiquement une régression future de ce type.</w:t>
      </w:r>
    </w:p>
    <w:p>
      <w:pPr>
        <w:pStyle w:val="Heading1"/>
        <w:pBdr>
          <w:bottom w:val="single" w:color="7A1F3D" w:sz="6"/>
        </w:pBdr>
        <w:spacing w:after="160" w:before="360"/>
      </w:pPr>
      <w:r>
        <w:rPr>
          <w:b/>
          <w:bCs/>
          <w:color w:val="7A1F3D"/>
          <w:sz w:val="30"/>
          <w:szCs w:val="30"/>
        </w:rPr>
        <w:t xml:space="preserve">7. Note de méthode et nettoyage</w:t>
      </w:r>
    </w:p>
    <w:p>
      <w:pPr>
        <w:spacing w:after="140" w:line="288"/>
      </w:pPr>
      <w:r>
        <w:rPr>
          <w:color w:val="1F1F1F"/>
          <w:sz w:val="21"/>
          <w:szCs w:val="21"/>
        </w:rPr>
        <w:t xml:space="preserve">Les tests d'écriture (encaissements, remise, annulation) ont été réalisés exclusivement sur l'instance Supabase locale, via le compte de test test.local@laprovidence.dev, sur une élève choisie arbitrairement (KOUASSI AKISSI EMMANUELLE VICTOIRE) dans la copie locale des données de production. À l'issue des tests :</w:t>
      </w:r>
    </w:p>
    <w:p>
      <w:pPr>
        <w:pStyle w:val="ListParagraph"/>
        <w:numPr>
          <w:ilvl w:val="0"/>
          <w:numId w:val="2"/>
        </w:numPr>
        <w:spacing w:after="80" w:line="276"/>
      </w:pPr>
      <w:r>
        <w:rPr>
          <w:color w:val="1F1F1F"/>
          <w:sz w:val="21"/>
          <w:szCs w:val="21"/>
        </w:rPr>
        <w:t xml:space="preserve">Les 3 paiements de test créés (2 encaissements de 5 000 FCFA, 1 remise de 3 000 FCFA) ont été supprimés de la base locale.</w:t>
      </w:r>
    </w:p>
    <w:p>
      <w:pPr>
        <w:pStyle w:val="ListParagraph"/>
        <w:numPr>
          <w:ilvl w:val="0"/>
          <w:numId w:val="2"/>
        </w:numPr>
        <w:spacing w:after="80" w:line="276"/>
      </w:pPr>
      <w:r>
        <w:rPr>
          <w:color w:val="1F1F1F"/>
          <w:sz w:val="21"/>
          <w:szCs w:val="21"/>
        </w:rPr>
        <w:t xml:space="preserve">Le trigger existant a recalculé correctement tranches.paye après ces suppressions ; l'état de l'élève testée est revenu à l'identique de son état avant l'audit (vérifié par requête SQL : 9 620 000 = 9 620 000).</w:t>
      </w:r>
    </w:p>
    <w:p>
      <w:pPr>
        <w:pStyle w:val="ListParagraph"/>
        <w:numPr>
          <w:ilvl w:val="0"/>
          <w:numId w:val="2"/>
        </w:numPr>
        <w:spacing w:after="80" w:line="276"/>
      </w:pPr>
      <w:r>
        <w:rPr>
          <w:color w:val="1F1F1F"/>
          <w:sz w:val="21"/>
          <w:szCs w:val="21"/>
        </w:rPr>
        <w:t xml:space="preserve">Les scripts de test Playwright temporaires et les captures d'écran contenant des données d'élèves réels ont été supprimés du poste de travail.</w:t>
      </w:r>
    </w:p>
    <w:p>
      <w:pPr>
        <w:pStyle w:val="ListParagraph"/>
        <w:numPr>
          <w:ilvl w:val="0"/>
          <w:numId w:val="2"/>
        </w:numPr>
        <w:spacing w:after="80" w:line="276"/>
      </w:pPr>
      <w:r>
        <w:rPr>
          <w:color w:val="1F1F1F"/>
          <w:sz w:val="21"/>
          <w:szCs w:val="21"/>
        </w:rPr>
        <w:t xml:space="preserve">Aucune modification n'a été apportée au schéma, aux migrations, aux permissions (RLS) ni à la production.</w:t>
      </w:r>
    </w:p>
    <w:p>
      <w:pPr>
        <w:spacing w:after="140" w:line="288"/>
      </w:pPr>
      <w:r>
        <w:rPr>
          <w:color w:val="1F1F1F"/>
          <w:sz w:val="21"/>
          <w:szCs w:val="21"/>
        </w:rPr>
        <w:t xml:space="preserve"/>
      </w:r>
    </w:p>
    <w:p>
      <w:pPr>
        <w:spacing w:after="140" w:line="288"/>
      </w:pPr>
      <w:r>
        <w:rPr>
          <w:b/>
          <w:bCs/>
          <w:sz w:val="21"/>
          <w:szCs w:val="21"/>
        </w:rPr>
        <w:t xml:space="preserve">Git : </w:t>
      </w:r>
      <w:r>
        <w:rPr>
          <w:sz w:val="21"/>
          <w:szCs w:val="21"/>
        </w:rPr>
        <w:t xml:space="preserve">aucun fichier de test n'a été committé (git status vérifié propre après nettoyage).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2026-08-10T07:56:22.845Z</dcterms:created>
  <dcterms:modified xsi:type="dcterms:W3CDTF">2026-08-10T07:56:22.851Z</dcterms:modified>
</cp:coreProperties>
</file>

<file path=docProps/custom.xml><?xml version="1.0" encoding="utf-8"?>
<Properties xmlns="http://schemas.openxmlformats.org/officeDocument/2006/custom-properties" xmlns:vt="http://schemas.openxmlformats.org/officeDocument/2006/docPropsVTypes"/>
</file>