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0B5E3C"/>
          <w:sz w:val="22"/>
        </w:rPr>
        <w:t>CENTRE HOSPITALIER NATIONAL CHEIKH AHMADOUL KHADIM - TOUBA</w:t>
      </w:r>
    </w:p>
    <w:p/>
    <w:p>
      <w:pPr>
        <w:jc w:val="center"/>
      </w:pPr>
      <w:r>
        <w:rPr>
          <w:rFonts w:ascii="Calibri" w:hAnsi="Calibri"/>
          <w:b/>
          <w:color w:val="0A3D7A"/>
          <w:sz w:val="48"/>
        </w:rPr>
        <w:t>Documentation complete du logiciel ChimioPro</w:t>
      </w:r>
    </w:p>
    <w:p>
      <w:pPr>
        <w:jc w:val="center"/>
      </w:pPr>
      <w:r>
        <w:rPr>
          <w:rFonts w:ascii="Calibri" w:hAnsi="Calibri"/>
          <w:b/>
          <w:color w:val="555E69"/>
          <w:sz w:val="28"/>
        </w:rPr>
        <w:t>Service d'Oncologie-Radiotherapie - CHNCAK Touba</w:t>
      </w:r>
    </w:p>
    <w:p/>
    <w:tbl>
      <w:tblPr>
        <w:tblW w:type="dxa" w:w="9360"/>
        <w:jc w:val="left"/>
        <w:tblLook w:firstColumn="1" w:firstRow="1" w:lastColumn="0" w:lastRow="0" w:noHBand="0" w:noVBand="1" w:val="04A0"/>
        <w:tblInd w:w="120" w:type="dxa"/>
        <w:tblLayout w:type="fixed"/>
      </w:tblPr>
      <w:tblGrid>
        <w:gridCol w:w="4680"/>
        <w:gridCol w:w="4680"/>
      </w:tblGrid>
      <w:tr>
        <w:trPr>
          <w:tblHeader w:val="true"/>
        </w:trPr>
        <w:tc>
          <w:tcPr>
            <w:tcW w:type="dxa" w:w="2592"/>
            <w:shd w:fill="F4F6F9"/>
            <w:tcBorders>
              <w:top w:val="single" w:sz="6" w:space="0" w:color="D7DEE8"/>
              <w:left w:val="single" w:sz="6" w:space="0" w:color="D7DEE8"/>
              <w:bottom w:val="single" w:sz="6" w:space="0" w:color="D7DEE8"/>
              <w:right w:val="single" w:sz="6" w:space="0" w:color="D7DEE8"/>
            </w:tcBorders>
            <w:vAlign w:val="center"/>
          </w:tcPr>
          <w:p>
            <w:r>
              <w:rPr>
                <w:rFonts w:ascii="Calibri" w:hAnsi="Calibri"/>
                <w:b/>
                <w:color w:val="0A3D7A"/>
                <w:sz w:val="19"/>
              </w:rPr>
              <w:t>Champ</w:t>
            </w:r>
          </w:p>
        </w:tc>
        <w:tc>
          <w:tcPr>
            <w:tcW w:type="dxa" w:w="6480"/>
            <w:shd w:fill="F4F6F9"/>
            <w:tcBorders>
              <w:top w:val="single" w:sz="6" w:space="0" w:color="D7DEE8"/>
              <w:left w:val="single" w:sz="6" w:space="0" w:color="D7DEE8"/>
              <w:bottom w:val="single" w:sz="6" w:space="0" w:color="D7DEE8"/>
              <w:right w:val="single" w:sz="6" w:space="0" w:color="D7DEE8"/>
            </w:tcBorders>
            <w:vAlign w:val="center"/>
          </w:tcPr>
          <w:p>
            <w:r>
              <w:rPr>
                <w:rFonts w:ascii="Calibri" w:hAnsi="Calibri"/>
                <w:b/>
                <w:color w:val="0A3D7A"/>
                <w:sz w:val="19"/>
              </w:rPr>
              <w:t>Valeur</w:t>
            </w:r>
          </w:p>
        </w:tc>
      </w:tr>
      <w:tr>
        <w:tc>
          <w:tcPr>
            <w:tcW w:type="dxa" w:w="2592"/>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Version document</w:t>
            </w:r>
          </w:p>
        </w:tc>
        <w:tc>
          <w:tcPr>
            <w:tcW w:type="dxa" w:w="6480"/>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1.0</w:t>
            </w:r>
          </w:p>
        </w:tc>
      </w:tr>
      <w:tr>
        <w:tc>
          <w:tcPr>
            <w:tcW w:type="dxa" w:w="2592"/>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Application</w:t>
            </w:r>
          </w:p>
        </w:tc>
        <w:tc>
          <w:tcPr>
            <w:tcW w:type="dxa" w:w="6480"/>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ChimioPro - gestion locale et cloud des protocoles de chimiotherapie</w:t>
            </w:r>
          </w:p>
        </w:tc>
      </w:tr>
      <w:tr>
        <w:tc>
          <w:tcPr>
            <w:tcW w:type="dxa" w:w="2592"/>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Depot GitHub</w:t>
            </w:r>
          </w:p>
        </w:tc>
        <w:tc>
          <w:tcPr>
            <w:tcW w:type="dxa" w:w="6480"/>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https://github.com/onco-chncak/chimio</w:t>
            </w:r>
          </w:p>
        </w:tc>
      </w:tr>
      <w:tr>
        <w:tc>
          <w:tcPr>
            <w:tcW w:type="dxa" w:w="2592"/>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Site GitHub Pages</w:t>
            </w:r>
          </w:p>
        </w:tc>
        <w:tc>
          <w:tcPr>
            <w:tcW w:type="dxa" w:w="6480"/>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https://onco-chncak.github.io/chimio/</w:t>
            </w:r>
          </w:p>
        </w:tc>
      </w:tr>
      <w:tr>
        <w:tc>
          <w:tcPr>
            <w:tcW w:type="dxa" w:w="2592"/>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Projet Supabase</w:t>
            </w:r>
          </w:p>
        </w:tc>
        <w:tc>
          <w:tcPr>
            <w:tcW w:type="dxa" w:w="6480"/>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https://frfungcoqagpcyaaglox.supabase.co</w:t>
            </w:r>
          </w:p>
        </w:tc>
      </w:tr>
      <w:tr>
        <w:tc>
          <w:tcPr>
            <w:tcW w:type="dxa" w:w="2592"/>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Date</w:t>
            </w:r>
          </w:p>
        </w:tc>
        <w:tc>
          <w:tcPr>
            <w:tcW w:type="dxa" w:w="6480"/>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15 mai 2026</w:t>
            </w:r>
          </w:p>
        </w:tc>
      </w:tr>
    </w:tbl>
    <w:p/>
    <w:tbl>
      <w:tblPr>
        <w:tblW w:type="dxa" w:w="9360"/>
        <w:tblLook w:firstColumn="1" w:firstRow="1" w:lastColumn="0" w:lastRow="0" w:noHBand="0" w:noVBand="1" w:val="04A0"/>
        <w:jc w:val="left"/>
        <w:tblInd w:w="120" w:type="dxa"/>
        <w:tblLayout w:type="fixed"/>
      </w:tblPr>
      <w:tblGrid>
        <w:gridCol w:w="9360"/>
      </w:tblGrid>
      <w:tr>
        <w:tc>
          <w:tcPr>
            <w:tcW w:type="dxa" w:w="9360"/>
            <w:shd w:fill="FFF4DD"/>
            <w:tcBorders>
              <w:top w:val="single" w:sz="6" w:space="0" w:color="CBD6E4"/>
              <w:left w:val="single" w:sz="6" w:space="0" w:color="CBD6E4"/>
              <w:bottom w:val="single" w:sz="6" w:space="0" w:color="CBD6E4"/>
              <w:right w:val="single" w:sz="6" w:space="0" w:color="CBD6E4"/>
            </w:tcBorders>
            <w:vAlign w:val="center"/>
          </w:tcPr>
          <w:p>
            <w:pPr>
              <w:spacing w:after="40" w:line="276" w:lineRule="auto"/>
            </w:pPr>
            <w:r>
              <w:rPr>
                <w:rFonts w:ascii="Calibri" w:hAnsi="Calibri"/>
                <w:b/>
                <w:color w:val="0A3D7A"/>
              </w:rPr>
              <w:t>Avertissement clinique</w:t>
            </w:r>
            <w:r>
              <w:br/>
              <w:t>ChimioPro est un outil d'aide a l'organisation, au calcul, a l'impression et au suivi. Il ne remplace pas la validation medicale, pharmaceutique, biologique et infirmiere. Toute prescription, preparation et administration doivent rester conformes aux procedures du service et aux decisions du medecin prescripteur.</w:t>
            </w:r>
          </w:p>
        </w:tc>
      </w:tr>
    </w:tbl>
    <w:p/>
    <w:p>
      <w:r>
        <w:br w:type="page"/>
      </w:r>
    </w:p>
    <w:p>
      <w:pPr>
        <w:pStyle w:val="Heading1"/>
      </w:pPr>
      <w:r>
        <w:t>Sommaire</w:t>
      </w:r>
    </w:p>
    <w:p>
      <w:pPr>
        <w:pStyle w:val="ListBullet"/>
        <w:spacing w:after="80" w:line="276" w:lineRule="auto"/>
      </w:pPr>
      <w:r>
        <w:t>1. Objet du logiciel et principes generaux</w:t>
      </w:r>
    </w:p>
    <w:p>
      <w:pPr>
        <w:pStyle w:val="ListBullet"/>
        <w:spacing w:after="80" w:line="276" w:lineRule="auto"/>
      </w:pPr>
      <w:r>
        <w:t>2. Acces, comptes et securite</w:t>
      </w:r>
    </w:p>
    <w:p>
      <w:pPr>
        <w:pStyle w:val="ListBullet"/>
        <w:spacing w:after="80" w:line="276" w:lineRule="auto"/>
      </w:pPr>
      <w:r>
        <w:t>3. Donnees, sauvegarde et synchronisation Supabase</w:t>
      </w:r>
    </w:p>
    <w:p>
      <w:pPr>
        <w:pStyle w:val="ListBullet"/>
        <w:spacing w:after="80" w:line="276" w:lineRule="auto"/>
      </w:pPr>
      <w:r>
        <w:t>4. Parcours quotidien recommande</w:t>
      </w:r>
    </w:p>
    <w:p>
      <w:pPr>
        <w:pStyle w:val="ListBullet"/>
        <w:spacing w:after="80" w:line="276" w:lineRule="auto"/>
      </w:pPr>
      <w:r>
        <w:t>5. Documentation detaillee des onglets</w:t>
      </w:r>
    </w:p>
    <w:p>
      <w:pPr>
        <w:pStyle w:val="ListBullet"/>
        <w:spacing w:after="80" w:line="276" w:lineRule="auto"/>
      </w:pPr>
      <w:r>
        <w:t>6. Impression et documents generes</w:t>
      </w:r>
    </w:p>
    <w:p>
      <w:pPr>
        <w:pStyle w:val="ListBullet"/>
        <w:spacing w:after="80" w:line="276" w:lineRule="auto"/>
      </w:pPr>
      <w:r>
        <w:t>7. Import/export et modeles de fichiers</w:t>
      </w:r>
    </w:p>
    <w:p>
      <w:pPr>
        <w:pStyle w:val="ListBullet"/>
        <w:spacing w:after="80" w:line="276" w:lineRule="auto"/>
      </w:pPr>
      <w:r>
        <w:t>8. Mise a jour GitHub et deploiement</w:t>
      </w:r>
    </w:p>
    <w:p>
      <w:pPr>
        <w:pStyle w:val="ListBullet"/>
        <w:spacing w:after="80" w:line="276" w:lineRule="auto"/>
      </w:pPr>
      <w:r>
        <w:t>9. Initialisation officielle avant demarrage</w:t>
      </w:r>
    </w:p>
    <w:p>
      <w:pPr>
        <w:pStyle w:val="ListBullet"/>
        <w:spacing w:after="80" w:line="276" w:lineRule="auto"/>
      </w:pPr>
      <w:r>
        <w:t>10. Maintenance, modifications et depannage</w:t>
      </w:r>
    </w:p>
    <w:p>
      <w:pPr>
        <w:pStyle w:val="ListBullet"/>
        <w:spacing w:after="80" w:line="276" w:lineRule="auto"/>
      </w:pPr>
      <w:r>
        <w:t>11. Annexes techniques</w:t>
      </w:r>
    </w:p>
    <w:p>
      <w:r>
        <w:br w:type="page"/>
      </w:r>
    </w:p>
    <w:p>
      <w:pPr>
        <w:pStyle w:val="Heading1"/>
      </w:pPr>
      <w:r>
        <w:t>1. Objet du logiciel et principes generaux</w:t>
      </w:r>
    </w:p>
    <w:p>
      <w:r>
        <w:t>ChimioPro centralise les operations de routine autour de la chimiotherapie au CHNCAK Touba : creation de protocole patient, calcul de surface corporelle, calcul des doses, preparation de documents imprimables, gestion du stock de pharmacie centrale, suivi therapeutique, biologie, rendez-vous, statistiques et synchronisation cloud.</w:t>
      </w:r>
    </w:p>
    <w:p>
      <w:r>
        <w:t>Le logiciel est une application web statique : l'interface est composee de fichiers HTML, CSS et JavaScript. Elle peut fonctionner depuis un serveur local, depuis GitHub Pages, ou dans une version Electron/desktop si elle est emballee.</w:t>
      </w:r>
    </w:p>
    <w:tbl>
      <w:tblPr>
        <w:tblW w:type="dxa" w:w="9360"/>
        <w:tblLook w:firstColumn="1" w:firstRow="1" w:lastColumn="0" w:lastRow="0" w:noHBand="0" w:noVBand="1" w:val="04A0"/>
        <w:jc w:val="left"/>
        <w:tblInd w:w="120" w:type="dxa"/>
        <w:tblLayout w:type="fixed"/>
      </w:tblPr>
      <w:tblGrid>
        <w:gridCol w:w="9360"/>
      </w:tblGrid>
      <w:tr>
        <w:tc>
          <w:tcPr>
            <w:tcW w:type="dxa" w:w="9360"/>
            <w:shd w:fill="EAF7F1"/>
            <w:tcBorders>
              <w:top w:val="single" w:sz="6" w:space="0" w:color="CBD6E4"/>
              <w:left w:val="single" w:sz="6" w:space="0" w:color="CBD6E4"/>
              <w:bottom w:val="single" w:sz="6" w:space="0" w:color="CBD6E4"/>
              <w:right w:val="single" w:sz="6" w:space="0" w:color="CBD6E4"/>
            </w:tcBorders>
            <w:vAlign w:val="center"/>
          </w:tcPr>
          <w:p>
            <w:pPr>
              <w:spacing w:after="40" w:line="276" w:lineRule="auto"/>
            </w:pPr>
            <w:r>
              <w:rPr>
                <w:rFonts w:ascii="Calibri" w:hAnsi="Calibri"/>
                <w:b/>
                <w:color w:val="0A3D7A"/>
              </w:rPr>
              <w:t>Principe essentiel de conservation des donnees</w:t>
            </w:r>
            <w:r>
              <w:br/>
              <w:t>Par defaut, les donnees sont enregistrees dans le navigateur de chaque ordinateur via localStorage. Avec Supabase active, l'application peut envoyer et recuperer un snapshot cloud partage. GitHub ne stocke pas les dossiers patients : GitHub stocke seulement les fichiers du logiciel.</w:t>
            </w:r>
          </w:p>
        </w:tc>
      </w:tr>
    </w:tbl>
    <w:p/>
    <w:p>
      <w:pPr>
        <w:pStyle w:val="Heading2"/>
      </w:pPr>
      <w:r>
        <w:t>Public concerne</w:t>
      </w:r>
    </w:p>
    <w:p>
      <w:pPr>
        <w:pStyle w:val="ListBullet"/>
        <w:spacing w:after="80" w:line="276" w:lineRule="auto"/>
      </w:pPr>
      <w:r>
        <w:t>Medecins : saisie et validation clinique des protocoles, ordonnances et rendez-vous.</w:t>
      </w:r>
    </w:p>
    <w:p>
      <w:pPr>
        <w:pStyle w:val="ListBullet"/>
        <w:spacing w:after="80" w:line="276" w:lineRule="auto"/>
      </w:pPr>
      <w:r>
        <w:t>Pharmaciens/preparateurs : verification des doses, preparation, reliquats, sorties de stock et commandes.</w:t>
      </w:r>
    </w:p>
    <w:p>
      <w:pPr>
        <w:pStyle w:val="ListBullet"/>
        <w:spacing w:after="80" w:line="276" w:lineRule="auto"/>
      </w:pPr>
      <w:r>
        <w:t>Infirmiers : suivi des rendez-vous, administration, verification du statut patient traite.</w:t>
      </w:r>
    </w:p>
    <w:p>
      <w:pPr>
        <w:pStyle w:val="ListBullet"/>
        <w:spacing w:after="80" w:line="276" w:lineRule="auto"/>
      </w:pPr>
      <w:r>
        <w:t>Administrateur local : mise a jour du logiciel, sauvegardes, restauration, initialisation officielle et gestion des comptes Supabase.</w:t>
      </w:r>
    </w:p>
    <w:p>
      <w:pPr>
        <w:pStyle w:val="Heading2"/>
      </w:pPr>
      <w:r>
        <w:t>Limites a connaitre</w:t>
      </w:r>
    </w:p>
    <w:p>
      <w:pPr>
        <w:pStyle w:val="ListBullet"/>
        <w:spacing w:after="80" w:line="276" w:lineRule="auto"/>
      </w:pPr>
      <w:r>
        <w:t>Les emails de validation utilisent le client mail de l'ordinateur, via un lien mailto. Si aucun client mail n'est configure, l'envoi peut ne pas partir automatiquement.</w:t>
      </w:r>
    </w:p>
    <w:p>
      <w:pPr>
        <w:pStyle w:val="ListBullet"/>
        <w:spacing w:after="80" w:line="276" w:lineRule="auto"/>
      </w:pPr>
      <w:r>
        <w:t>Les calculs dependent des donnees saisies : poids, taille, creatininemie, protocole, catalogue medicament et stock.</w:t>
      </w:r>
    </w:p>
    <w:p>
      <w:pPr>
        <w:pStyle w:val="ListBullet"/>
        <w:spacing w:after="80" w:line="276" w:lineRule="auto"/>
      </w:pPr>
      <w:r>
        <w:t>La synchronisation Supabase fonctionne par snapshot fusionne. En cas de conflit, les donnees locales recentes peuvent remplacer ou completer les donnees cloud.</w:t>
      </w:r>
    </w:p>
    <w:p>
      <w:pPr>
        <w:pStyle w:val="ListBullet"/>
        <w:spacing w:after="80" w:line="276" w:lineRule="auto"/>
      </w:pPr>
      <w:r>
        <w:t>Les changements de code sur GitHub ne modifient pas automatiquement les donnees deja stockees dans les navigateurs.</w:t>
      </w:r>
    </w:p>
    <w:p>
      <w:pPr>
        <w:pStyle w:val="Heading1"/>
      </w:pPr>
      <w:r>
        <w:t>2. Acces, comptes et securite</w:t>
      </w:r>
    </w:p>
    <w:p>
      <w:pPr>
        <w:pStyle w:val="Heading2"/>
      </w:pPr>
      <w:r>
        <w:t>Authentification locale</w:t>
      </w:r>
    </w:p>
    <w:p>
      <w:r>
        <w:t>L'ecran d'authentification demande un nom d'utilisateur et un mot de passe. Les comptes historiques sont definis dans le fichier js/auth.js. Pour une mise en production stricte, ces identifiants doivent etre remplaces par une authentification centralisee ou par Supabase Auth.</w:t>
      </w:r>
    </w:p>
    <w:tbl>
      <w:tblPr>
        <w:tblW w:type="dxa" w:w="9360"/>
        <w:jc w:val="left"/>
        <w:tblLook w:firstColumn="1" w:firstRow="1" w:lastColumn="0" w:lastRow="0" w:noHBand="0" w:noVBand="1" w:val="04A0"/>
        <w:tblInd w:w="120" w:type="dxa"/>
        <w:tblLayout w:type="fixed"/>
      </w:tblPr>
      <w:tblGrid>
        <w:gridCol w:w="3120"/>
        <w:gridCol w:w="3120"/>
        <w:gridCol w:w="3120"/>
      </w:tblGrid>
      <w:tr>
        <w:trPr>
          <w:tblHeader w:val="true"/>
        </w:trPr>
        <w:tc>
          <w:tcPr>
            <w:tcW w:type="dxa" w:w="2016"/>
            <w:shd w:fill="F4F6F9"/>
            <w:tcBorders>
              <w:top w:val="single" w:sz="6" w:space="0" w:color="D7DEE8"/>
              <w:left w:val="single" w:sz="6" w:space="0" w:color="D7DEE8"/>
              <w:bottom w:val="single" w:sz="6" w:space="0" w:color="D7DEE8"/>
              <w:right w:val="single" w:sz="6" w:space="0" w:color="D7DEE8"/>
            </w:tcBorders>
            <w:vAlign w:val="center"/>
          </w:tcPr>
          <w:p>
            <w:r>
              <w:rPr>
                <w:rFonts w:ascii="Calibri" w:hAnsi="Calibri"/>
                <w:b/>
                <w:color w:val="0A3D7A"/>
                <w:sz w:val="19"/>
              </w:rPr>
              <w:t>Compte</w:t>
            </w:r>
          </w:p>
        </w:tc>
        <w:tc>
          <w:tcPr>
            <w:tcW w:type="dxa" w:w="2016"/>
            <w:shd w:fill="F4F6F9"/>
            <w:tcBorders>
              <w:top w:val="single" w:sz="6" w:space="0" w:color="D7DEE8"/>
              <w:left w:val="single" w:sz="6" w:space="0" w:color="D7DEE8"/>
              <w:bottom w:val="single" w:sz="6" w:space="0" w:color="D7DEE8"/>
              <w:right w:val="single" w:sz="6" w:space="0" w:color="D7DEE8"/>
            </w:tcBorders>
            <w:vAlign w:val="center"/>
          </w:tcPr>
          <w:p>
            <w:r>
              <w:rPr>
                <w:rFonts w:ascii="Calibri" w:hAnsi="Calibri"/>
                <w:b/>
                <w:color w:val="0A3D7A"/>
                <w:sz w:val="19"/>
              </w:rPr>
              <w:t>Role</w:t>
            </w:r>
          </w:p>
        </w:tc>
        <w:tc>
          <w:tcPr>
            <w:tcW w:type="dxa" w:w="5328"/>
            <w:shd w:fill="F4F6F9"/>
            <w:tcBorders>
              <w:top w:val="single" w:sz="6" w:space="0" w:color="D7DEE8"/>
              <w:left w:val="single" w:sz="6" w:space="0" w:color="D7DEE8"/>
              <w:bottom w:val="single" w:sz="6" w:space="0" w:color="D7DEE8"/>
              <w:right w:val="single" w:sz="6" w:space="0" w:color="D7DEE8"/>
            </w:tcBorders>
            <w:vAlign w:val="center"/>
          </w:tcPr>
          <w:p>
            <w:r>
              <w:rPr>
                <w:rFonts w:ascii="Calibri" w:hAnsi="Calibri"/>
                <w:b/>
                <w:color w:val="0A3D7A"/>
                <w:sz w:val="19"/>
              </w:rPr>
              <w:t>Usage</w:t>
            </w:r>
          </w:p>
        </w:tc>
      </w:tr>
      <w:tr>
        <w:tc>
          <w:tcPr>
            <w:tcW w:type="dxa" w:w="2016"/>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medecin</w:t>
            </w:r>
          </w:p>
        </w:tc>
        <w:tc>
          <w:tcPr>
            <w:tcW w:type="dxa" w:w="2016"/>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medecin</w:t>
            </w:r>
          </w:p>
        </w:tc>
        <w:tc>
          <w:tcPr>
            <w:tcW w:type="dxa" w:w="5328"/>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Acces de saisie/validation clinique selon les controles actuels.</w:t>
            </w:r>
          </w:p>
        </w:tc>
      </w:tr>
      <w:tr>
        <w:tc>
          <w:tcPr>
            <w:tcW w:type="dxa" w:w="2016"/>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pharmacien</w:t>
            </w:r>
          </w:p>
        </w:tc>
        <w:tc>
          <w:tcPr>
            <w:tcW w:type="dxa" w:w="2016"/>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pharmacien</w:t>
            </w:r>
          </w:p>
        </w:tc>
        <w:tc>
          <w:tcPr>
            <w:tcW w:type="dxa" w:w="5328"/>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Role prevu pour la pharmacie ; certaines zones peuvent etre en lecture seule selon les controles.</w:t>
            </w:r>
          </w:p>
        </w:tc>
      </w:tr>
      <w:tr>
        <w:tc>
          <w:tcPr>
            <w:tcW w:type="dxa" w:w="2016"/>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admin</w:t>
            </w:r>
          </w:p>
        </w:tc>
        <w:tc>
          <w:tcPr>
            <w:tcW w:type="dxa" w:w="2016"/>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admin</w:t>
            </w:r>
          </w:p>
        </w:tc>
        <w:tc>
          <w:tcPr>
            <w:tcW w:type="dxa" w:w="5328"/>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Administration locale, tests, configuration et supervision.</w:t>
            </w:r>
          </w:p>
        </w:tc>
      </w:tr>
    </w:tbl>
    <w:p/>
    <w:tbl>
      <w:tblPr>
        <w:tblW w:type="dxa" w:w="9360"/>
        <w:tblLook w:firstColumn="1" w:firstRow="1" w:lastColumn="0" w:lastRow="0" w:noHBand="0" w:noVBand="1" w:val="04A0"/>
        <w:jc w:val="left"/>
        <w:tblInd w:w="120" w:type="dxa"/>
        <w:tblLayout w:type="fixed"/>
      </w:tblPr>
      <w:tblGrid>
        <w:gridCol w:w="9360"/>
      </w:tblGrid>
      <w:tr>
        <w:tc>
          <w:tcPr>
            <w:tcW w:type="dxa" w:w="9360"/>
            <w:shd w:fill="FDEAEA"/>
            <w:tcBorders>
              <w:top w:val="single" w:sz="6" w:space="0" w:color="CBD6E4"/>
              <w:left w:val="single" w:sz="6" w:space="0" w:color="CBD6E4"/>
              <w:bottom w:val="single" w:sz="6" w:space="0" w:color="CBD6E4"/>
              <w:right w:val="single" w:sz="6" w:space="0" w:color="CBD6E4"/>
            </w:tcBorders>
            <w:vAlign w:val="center"/>
          </w:tcPr>
          <w:p>
            <w:pPr>
              <w:spacing w:after="40" w:line="276" w:lineRule="auto"/>
            </w:pPr>
            <w:r>
              <w:rPr>
                <w:rFonts w:ascii="Calibri" w:hAnsi="Calibri"/>
                <w:b/>
                <w:color w:val="0A3D7A"/>
              </w:rPr>
              <w:t>Ne pas afficher les mots de passe</w:t>
            </w:r>
            <w:r>
              <w:br/>
              <w:t>L'application ne doit pas afficher les identifiants sur la page de connexion. Les mots de passe ne doivent pas etre transmis dans les captures d'ecran ni dans les documents partages hors equipe autorisee.</w:t>
            </w:r>
          </w:p>
        </w:tc>
      </w:tr>
    </w:tbl>
    <w:p/>
    <w:p>
      <w:pPr>
        <w:pStyle w:val="Heading2"/>
      </w:pPr>
      <w:r>
        <w:t>Code a 4 chiffres</w:t>
      </w:r>
    </w:p>
    <w:p>
      <w:r>
        <w:t>Plusieurs actions sensibles demandent un code a 4 chiffres. Le code actuellement utilise dans les corrections est 2026. Il sert de verrou local contre les clics accidentels ; ce n'est pas une securite forte de type serveur.</w:t>
      </w:r>
    </w:p>
    <w:tbl>
      <w:tblPr>
        <w:tblW w:type="dxa" w:w="9360"/>
        <w:jc w:val="left"/>
        <w:tblLook w:firstColumn="1" w:firstRow="1" w:lastColumn="0" w:lastRow="0" w:noHBand="0" w:noVBand="1" w:val="04A0"/>
        <w:tblInd w:w="120" w:type="dxa"/>
        <w:tblLayout w:type="fixed"/>
      </w:tblPr>
      <w:tblGrid>
        <w:gridCol w:w="4680"/>
        <w:gridCol w:w="4680"/>
      </w:tblGrid>
      <w:tr>
        <w:trPr>
          <w:tblHeader w:val="true"/>
        </w:trPr>
        <w:tc>
          <w:tcPr>
            <w:tcW w:type="dxa" w:w="3744"/>
            <w:shd w:fill="F4F6F9"/>
            <w:tcBorders>
              <w:top w:val="single" w:sz="6" w:space="0" w:color="D7DEE8"/>
              <w:left w:val="single" w:sz="6" w:space="0" w:color="D7DEE8"/>
              <w:bottom w:val="single" w:sz="6" w:space="0" w:color="D7DEE8"/>
              <w:right w:val="single" w:sz="6" w:space="0" w:color="D7DEE8"/>
            </w:tcBorders>
            <w:vAlign w:val="center"/>
          </w:tcPr>
          <w:p>
            <w:r>
              <w:rPr>
                <w:rFonts w:ascii="Calibri" w:hAnsi="Calibri"/>
                <w:b/>
                <w:color w:val="0A3D7A"/>
                <w:sz w:val="19"/>
              </w:rPr>
              <w:t>Action</w:t>
            </w:r>
          </w:p>
        </w:tc>
        <w:tc>
          <w:tcPr>
            <w:tcW w:type="dxa" w:w="5472"/>
            <w:shd w:fill="F4F6F9"/>
            <w:tcBorders>
              <w:top w:val="single" w:sz="6" w:space="0" w:color="D7DEE8"/>
              <w:left w:val="single" w:sz="6" w:space="0" w:color="D7DEE8"/>
              <w:bottom w:val="single" w:sz="6" w:space="0" w:color="D7DEE8"/>
              <w:right w:val="single" w:sz="6" w:space="0" w:color="D7DEE8"/>
            </w:tcBorders>
            <w:vAlign w:val="center"/>
          </w:tcPr>
          <w:p>
            <w:r>
              <w:rPr>
                <w:rFonts w:ascii="Calibri" w:hAnsi="Calibri"/>
                <w:b/>
                <w:color w:val="0A3D7A"/>
                <w:sz w:val="19"/>
              </w:rPr>
              <w:t>Protection</w:t>
            </w:r>
          </w:p>
        </w:tc>
      </w:tr>
      <w:tr>
        <w:tc>
          <w:tcPr>
            <w:tcW w:type="dxa" w:w="3744"/>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Restaurer une sauvegarde JSON</w:t>
            </w:r>
          </w:p>
        </w:tc>
        <w:tc>
          <w:tcPr>
            <w:tcW w:type="dxa" w:w="5472"/>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Code 2026 + confirmation.</w:t>
            </w:r>
          </w:p>
        </w:tc>
      </w:tr>
      <w:tr>
        <w:tc>
          <w:tcPr>
            <w:tcW w:type="dxa" w:w="3744"/>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Effacer historique/statistiques</w:t>
            </w:r>
          </w:p>
        </w:tc>
        <w:tc>
          <w:tcPr>
            <w:tcW w:type="dxa" w:w="5472"/>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Code 2026 + confirmation.</w:t>
            </w:r>
          </w:p>
        </w:tc>
      </w:tr>
      <w:tr>
        <w:tc>
          <w:tcPr>
            <w:tcW w:type="dxa" w:w="3744"/>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Effacer jour du programme</w:t>
            </w:r>
          </w:p>
        </w:tc>
        <w:tc>
          <w:tcPr>
            <w:tcW w:type="dxa" w:w="5472"/>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Code 2026 + confirmation.</w:t>
            </w:r>
          </w:p>
        </w:tc>
      </w:tr>
      <w:tr>
        <w:tc>
          <w:tcPr>
            <w:tcW w:type="dxa" w:w="3744"/>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Changer la photo du dashboard</w:t>
            </w:r>
          </w:p>
        </w:tc>
        <w:tc>
          <w:tcPr>
            <w:tcW w:type="dxa" w:w="5472"/>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Code 2026 + confirmation.</w:t>
            </w:r>
          </w:p>
        </w:tc>
      </w:tr>
      <w:tr>
        <w:tc>
          <w:tcPr>
            <w:tcW w:type="dxa" w:w="3744"/>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Initialisation officielle</w:t>
            </w:r>
          </w:p>
        </w:tc>
        <w:tc>
          <w:tcPr>
            <w:tcW w:type="dxa" w:w="5472"/>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Code 2026 + confirmation + phrase INITIALISER.</w:t>
            </w:r>
          </w:p>
        </w:tc>
      </w:tr>
    </w:tbl>
    <w:p/>
    <w:p>
      <w:pPr>
        <w:pStyle w:val="Heading2"/>
      </w:pPr>
      <w:r>
        <w:t>Comptes collegues avec Supabase</w:t>
      </w:r>
    </w:p>
    <w:p>
      <w:pPr>
        <w:pStyle w:val="ListNumber"/>
        <w:spacing w:after="80" w:line="276" w:lineRule="auto"/>
      </w:pPr>
      <w:r>
        <w:t>Dans Supabase, ouvrir le projet ChimioPro.</w:t>
      </w:r>
    </w:p>
    <w:p>
      <w:pPr>
        <w:pStyle w:val="ListNumber"/>
        <w:spacing w:after="80" w:line="276" w:lineRule="auto"/>
      </w:pPr>
      <w:r>
        <w:t>Aller dans Authentication, puis Users.</w:t>
      </w:r>
    </w:p>
    <w:p>
      <w:pPr>
        <w:pStyle w:val="ListNumber"/>
        <w:spacing w:after="80" w:line="276" w:lineRule="auto"/>
      </w:pPr>
      <w:r>
        <w:t>Creer un utilisateur avec l'email professionnel du collegue et un mot de passe temporaire.</w:t>
      </w:r>
    </w:p>
    <w:p>
      <w:pPr>
        <w:pStyle w:val="ListNumber"/>
        <w:spacing w:after="80" w:line="276" w:lineRule="auto"/>
      </w:pPr>
      <w:r>
        <w:t>Communiquer le mot de passe par un canal securise, puis demander au collegue de le changer si une procedure de changement est mise en place.</w:t>
      </w:r>
    </w:p>
    <w:p>
      <w:pPr>
        <w:pStyle w:val="ListNumber"/>
        <w:spacing w:after="80" w:line="276" w:lineRule="auto"/>
      </w:pPr>
      <w:r>
        <w:t>Le collegue ouvre l'application, clique sur Cloud, saisit son email et son mot de passe Supabase, puis clique Connexion.</w:t>
      </w:r>
    </w:p>
    <w:p>
      <w:pPr>
        <w:pStyle w:val="Heading1"/>
      </w:pPr>
      <w:r>
        <w:t>3. Donnees, sauvegarde et synchronisation Supabase</w:t>
      </w:r>
    </w:p>
    <w:p>
      <w:pPr>
        <w:pStyle w:val="Heading2"/>
      </w:pPr>
      <w:r>
        <w:t>Donnees locales</w:t>
      </w:r>
    </w:p>
    <w:p>
      <w:r>
        <w:t>Les donnees sont stockees dans le navigateur sous forme de cles localStorage. Si l'utilisateur change d'ordinateur, de navigateur, ou efface les donnees du navigateur, les donnees locales peuvent disparaitre si elles n'ont pas ete sauvegardees ou synchronisees.</w:t>
      </w:r>
    </w:p>
    <w:tbl>
      <w:tblPr>
        <w:tblW w:type="dxa" w:w="9360"/>
        <w:jc w:val="left"/>
        <w:tblLook w:firstColumn="1" w:firstRow="1" w:lastColumn="0" w:lastRow="0" w:noHBand="0" w:noVBand="1" w:val="04A0"/>
        <w:tblInd w:w="120" w:type="dxa"/>
        <w:tblLayout w:type="fixed"/>
      </w:tblPr>
      <w:tblGrid>
        <w:gridCol w:w="4680"/>
        <w:gridCol w:w="4680"/>
      </w:tblGrid>
      <w:tr>
        <w:trPr>
          <w:tblHeader w:val="true"/>
        </w:trPr>
        <w:tc>
          <w:tcPr>
            <w:tcW w:type="dxa" w:w="2880"/>
            <w:shd w:fill="F4F6F9"/>
            <w:tcBorders>
              <w:top w:val="single" w:sz="6" w:space="0" w:color="D7DEE8"/>
              <w:left w:val="single" w:sz="6" w:space="0" w:color="D7DEE8"/>
              <w:bottom w:val="single" w:sz="6" w:space="0" w:color="D7DEE8"/>
              <w:right w:val="single" w:sz="6" w:space="0" w:color="D7DEE8"/>
            </w:tcBorders>
            <w:vAlign w:val="center"/>
          </w:tcPr>
          <w:p>
            <w:r>
              <w:rPr>
                <w:rFonts w:ascii="Calibri" w:hAnsi="Calibri"/>
                <w:b/>
                <w:color w:val="0A3D7A"/>
                <w:sz w:val="19"/>
              </w:rPr>
              <w:t>Cle principale</w:t>
            </w:r>
          </w:p>
        </w:tc>
        <w:tc>
          <w:tcPr>
            <w:tcW w:type="dxa" w:w="6336"/>
            <w:shd w:fill="F4F6F9"/>
            <w:tcBorders>
              <w:top w:val="single" w:sz="6" w:space="0" w:color="D7DEE8"/>
              <w:left w:val="single" w:sz="6" w:space="0" w:color="D7DEE8"/>
              <w:bottom w:val="single" w:sz="6" w:space="0" w:color="D7DEE8"/>
              <w:right w:val="single" w:sz="6" w:space="0" w:color="D7DEE8"/>
            </w:tcBorders>
            <w:vAlign w:val="center"/>
          </w:tcPr>
          <w:p>
            <w:r>
              <w:rPr>
                <w:rFonts w:ascii="Calibri" w:hAnsi="Calibri"/>
                <w:b/>
                <w:color w:val="0A3D7A"/>
                <w:sz w:val="19"/>
              </w:rPr>
              <w:t>Contenu</w:t>
            </w:r>
          </w:p>
        </w:tc>
      </w:tr>
      <w:tr>
        <w:tc>
          <w:tcPr>
            <w:tcW w:type="dxa" w:w="2880"/>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chncak_patients</w:t>
            </w:r>
          </w:p>
        </w:tc>
        <w:tc>
          <w:tcPr>
            <w:tcW w:type="dxa" w:w="6336"/>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Liste des patients, dossiers, protocoles, statuts et informations de suivi.</w:t>
            </w:r>
          </w:p>
        </w:tc>
      </w:tr>
      <w:tr>
        <w:tc>
          <w:tcPr>
            <w:tcW w:type="dxa" w:w="2880"/>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chncak_rdv</w:t>
            </w:r>
          </w:p>
        </w:tc>
        <w:tc>
          <w:tcPr>
            <w:tcW w:type="dxa" w:w="6336"/>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Rendez-vous autonomes et rendez-vous importes/planifies.</w:t>
            </w:r>
          </w:p>
        </w:tc>
      </w:tr>
      <w:tr>
        <w:tc>
          <w:tcPr>
            <w:tcW w:type="dxa" w:w="2880"/>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chncak_historique</w:t>
            </w:r>
          </w:p>
        </w:tc>
        <w:tc>
          <w:tcPr>
            <w:tcW w:type="dxa" w:w="6336"/>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Protocoles sauvegardes et traces d'impression/validation.</w:t>
            </w:r>
          </w:p>
        </w:tc>
      </w:tr>
      <w:tr>
        <w:tc>
          <w:tcPr>
            <w:tcW w:type="dxa" w:w="2880"/>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chncak_protocols</w:t>
            </w:r>
          </w:p>
        </w:tc>
        <w:tc>
          <w:tcPr>
            <w:tcW w:type="dxa" w:w="6336"/>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Protocoles OK Chimio et protocoles en attente/valides.</w:t>
            </w:r>
          </w:p>
        </w:tc>
      </w:tr>
      <w:tr>
        <w:tc>
          <w:tcPr>
            <w:tcW w:type="dxa" w:w="2880"/>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chncak_catalog</w:t>
            </w:r>
          </w:p>
        </w:tc>
        <w:tc>
          <w:tcPr>
            <w:tcW w:type="dxa" w:w="6336"/>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Catalogue medicaments, dosages, prix et stock pharmacie centrale.</w:t>
            </w:r>
          </w:p>
        </w:tc>
      </w:tr>
      <w:tr>
        <w:tc>
          <w:tcPr>
            <w:tcW w:type="dxa" w:w="2880"/>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chncak_sorties</w:t>
            </w:r>
          </w:p>
        </w:tc>
        <w:tc>
          <w:tcPr>
            <w:tcW w:type="dxa" w:w="6336"/>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Sorties de stock, flacons utilises et reliquats.</w:t>
            </w:r>
          </w:p>
        </w:tc>
      </w:tr>
      <w:tr>
        <w:tc>
          <w:tcPr>
            <w:tcW w:type="dxa" w:w="2880"/>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chncak_suivi / suivi</w:t>
            </w:r>
          </w:p>
        </w:tc>
        <w:tc>
          <w:tcPr>
            <w:tcW w:type="dxa" w:w="6336"/>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Suivi therapeutique et reponse tumorale.</w:t>
            </w:r>
          </w:p>
        </w:tc>
      </w:tr>
      <w:tr>
        <w:tc>
          <w:tcPr>
            <w:tcW w:type="dxa" w:w="2880"/>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chncak_biologie / biologie</w:t>
            </w:r>
          </w:p>
        </w:tc>
        <w:tc>
          <w:tcPr>
            <w:tcW w:type="dxa" w:w="6336"/>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Bilans biologiques saisis.</w:t>
            </w:r>
          </w:p>
        </w:tc>
      </w:tr>
      <w:tr>
        <w:tc>
          <w:tcPr>
            <w:tcW w:type="dxa" w:w="2880"/>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chncak_programme</w:t>
            </w:r>
          </w:p>
        </w:tc>
        <w:tc>
          <w:tcPr>
            <w:tcW w:type="dxa" w:w="6336"/>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Programme hebdomadaire de chimiotherapie.</w:t>
            </w:r>
          </w:p>
        </w:tc>
      </w:tr>
      <w:tr>
        <w:tc>
          <w:tcPr>
            <w:tcW w:type="dxa" w:w="2880"/>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chncak_medecins</w:t>
            </w:r>
          </w:p>
        </w:tc>
        <w:tc>
          <w:tcPr>
            <w:tcW w:type="dxa" w:w="6336"/>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Liste des medecins.</w:t>
            </w:r>
          </w:p>
        </w:tc>
      </w:tr>
    </w:tbl>
    <w:p/>
    <w:p>
      <w:pPr>
        <w:pStyle w:val="Heading2"/>
      </w:pPr>
      <w:r>
        <w:t>Sauvegarde JSON</w:t>
      </w:r>
    </w:p>
    <w:p>
      <w:pPr>
        <w:pStyle w:val="ListNumber"/>
        <w:spacing w:after="80" w:line="276" w:lineRule="auto"/>
      </w:pPr>
      <w:r>
        <w:t>Cliquer sur Sauvegarder dans la barre laterale.</w:t>
      </w:r>
    </w:p>
    <w:p>
      <w:pPr>
        <w:pStyle w:val="ListNumber"/>
        <w:spacing w:after="80" w:line="276" w:lineRule="auto"/>
      </w:pPr>
      <w:r>
        <w:t>Un fichier Sauvegarde_ChimioPro_YYYY-MM-DD.json est telecharge.</w:t>
      </w:r>
    </w:p>
    <w:p>
      <w:pPr>
        <w:pStyle w:val="ListNumber"/>
        <w:spacing w:after="80" w:line="276" w:lineRule="auto"/>
      </w:pPr>
      <w:r>
        <w:t>Conserver ce fichier dans un dossier securise, idealement avec la date et le poste source.</w:t>
      </w:r>
    </w:p>
    <w:p>
      <w:pPr>
        <w:pStyle w:val="ListNumber"/>
        <w:spacing w:after="80" w:line="276" w:lineRule="auto"/>
      </w:pPr>
      <w:r>
        <w:t>Avant une grosse modification, faire toujours une sauvegarde.</w:t>
      </w:r>
    </w:p>
    <w:p>
      <w:pPr>
        <w:pStyle w:val="Heading2"/>
      </w:pPr>
      <w:r>
        <w:t>Restauration JSON</w:t>
      </w:r>
    </w:p>
    <w:p>
      <w:pPr>
        <w:pStyle w:val="ListNumber"/>
        <w:spacing w:after="80" w:line="276" w:lineRule="auto"/>
      </w:pPr>
      <w:r>
        <w:t>Cliquer sur Restaurer.</w:t>
      </w:r>
    </w:p>
    <w:p>
      <w:pPr>
        <w:pStyle w:val="ListNumber"/>
        <w:spacing w:after="80" w:line="276" w:lineRule="auto"/>
      </w:pPr>
      <w:r>
        <w:t>Saisir le code a 4 chiffres.</w:t>
      </w:r>
    </w:p>
    <w:p>
      <w:pPr>
        <w:pStyle w:val="ListNumber"/>
        <w:spacing w:after="80" w:line="276" w:lineRule="auto"/>
      </w:pPr>
      <w:r>
        <w:t>Choisir le fichier JSON de sauvegarde.</w:t>
      </w:r>
    </w:p>
    <w:p>
      <w:pPr>
        <w:pStyle w:val="ListNumber"/>
        <w:spacing w:after="80" w:line="276" w:lineRule="auto"/>
      </w:pPr>
      <w:r>
        <w:t>Confirmer la restauration. Les blocs de donnees correspondants remplacent les donnees locales.</w:t>
      </w:r>
    </w:p>
    <w:p>
      <w:pPr>
        <w:pStyle w:val="Heading2"/>
      </w:pPr>
      <w:r>
        <w:t>Etat</w:t>
      </w:r>
    </w:p>
    <w:p>
      <w:r>
        <w:t>Le bouton Etat affiche un resume local : nombre de patients, rendez-vous, historiques, blocs stockes, taille locale et derniere sauvegarde. Un second clic referme le panneau.</w:t>
      </w:r>
    </w:p>
    <w:p>
      <w:pPr>
        <w:pStyle w:val="Heading2"/>
      </w:pPr>
      <w:r>
        <w:t>Supabase Cloud</w:t>
      </w:r>
    </w:p>
    <w:p>
      <w:r>
        <w:t>Le module Supabase synchronise les donnees dans la table app_settings, sous la cle cloud_snapshot_v1. Le snapshot contient les donnees locales collectees et peut etre fusionne avec les donnees deja presentes dans le cloud.</w:t>
      </w:r>
    </w:p>
    <w:tbl>
      <w:tblPr>
        <w:tblW w:type="dxa" w:w="9360"/>
        <w:jc w:val="left"/>
        <w:tblLook w:firstColumn="1" w:firstRow="1" w:lastColumn="0" w:lastRow="0" w:noHBand="0" w:noVBand="1" w:val="04A0"/>
        <w:tblInd w:w="120" w:type="dxa"/>
        <w:tblLayout w:type="fixed"/>
      </w:tblPr>
      <w:tblGrid>
        <w:gridCol w:w="4680"/>
        <w:gridCol w:w="4680"/>
      </w:tblGrid>
      <w:tr>
        <w:trPr>
          <w:tblHeader w:val="true"/>
        </w:trPr>
        <w:tc>
          <w:tcPr>
            <w:tcW w:type="dxa" w:w="2880"/>
            <w:shd w:fill="F4F6F9"/>
            <w:tcBorders>
              <w:top w:val="single" w:sz="6" w:space="0" w:color="D7DEE8"/>
              <w:left w:val="single" w:sz="6" w:space="0" w:color="D7DEE8"/>
              <w:bottom w:val="single" w:sz="6" w:space="0" w:color="D7DEE8"/>
              <w:right w:val="single" w:sz="6" w:space="0" w:color="D7DEE8"/>
            </w:tcBorders>
            <w:vAlign w:val="center"/>
          </w:tcPr>
          <w:p>
            <w:r>
              <w:rPr>
                <w:rFonts w:ascii="Calibri" w:hAnsi="Calibri"/>
                <w:b/>
                <w:color w:val="0A3D7A"/>
                <w:sz w:val="19"/>
              </w:rPr>
              <w:t>Bouton Cloud</w:t>
            </w:r>
          </w:p>
        </w:tc>
        <w:tc>
          <w:tcPr>
            <w:tcW w:type="dxa" w:w="6336"/>
            <w:shd w:fill="F4F6F9"/>
            <w:tcBorders>
              <w:top w:val="single" w:sz="6" w:space="0" w:color="D7DEE8"/>
              <w:left w:val="single" w:sz="6" w:space="0" w:color="D7DEE8"/>
              <w:bottom w:val="single" w:sz="6" w:space="0" w:color="D7DEE8"/>
              <w:right w:val="single" w:sz="6" w:space="0" w:color="D7DEE8"/>
            </w:tcBorders>
            <w:vAlign w:val="center"/>
          </w:tcPr>
          <w:p>
            <w:r>
              <w:rPr>
                <w:rFonts w:ascii="Calibri" w:hAnsi="Calibri"/>
                <w:b/>
                <w:color w:val="0A3D7A"/>
                <w:sz w:val="19"/>
              </w:rPr>
              <w:t>Effet</w:t>
            </w:r>
          </w:p>
        </w:tc>
      </w:tr>
      <w:tr>
        <w:tc>
          <w:tcPr>
            <w:tcW w:type="dxa" w:w="2880"/>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Connexion</w:t>
            </w:r>
          </w:p>
        </w:tc>
        <w:tc>
          <w:tcPr>
            <w:tcW w:type="dxa" w:w="6336"/>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Connecte l'utilisateur Supabase avec email et mot de passe.</w:t>
            </w:r>
          </w:p>
        </w:tc>
      </w:tr>
      <w:tr>
        <w:tc>
          <w:tcPr>
            <w:tcW w:type="dxa" w:w="2880"/>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Synchroniser</w:t>
            </w:r>
          </w:p>
        </w:tc>
        <w:tc>
          <w:tcPr>
            <w:tcW w:type="dxa" w:w="6336"/>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Recupere le snapshot cloud, fusionne avec le local, puis renvoie le resultat.</w:t>
            </w:r>
          </w:p>
        </w:tc>
      </w:tr>
      <w:tr>
        <w:tc>
          <w:tcPr>
            <w:tcW w:type="dxa" w:w="2880"/>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Recuperer</w:t>
            </w:r>
          </w:p>
        </w:tc>
        <w:tc>
          <w:tcPr>
            <w:tcW w:type="dxa" w:w="6336"/>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Applique le snapshot cloud sur l'ordinateur actuel.</w:t>
            </w:r>
          </w:p>
        </w:tc>
      </w:tr>
      <w:tr>
        <w:tc>
          <w:tcPr>
            <w:tcW w:type="dxa" w:w="2880"/>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Envoyer</w:t>
            </w:r>
          </w:p>
        </w:tc>
        <w:tc>
          <w:tcPr>
            <w:tcW w:type="dxa" w:w="6336"/>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Envoie les donnees locales vers Supabase.</w:t>
            </w:r>
          </w:p>
        </w:tc>
      </w:tr>
      <w:tr>
        <w:tc>
          <w:tcPr>
            <w:tcW w:type="dxa" w:w="2880"/>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Quitter</w:t>
            </w:r>
          </w:p>
        </w:tc>
        <w:tc>
          <w:tcPr>
            <w:tcW w:type="dxa" w:w="6336"/>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Deconnecte le compte Supabase.</w:t>
            </w:r>
          </w:p>
        </w:tc>
      </w:tr>
      <w:tr>
        <w:tc>
          <w:tcPr>
            <w:tcW w:type="dxa" w:w="2880"/>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Initialisation officielle</w:t>
            </w:r>
          </w:p>
        </w:tc>
        <w:tc>
          <w:tcPr>
            <w:tcW w:type="dxa" w:w="6336"/>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Efface les donnees de test local/cloud selon la procedure tout en gardant le catalogue et certaines configurations.</w:t>
            </w:r>
          </w:p>
        </w:tc>
      </w:tr>
    </w:tbl>
    <w:p/>
    <w:tbl>
      <w:tblPr>
        <w:tblW w:type="dxa" w:w="9360"/>
        <w:tblLook w:firstColumn="1" w:firstRow="1" w:lastColumn="0" w:lastRow="0" w:noHBand="0" w:noVBand="1" w:val="04A0"/>
        <w:jc w:val="left"/>
        <w:tblInd w:w="120" w:type="dxa"/>
        <w:tblLayout w:type="fixed"/>
      </w:tblPr>
      <w:tblGrid>
        <w:gridCol w:w="9360"/>
      </w:tblGrid>
      <w:tr>
        <w:tc>
          <w:tcPr>
            <w:tcW w:type="dxa" w:w="9360"/>
            <w:shd w:fill="FFF4DD"/>
            <w:tcBorders>
              <w:top w:val="single" w:sz="6" w:space="0" w:color="CBD6E4"/>
              <w:left w:val="single" w:sz="6" w:space="0" w:color="CBD6E4"/>
              <w:bottom w:val="single" w:sz="6" w:space="0" w:color="CBD6E4"/>
              <w:right w:val="single" w:sz="6" w:space="0" w:color="CBD6E4"/>
            </w:tcBorders>
            <w:vAlign w:val="center"/>
          </w:tcPr>
          <w:p>
            <w:pPr>
              <w:spacing w:after="40" w:line="276" w:lineRule="auto"/>
            </w:pPr>
            <w:r>
              <w:rPr>
                <w:rFonts w:ascii="Calibri" w:hAnsi="Calibri"/>
                <w:b/>
                <w:color w:val="0A3D7A"/>
              </w:rPr>
              <w:t>Capacite Supabase Free</w:t>
            </w:r>
            <w:r>
              <w:br/>
              <w:t>Le plan gratuit est suffisant pour un demarrage pilote si les donnees restent textuelles. Il faut surveiller la taille de la base, l'egress et le stockage. Les limites exactes peuvent changer ; verifier la page officielle Supabase Pricing avant un deploiement large.</w:t>
            </w:r>
          </w:p>
        </w:tc>
      </w:tr>
    </w:tbl>
    <w:p/>
    <w:p>
      <w:pPr>
        <w:pStyle w:val="Heading1"/>
      </w:pPr>
      <w:r>
        <w:t>4. Parcours quotidien recommande</w:t>
      </w:r>
    </w:p>
    <w:p>
      <w:pPr>
        <w:pStyle w:val="Heading2"/>
      </w:pPr>
      <w:r>
        <w:t>Debut de journee</w:t>
      </w:r>
    </w:p>
    <w:p>
      <w:pPr>
        <w:pStyle w:val="ListNumber"/>
        <w:spacing w:after="80" w:line="276" w:lineRule="auto"/>
      </w:pPr>
      <w:r>
        <w:t>Ouvrir ChimioPro depuis le lien local ou GitHub Pages.</w:t>
      </w:r>
    </w:p>
    <w:p>
      <w:pPr>
        <w:pStyle w:val="ListNumber"/>
        <w:spacing w:after="80" w:line="276" w:lineRule="auto"/>
      </w:pPr>
      <w:r>
        <w:t>Se connecter a l'application.</w:t>
      </w:r>
    </w:p>
    <w:p>
      <w:pPr>
        <w:pStyle w:val="ListNumber"/>
        <w:spacing w:after="80" w:line="276" w:lineRule="auto"/>
      </w:pPr>
      <w:r>
        <w:t>Cliquer Cloud puis Connexion si la synchronisation en temps reel est utilisee.</w:t>
      </w:r>
    </w:p>
    <w:p>
      <w:pPr>
        <w:pStyle w:val="ListNumber"/>
        <w:spacing w:after="80" w:line="276" w:lineRule="auto"/>
      </w:pPr>
      <w:r>
        <w:t>Cliquer Synchroniser pour recuperer les dernieres donnees partagees.</w:t>
      </w:r>
    </w:p>
    <w:p>
      <w:pPr>
        <w:pStyle w:val="ListNumber"/>
        <w:spacing w:after="80" w:line="276" w:lineRule="auto"/>
      </w:pPr>
      <w:r>
        <w:t>Verifier le Dashboard : RDV de la semaine, stock bas, patients et protocoles.</w:t>
      </w:r>
    </w:p>
    <w:p>
      <w:pPr>
        <w:pStyle w:val="ListNumber"/>
        <w:spacing w:after="80" w:line="276" w:lineRule="auto"/>
      </w:pPr>
      <w:r>
        <w:t>Faire une sauvegarde JSON si une journee lourde est prevue.</w:t>
      </w:r>
    </w:p>
    <w:p>
      <w:pPr>
        <w:pStyle w:val="Heading2"/>
      </w:pPr>
      <w:r>
        <w:t>Creation d'un protocole patient</w:t>
      </w:r>
    </w:p>
    <w:p>
      <w:pPr>
        <w:pStyle w:val="ListNumber"/>
        <w:spacing w:after="80" w:line="276" w:lineRule="auto"/>
      </w:pPr>
      <w:r>
        <w:t>Ouvrir l'onglet Protocole.</w:t>
      </w:r>
    </w:p>
    <w:p>
      <w:pPr>
        <w:pStyle w:val="ListNumber"/>
        <w:spacing w:after="80" w:line="276" w:lineRule="auto"/>
      </w:pPr>
      <w:r>
        <w:t>Renseigner prenom, nom, age, sexe, poids, taille, dossier, Cubix, code gratuite et medecin.</w:t>
      </w:r>
    </w:p>
    <w:p>
      <w:pPr>
        <w:pStyle w:val="ListNumber"/>
        <w:spacing w:after="80" w:line="276" w:lineRule="auto"/>
      </w:pPr>
      <w:r>
        <w:t>Renseigner date du protocole, cure, total de cures et localisation.</w:t>
      </w:r>
    </w:p>
    <w:p>
      <w:pPr>
        <w:pStyle w:val="ListNumber"/>
        <w:spacing w:after="80" w:line="276" w:lineRule="auto"/>
      </w:pPr>
      <w:r>
        <w:t>Choisir le protocole dans la grille.</w:t>
      </w:r>
    </w:p>
    <w:p>
      <w:pPr>
        <w:pStyle w:val="ListNumber"/>
        <w:spacing w:after="80" w:line="276" w:lineRule="auto"/>
      </w:pPr>
      <w:r>
        <w:t>Verifier surface corporelle, doses, flacons, solvant, duree et alertes.</w:t>
      </w:r>
    </w:p>
    <w:p>
      <w:pPr>
        <w:pStyle w:val="ListNumber"/>
        <w:spacing w:after="80" w:line="276" w:lineRule="auto"/>
      </w:pPr>
      <w:r>
        <w:t>Cliquer Sauvegarder pour enregistrer le protocole dans l'historique et la liste patient.</w:t>
      </w:r>
    </w:p>
    <w:p>
      <w:pPr>
        <w:pStyle w:val="ListNumber"/>
        <w:spacing w:after="80" w:line="276" w:lineRule="auto"/>
      </w:pPr>
      <w:r>
        <w:t>Imprimer l'aperçu ou les documents necessaires selon la validation du service.</w:t>
      </w:r>
    </w:p>
    <w:p>
      <w:pPr>
        <w:pStyle w:val="Heading2"/>
      </w:pPr>
      <w:r>
        <w:t>Validation et traitement</w:t>
      </w:r>
    </w:p>
    <w:p>
      <w:pPr>
        <w:pStyle w:val="ListNumber"/>
        <w:spacing w:after="80" w:line="276" w:lineRule="auto"/>
      </w:pPr>
      <w:r>
        <w:t>Dans OK Chimio, verifier les protocoles en attente.</w:t>
      </w:r>
    </w:p>
    <w:p>
      <w:pPr>
        <w:pStyle w:val="ListNumber"/>
        <w:spacing w:after="80" w:line="276" w:lineRule="auto"/>
      </w:pPr>
      <w:r>
        <w:t>Cliquer Valider si le protocole est correct. Un mail est prepare pour onco.chn.cak@gmail.com.</w:t>
      </w:r>
    </w:p>
    <w:p>
      <w:pPr>
        <w:pStyle w:val="ListNumber"/>
        <w:spacing w:after="80" w:line="276" w:lineRule="auto"/>
      </w:pPr>
      <w:r>
        <w:t>Dans RDV, le bouton Traiter n'est actif que pour le jour du rendez-vous.</w:t>
      </w:r>
    </w:p>
    <w:p>
      <w:pPr>
        <w:pStyle w:val="ListNumber"/>
        <w:spacing w:after="80" w:line="276" w:lineRule="auto"/>
      </w:pPr>
      <w:r>
        <w:t>Avant Traiter, renseigner la biologie dans l'onglet Biologie.</w:t>
      </w:r>
    </w:p>
    <w:p>
      <w:pPr>
        <w:pStyle w:val="ListNumber"/>
        <w:spacing w:after="80" w:line="276" w:lineRule="auto"/>
      </w:pPr>
      <w:r>
        <w:t>Si le bilan biologique est anormal, l'application avertit et demande confirmation.</w:t>
      </w:r>
    </w:p>
    <w:p>
      <w:pPr>
        <w:pStyle w:val="ListNumber"/>
        <w:spacing w:after="80" w:line="276" w:lineRule="auto"/>
      </w:pPr>
      <w:r>
        <w:t>Si le patient est traite, le stock est deduit selon les medicaments du protocole.</w:t>
      </w:r>
    </w:p>
    <w:p>
      <w:pPr>
        <w:pStyle w:val="Heading2"/>
      </w:pPr>
      <w:r>
        <w:t>Fin de journee</w:t>
      </w:r>
    </w:p>
    <w:p>
      <w:pPr>
        <w:pStyle w:val="ListNumber"/>
        <w:spacing w:after="80" w:line="276" w:lineRule="auto"/>
      </w:pPr>
      <w:r>
        <w:t>Verifier Stats, sorties de stock et RDV traites.</w:t>
      </w:r>
    </w:p>
    <w:p>
      <w:pPr>
        <w:pStyle w:val="ListNumber"/>
        <w:spacing w:after="80" w:line="276" w:lineRule="auto"/>
      </w:pPr>
      <w:r>
        <w:t>Cliquer Cloud &gt; Synchroniser ou Envoyer.</w:t>
      </w:r>
    </w:p>
    <w:p>
      <w:pPr>
        <w:pStyle w:val="ListNumber"/>
        <w:spacing w:after="80" w:line="276" w:lineRule="auto"/>
      </w:pPr>
      <w:r>
        <w:t>Cliquer Sauvegarder pour generer une sauvegarde JSON locale.</w:t>
      </w:r>
    </w:p>
    <w:p>
      <w:pPr>
        <w:pStyle w:val="ListNumber"/>
        <w:spacing w:after="80" w:line="276" w:lineRule="auto"/>
      </w:pPr>
      <w:r>
        <w:t>Conserver la sauvegarde dans un emplacement securise.</w:t>
      </w:r>
    </w:p>
    <w:p>
      <w:pPr>
        <w:pStyle w:val="Heading1"/>
      </w:pPr>
      <w:r>
        <w:t>5. Documentation detaillee des onglets</w:t>
      </w:r>
    </w:p>
    <w:tbl>
      <w:tblPr>
        <w:tblW w:type="dxa" w:w="9360"/>
        <w:jc w:val="left"/>
        <w:tblLook w:firstColumn="1" w:firstRow="1" w:lastColumn="0" w:lastRow="0" w:noHBand="0" w:noVBand="1" w:val="04A0"/>
        <w:tblInd w:w="120" w:type="dxa"/>
        <w:tblLayout w:type="fixed"/>
      </w:tblPr>
      <w:tblGrid>
        <w:gridCol w:w="4680"/>
        <w:gridCol w:w="4680"/>
      </w:tblGrid>
      <w:tr>
        <w:trPr>
          <w:tblHeader w:val="true"/>
        </w:trPr>
        <w:tc>
          <w:tcPr>
            <w:tcW w:type="dxa" w:w="2304"/>
            <w:shd w:fill="F4F6F9"/>
            <w:tcBorders>
              <w:top w:val="single" w:sz="6" w:space="0" w:color="D7DEE8"/>
              <w:left w:val="single" w:sz="6" w:space="0" w:color="D7DEE8"/>
              <w:bottom w:val="single" w:sz="6" w:space="0" w:color="D7DEE8"/>
              <w:right w:val="single" w:sz="6" w:space="0" w:color="D7DEE8"/>
            </w:tcBorders>
            <w:vAlign w:val="center"/>
          </w:tcPr>
          <w:p>
            <w:r>
              <w:rPr>
                <w:rFonts w:ascii="Calibri" w:hAnsi="Calibri"/>
                <w:b/>
                <w:color w:val="0A3D7A"/>
                <w:sz w:val="19"/>
              </w:rPr>
              <w:t>Onglet</w:t>
            </w:r>
          </w:p>
        </w:tc>
        <w:tc>
          <w:tcPr>
            <w:tcW w:type="dxa" w:w="6912"/>
            <w:shd w:fill="F4F6F9"/>
            <w:tcBorders>
              <w:top w:val="single" w:sz="6" w:space="0" w:color="D7DEE8"/>
              <w:left w:val="single" w:sz="6" w:space="0" w:color="D7DEE8"/>
              <w:bottom w:val="single" w:sz="6" w:space="0" w:color="D7DEE8"/>
              <w:right w:val="single" w:sz="6" w:space="0" w:color="D7DEE8"/>
            </w:tcBorders>
            <w:vAlign w:val="center"/>
          </w:tcPr>
          <w:p>
            <w:r>
              <w:rPr>
                <w:rFonts w:ascii="Calibri" w:hAnsi="Calibri"/>
                <w:b/>
                <w:color w:val="0A3D7A"/>
                <w:sz w:val="19"/>
              </w:rPr>
              <w:t>Role principal</w:t>
            </w:r>
          </w:p>
        </w:tc>
      </w:tr>
      <w:tr>
        <w:tc>
          <w:tcPr>
            <w:tcW w:type="dxa" w:w="2304"/>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Dashboard</w:t>
            </w:r>
          </w:p>
        </w:tc>
        <w:tc>
          <w:tcPr>
            <w:tcW w:type="dxa" w:w="6912"/>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Vue de pilotage : patients, RDV 7 jours, protocoles, suivi/biologie, stock bas, photo d'equipe et responsables.</w:t>
            </w:r>
          </w:p>
        </w:tc>
      </w:tr>
      <w:tr>
        <w:tc>
          <w:tcPr>
            <w:tcW w:type="dxa" w:w="2304"/>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Protocole</w:t>
            </w:r>
          </w:p>
        </w:tc>
        <w:tc>
          <w:tcPr>
            <w:tcW w:type="dxa" w:w="6912"/>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Saisie patient, choix protocole, calcul surface corporelle, doses, flacons, impression, sauvegarde et RDV automatique.</w:t>
            </w:r>
          </w:p>
        </w:tc>
      </w:tr>
      <w:tr>
        <w:tc>
          <w:tcPr>
            <w:tcW w:type="dxa" w:w="2304"/>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OK Chimio</w:t>
            </w:r>
          </w:p>
        </w:tc>
        <w:tc>
          <w:tcPr>
            <w:tcW w:type="dxa" w:w="6912"/>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Liste de protocoles en attente/valides, validation, refus, aperçu et preparation du mail de notification.</w:t>
            </w:r>
          </w:p>
        </w:tc>
      </w:tr>
      <w:tr>
        <w:tc>
          <w:tcPr>
            <w:tcW w:type="dxa" w:w="2304"/>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Medecins</w:t>
            </w:r>
          </w:p>
        </w:tc>
        <w:tc>
          <w:tcPr>
            <w:tcW w:type="dxa" w:w="6912"/>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Gestion de la liste des medecins utilises dans les listes de selection.</w:t>
            </w:r>
          </w:p>
        </w:tc>
      </w:tr>
      <w:tr>
        <w:tc>
          <w:tcPr>
            <w:tcW w:type="dxa" w:w="2304"/>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Pharmacie Centrale</w:t>
            </w:r>
          </w:p>
        </w:tc>
        <w:tc>
          <w:tcPr>
            <w:tcW w:type="dxa" w:w="6912"/>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Catalogue medicaments, dosages, stock, prix, import/export, calcul des flacons, commandes.</w:t>
            </w:r>
          </w:p>
        </w:tc>
      </w:tr>
      <w:tr>
        <w:tc>
          <w:tcPr>
            <w:tcW w:type="dxa" w:w="2304"/>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Aperçu</w:t>
            </w:r>
          </w:p>
        </w:tc>
        <w:tc>
          <w:tcPr>
            <w:tcW w:type="dxa" w:w="6912"/>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Rendu imprimable du protocole, recherche d'un patient sauvegarde et impression compacte.</w:t>
            </w:r>
          </w:p>
        </w:tc>
      </w:tr>
      <w:tr>
        <w:tc>
          <w:tcPr>
            <w:tcW w:type="dxa" w:w="2304"/>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Préparation</w:t>
            </w:r>
          </w:p>
        </w:tc>
        <w:tc>
          <w:tcPr>
            <w:tcW w:type="dxa" w:w="6912"/>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Fiche de preparation avec doses, volumes a aspirer, volume total, solvant, duree et reliquats.</w:t>
            </w:r>
          </w:p>
        </w:tc>
      </w:tr>
      <w:tr>
        <w:tc>
          <w:tcPr>
            <w:tcW w:type="dxa" w:w="2304"/>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Support</w:t>
            </w:r>
          </w:p>
        </w:tc>
        <w:tc>
          <w:tcPr>
            <w:tcW w:type="dxa" w:w="6912"/>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Ordonnances de support, kits de perfusion et ordonnance post-chimio.</w:t>
            </w:r>
          </w:p>
        </w:tc>
      </w:tr>
      <w:tr>
        <w:tc>
          <w:tcPr>
            <w:tcW w:type="dxa" w:w="2304"/>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Suivi</w:t>
            </w:r>
          </w:p>
        </w:tc>
        <w:tc>
          <w:tcPr>
            <w:tcW w:type="dxa" w:w="6912"/>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Suivi therapeutique, nombre de cures, compliance, reponse tumorale, import/export Excel.</w:t>
            </w:r>
          </w:p>
        </w:tc>
      </w:tr>
      <w:tr>
        <w:tc>
          <w:tcPr>
            <w:tcW w:type="dxa" w:w="2304"/>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Biologie</w:t>
            </w:r>
          </w:p>
        </w:tc>
        <w:tc>
          <w:tcPr>
            <w:tcW w:type="dxa" w:w="6912"/>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Bilan biologique patient, valeurs critiques et avertissements avant marquage Traité.</w:t>
            </w:r>
          </w:p>
        </w:tc>
      </w:tr>
      <w:tr>
        <w:tc>
          <w:tcPr>
            <w:tcW w:type="dxa" w:w="2304"/>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Stats</w:t>
            </w:r>
          </w:p>
        </w:tc>
        <w:tc>
          <w:tcPr>
            <w:tcW w:type="dxa" w:w="6912"/>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Activite, preparations, seances, medicaments utilises, doses totales, reliquats, graphiques et rapports.</w:t>
            </w:r>
          </w:p>
        </w:tc>
      </w:tr>
      <w:tr>
        <w:tc>
          <w:tcPr>
            <w:tcW w:type="dxa" w:w="2304"/>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Programme</w:t>
            </w:r>
          </w:p>
        </w:tc>
        <w:tc>
          <w:tcPr>
            <w:tcW w:type="dxa" w:w="6912"/>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Planning hebdomadaire, import Excel/Word, responsables, salle, jours de semaine, impression.</w:t>
            </w:r>
          </w:p>
        </w:tc>
      </w:tr>
      <w:tr>
        <w:tc>
          <w:tcPr>
            <w:tcW w:type="dxa" w:w="2304"/>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Patients</w:t>
            </w:r>
          </w:p>
        </w:tc>
        <w:tc>
          <w:tcPr>
            <w:tcW w:type="dxa" w:w="6912"/>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Liste patient, ajout/modification, statut, filtre, import/export et protocole associe.</w:t>
            </w:r>
          </w:p>
        </w:tc>
      </w:tr>
      <w:tr>
        <w:tc>
          <w:tcPr>
            <w:tcW w:type="dxa" w:w="2304"/>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RDV</w:t>
            </w:r>
          </w:p>
        </w:tc>
        <w:tc>
          <w:tcPr>
            <w:tcW w:type="dxa" w:w="6912"/>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Gestion autonome des rendez-vous, filtre par jour/statut, traitement du patient le jour J.</w:t>
            </w:r>
          </w:p>
        </w:tc>
      </w:tr>
    </w:tbl>
    <w:p/>
    <w:p>
      <w:pPr>
        <w:pStyle w:val="Heading2"/>
      </w:pPr>
      <w:r>
        <w:t>Dashboard</w:t>
      </w:r>
    </w:p>
    <w:p>
      <w:r>
        <w:t>Le Dashboard doit etre la premiere page apres authentification. Il donne une lecture rapide de l'activite et de la qualite operationnelle : nombre de patients, rendez-vous proches, OK Chimio, suivi/biologie, stock bas et responsables.</w:t>
      </w:r>
    </w:p>
    <w:p>
      <w:r>
        <w:t>La photo d'equipe peut etre changee par le bouton discret Photo. Le changement demande le code d'acces.</w:t>
      </w:r>
    </w:p>
    <w:p>
      <w:pPr>
        <w:pStyle w:val="Heading2"/>
      </w:pPr>
      <w:r>
        <w:t>Protocole</w:t>
      </w:r>
    </w:p>
    <w:p>
      <w:r>
        <w:t>C'est le coeur du logiciel. La surface corporelle est calculee avec le poids et la taille. Les doses sont calculees selon les champs du protocole : mg/m2, mg/kg, dose fixe, Avastin ou Carboplatine selon les fonctions existantes.</w:t>
      </w:r>
    </w:p>
    <w:p>
      <w:r>
        <w:t>Le blocage des doublons doit se baser uniquement sur le code gratuite identique lorsqu'on clique Sauvegarder.</w:t>
      </w:r>
    </w:p>
    <w:p>
      <w:r>
        <w:t>Le bouton Sauvegarder ajoute l'entree a l'historique, met a jour la liste patients, cree une entree OK Chimio et prepare les informations necessaires aux autres onglets.</w:t>
      </w:r>
    </w:p>
    <w:p>
      <w:pPr>
        <w:pStyle w:val="Heading2"/>
      </w:pPr>
      <w:r>
        <w:t>OK Chimio</w:t>
      </w:r>
    </w:p>
    <w:p>
      <w:r>
        <w:t>L'onglet OK Chimio sert de zone de validation. Lorsqu'un protocole est valide, un email est prepare vers onco.chn.cak@gmail.com avec patient, dossier, code gratuite, protocole, cure, medecin et date de validation.</w:t>
      </w:r>
    </w:p>
    <w:p>
      <w:pPr>
        <w:pStyle w:val="Heading2"/>
      </w:pPr>
      <w:r>
        <w:t>Pharmacie Centrale</w:t>
      </w:r>
    </w:p>
    <w:p>
      <w:r>
        <w:t>Le catalogue medicaments contient les noms, DCI, dosages disponibles, forme, conditionnement, stock et prix. Le calcul des flacons depend de ce catalogue. Si un medicament n'est pas trouve, il faut l'ajouter au catalogue avec ses dosages.</w:t>
      </w:r>
    </w:p>
    <w:p>
      <w:r>
        <w:t>Les sorties de stock sont creees quand un patient est marque Traité et que le protocole correspond a des medicaments du catalogue.</w:t>
      </w:r>
    </w:p>
    <w:p>
      <w:pPr>
        <w:pStyle w:val="Heading2"/>
      </w:pPr>
      <w:r>
        <w:t>Aperçu</w:t>
      </w:r>
    </w:p>
    <w:p>
      <w:r>
        <w:t>L'Aperçu affiche le protocole pret a imprimer. Le champ de recherche patient permet de retrouver un patient sauvegarde par nom ou dossier. Le bouton Rechercher charge le protocole correspondant.</w:t>
      </w:r>
    </w:p>
    <w:p>
      <w:pPr>
        <w:pStyle w:val="Heading2"/>
      </w:pPr>
      <w:r>
        <w:t>Préparation</w:t>
      </w:r>
    </w:p>
    <w:p>
      <w:r>
        <w:t>La fiche de preparation est destinee a la pharmacie/preparation. Elle contient une colonne Volumes a aspirer pour detailler les volumes preleves dans les flacons, un volume total, le solvant, la duree et le reliquat.</w:t>
      </w:r>
    </w:p>
    <w:p>
      <w:r>
        <w:t>Si le bouton Imprimer affiche une erreur, verifier que le formulaire Protocole contient poids, taille et protocole selectionne. La correction actuelle force aussi le bouton a utiliser le protocole visible si selId n'est pas a jour.</w:t>
      </w:r>
    </w:p>
    <w:p>
      <w:pPr>
        <w:pStyle w:val="Heading2"/>
      </w:pPr>
      <w:r>
        <w:t>Support</w:t>
      </w:r>
    </w:p>
    <w:p>
      <w:r>
        <w:t>Support imprime l'ordonnance de support, le kit de perfusion et l'ordonnance post-chimio. Pour modifier les medicaments post-chimio d'un protocole personnalise, utiliser le champ Medicaments post-chimio dans le formulaire d'ajout de protocole.</w:t>
      </w:r>
    </w:p>
    <w:p>
      <w:r>
        <w:t>Pour modifier la liste post-chimio par defaut dans le code, ouvrir js/main.js et chercher la fonction printPostChimio, puis le tableau const items. Modifier les lignes drug, qty et instruction, sauvegarder, puis tester l'impression.</w:t>
      </w:r>
    </w:p>
    <w:p>
      <w:pPr>
        <w:pStyle w:val="Heading2"/>
      </w:pPr>
      <w:r>
        <w:t>Suivi et Biologie</w:t>
      </w:r>
    </w:p>
    <w:p>
      <w:r>
        <w:t>Suivi documente les cures, la compliance et la reponse tumorale. Biologie documente les bilans et sert de garde-fou avant de marquer un patient comme traite.</w:t>
      </w:r>
    </w:p>
    <w:p>
      <w:pPr>
        <w:pStyle w:val="Heading2"/>
      </w:pPr>
      <w:r>
        <w:t>RDV</w:t>
      </w:r>
    </w:p>
    <w:p>
      <w:r>
        <w:t>Le bouton Traiter n'est autorise que le jour du rendez-vous. Si la biologie n'existe pas, l'application renvoie vers Biologie. Si le bilan est anormal, elle avertit avant de continuer.</w:t>
      </w:r>
    </w:p>
    <w:p>
      <w:pPr>
        <w:pStyle w:val="Heading1"/>
      </w:pPr>
      <w:r>
        <w:t>6. Impression et documents generes</w:t>
      </w:r>
    </w:p>
    <w:tbl>
      <w:tblPr>
        <w:tblW w:type="dxa" w:w="9360"/>
        <w:jc w:val="left"/>
        <w:tblLook w:firstColumn="1" w:firstRow="1" w:lastColumn="0" w:lastRow="0" w:noHBand="0" w:noVBand="1" w:val="04A0"/>
        <w:tblInd w:w="120" w:type="dxa"/>
        <w:tblLayout w:type="fixed"/>
      </w:tblPr>
      <w:tblGrid>
        <w:gridCol w:w="3120"/>
        <w:gridCol w:w="3120"/>
        <w:gridCol w:w="3120"/>
      </w:tblGrid>
      <w:tr>
        <w:trPr>
          <w:tblHeader w:val="true"/>
        </w:trPr>
        <w:tc>
          <w:tcPr>
            <w:tcW w:type="dxa" w:w="2592"/>
            <w:shd w:fill="F4F6F9"/>
            <w:tcBorders>
              <w:top w:val="single" w:sz="6" w:space="0" w:color="D7DEE8"/>
              <w:left w:val="single" w:sz="6" w:space="0" w:color="D7DEE8"/>
              <w:bottom w:val="single" w:sz="6" w:space="0" w:color="D7DEE8"/>
              <w:right w:val="single" w:sz="6" w:space="0" w:color="D7DEE8"/>
            </w:tcBorders>
            <w:vAlign w:val="center"/>
          </w:tcPr>
          <w:p>
            <w:r>
              <w:rPr>
                <w:rFonts w:ascii="Calibri" w:hAnsi="Calibri"/>
                <w:b/>
                <w:color w:val="0A3D7A"/>
                <w:sz w:val="19"/>
              </w:rPr>
              <w:t>Document</w:t>
            </w:r>
          </w:p>
        </w:tc>
        <w:tc>
          <w:tcPr>
            <w:tcW w:type="dxa" w:w="2016"/>
            <w:shd w:fill="F4F6F9"/>
            <w:tcBorders>
              <w:top w:val="single" w:sz="6" w:space="0" w:color="D7DEE8"/>
              <w:left w:val="single" w:sz="6" w:space="0" w:color="D7DEE8"/>
              <w:bottom w:val="single" w:sz="6" w:space="0" w:color="D7DEE8"/>
              <w:right w:val="single" w:sz="6" w:space="0" w:color="D7DEE8"/>
            </w:tcBorders>
            <w:vAlign w:val="center"/>
          </w:tcPr>
          <w:p>
            <w:r>
              <w:rPr>
                <w:rFonts w:ascii="Calibri" w:hAnsi="Calibri"/>
                <w:b/>
                <w:color w:val="0A3D7A"/>
                <w:sz w:val="19"/>
              </w:rPr>
              <w:t>Depuis</w:t>
            </w:r>
          </w:p>
        </w:tc>
        <w:tc>
          <w:tcPr>
            <w:tcW w:type="dxa" w:w="4608"/>
            <w:shd w:fill="F4F6F9"/>
            <w:tcBorders>
              <w:top w:val="single" w:sz="6" w:space="0" w:color="D7DEE8"/>
              <w:left w:val="single" w:sz="6" w:space="0" w:color="D7DEE8"/>
              <w:bottom w:val="single" w:sz="6" w:space="0" w:color="D7DEE8"/>
              <w:right w:val="single" w:sz="6" w:space="0" w:color="D7DEE8"/>
            </w:tcBorders>
            <w:vAlign w:val="center"/>
          </w:tcPr>
          <w:p>
            <w:r>
              <w:rPr>
                <w:rFonts w:ascii="Calibri" w:hAnsi="Calibri"/>
                <w:b/>
                <w:color w:val="0A3D7A"/>
                <w:sz w:val="19"/>
              </w:rPr>
              <w:t>Contenu</w:t>
            </w:r>
          </w:p>
        </w:tc>
      </w:tr>
      <w:tr>
        <w:tc>
          <w:tcPr>
            <w:tcW w:type="dxa" w:w="2592"/>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Protocole patient</w:t>
            </w:r>
          </w:p>
        </w:tc>
        <w:tc>
          <w:tcPr>
            <w:tcW w:type="dxa" w:w="2016"/>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Aperçu / Protocole</w:t>
            </w:r>
          </w:p>
        </w:tc>
        <w:tc>
          <w:tcPr>
            <w:tcW w:type="dxa" w:w="4608"/>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En-tete officiel, patient, protocole, doses, flacons, rythme, signatures.</w:t>
            </w:r>
          </w:p>
        </w:tc>
      </w:tr>
      <w:tr>
        <w:tc>
          <w:tcPr>
            <w:tcW w:type="dxa" w:w="2592"/>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Fiche de preparation</w:t>
            </w:r>
          </w:p>
        </w:tc>
        <w:tc>
          <w:tcPr>
            <w:tcW w:type="dxa" w:w="2016"/>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Préparation</w:t>
            </w:r>
          </w:p>
        </w:tc>
        <w:tc>
          <w:tcPr>
            <w:tcW w:type="dxa" w:w="4608"/>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Medicaments, dose, volumes a aspirer, volume total, solvant, duree, reliquat.</w:t>
            </w:r>
          </w:p>
        </w:tc>
      </w:tr>
      <w:tr>
        <w:tc>
          <w:tcPr>
            <w:tcW w:type="dxa" w:w="2592"/>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Bon RDV</w:t>
            </w:r>
          </w:p>
        </w:tc>
        <w:tc>
          <w:tcPr>
            <w:tcW w:type="dxa" w:w="2016"/>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Protocole</w:t>
            </w:r>
          </w:p>
        </w:tc>
        <w:tc>
          <w:tcPr>
            <w:tcW w:type="dxa" w:w="4608"/>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Date du rendez-vous suivant, patient, protocole et informations utiles.</w:t>
            </w:r>
          </w:p>
        </w:tc>
      </w:tr>
      <w:tr>
        <w:tc>
          <w:tcPr>
            <w:tcW w:type="dxa" w:w="2592"/>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Ordonnance support</w:t>
            </w:r>
          </w:p>
        </w:tc>
        <w:tc>
          <w:tcPr>
            <w:tcW w:type="dxa" w:w="2016"/>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Support</w:t>
            </w:r>
          </w:p>
        </w:tc>
        <w:tc>
          <w:tcPr>
            <w:tcW w:type="dxa" w:w="4608"/>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Traitements de support selon modele du service.</w:t>
            </w:r>
          </w:p>
        </w:tc>
      </w:tr>
      <w:tr>
        <w:tc>
          <w:tcPr>
            <w:tcW w:type="dxa" w:w="2592"/>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Kit perfusion</w:t>
            </w:r>
          </w:p>
        </w:tc>
        <w:tc>
          <w:tcPr>
            <w:tcW w:type="dxa" w:w="2016"/>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Support</w:t>
            </w:r>
          </w:p>
        </w:tc>
        <w:tc>
          <w:tcPr>
            <w:tcW w:type="dxa" w:w="4608"/>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Materiel et solutes a prevoir pour la perfusion.</w:t>
            </w:r>
          </w:p>
        </w:tc>
      </w:tr>
      <w:tr>
        <w:tc>
          <w:tcPr>
            <w:tcW w:type="dxa" w:w="2592"/>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Ordonnance post-chimio</w:t>
            </w:r>
          </w:p>
        </w:tc>
        <w:tc>
          <w:tcPr>
            <w:tcW w:type="dxa" w:w="2016"/>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Support</w:t>
            </w:r>
          </w:p>
        </w:tc>
        <w:tc>
          <w:tcPr>
            <w:tcW w:type="dxa" w:w="4608"/>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Medicaments apres chimiotherapie, posologies et au-besoin.</w:t>
            </w:r>
          </w:p>
        </w:tc>
      </w:tr>
      <w:tr>
        <w:tc>
          <w:tcPr>
            <w:tcW w:type="dxa" w:w="2592"/>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Rapport statistiques</w:t>
            </w:r>
          </w:p>
        </w:tc>
        <w:tc>
          <w:tcPr>
            <w:tcW w:type="dxa" w:w="2016"/>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Stats</w:t>
            </w:r>
          </w:p>
        </w:tc>
        <w:tc>
          <w:tcPr>
            <w:tcW w:type="dxa" w:w="4608"/>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Activite, medicaments utilises, doses, pertes/reliquats et graphiques.</w:t>
            </w:r>
          </w:p>
        </w:tc>
      </w:tr>
      <w:tr>
        <w:tc>
          <w:tcPr>
            <w:tcW w:type="dxa" w:w="2592"/>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Programme</w:t>
            </w:r>
          </w:p>
        </w:tc>
        <w:tc>
          <w:tcPr>
            <w:tcW w:type="dxa" w:w="2016"/>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Programme</w:t>
            </w:r>
          </w:p>
        </w:tc>
        <w:tc>
          <w:tcPr>
            <w:tcW w:type="dxa" w:w="4608"/>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Planning hebdomadaire par jour et patient.</w:t>
            </w:r>
          </w:p>
        </w:tc>
      </w:tr>
    </w:tbl>
    <w:p/>
    <w:tbl>
      <w:tblPr>
        <w:tblW w:type="dxa" w:w="9360"/>
        <w:tblLook w:firstColumn="1" w:firstRow="1" w:lastColumn="0" w:lastRow="0" w:noHBand="0" w:noVBand="1" w:val="04A0"/>
        <w:jc w:val="left"/>
        <w:tblInd w:w="120" w:type="dxa"/>
        <w:tblLayout w:type="fixed"/>
      </w:tblPr>
      <w:tblGrid>
        <w:gridCol w:w="9360"/>
      </w:tblGrid>
      <w:tr>
        <w:tc>
          <w:tcPr>
            <w:tcW w:type="dxa" w:w="9360"/>
            <w:shd w:fill="FFF4DD"/>
            <w:tcBorders>
              <w:top w:val="single" w:sz="6" w:space="0" w:color="CBD6E4"/>
              <w:left w:val="single" w:sz="6" w:space="0" w:color="CBD6E4"/>
              <w:bottom w:val="single" w:sz="6" w:space="0" w:color="CBD6E4"/>
              <w:right w:val="single" w:sz="6" w:space="0" w:color="CBD6E4"/>
            </w:tcBorders>
            <w:vAlign w:val="center"/>
          </w:tcPr>
          <w:p>
            <w:pPr>
              <w:spacing w:after="40" w:line="276" w:lineRule="auto"/>
            </w:pPr>
            <w:r>
              <w:rPr>
                <w:rFonts w:ascii="Calibri" w:hAnsi="Calibri"/>
                <w:b/>
                <w:color w:val="0A3D7A"/>
              </w:rPr>
              <w:t>Controle avant impression</w:t>
            </w:r>
            <w:r>
              <w:br/>
              <w:t>Verifier toujours patient, dossier, code gratuite, protocole, poids, taille, surface corporelle, dose, flacons et medecin avant de valider une impression clinique.</w:t>
            </w:r>
          </w:p>
        </w:tc>
      </w:tr>
    </w:tbl>
    <w:p/>
    <w:p>
      <w:pPr>
        <w:pStyle w:val="Heading1"/>
      </w:pPr>
      <w:r>
        <w:t>7. Import/export et modeles de fichiers</w:t>
      </w:r>
    </w:p>
    <w:p>
      <w:r>
        <w:t>Les imports Excel doivent respecter les noms de colonnes attendus. Quand un import echoue, utiliser le bouton Modele Excel de l'onglet concerne, remplir le fichier, puis reimporter.</w:t>
      </w:r>
    </w:p>
    <w:tbl>
      <w:tblPr>
        <w:tblW w:type="dxa" w:w="9360"/>
        <w:jc w:val="left"/>
        <w:tblLook w:firstColumn="1" w:firstRow="1" w:lastColumn="0" w:lastRow="0" w:noHBand="0" w:noVBand="1" w:val="04A0"/>
        <w:tblInd w:w="120" w:type="dxa"/>
        <w:tblLayout w:type="fixed"/>
      </w:tblPr>
      <w:tblGrid>
        <w:gridCol w:w="3120"/>
        <w:gridCol w:w="3120"/>
        <w:gridCol w:w="3120"/>
      </w:tblGrid>
      <w:tr>
        <w:trPr>
          <w:tblHeader w:val="true"/>
        </w:trPr>
        <w:tc>
          <w:tcPr>
            <w:tcW w:type="dxa" w:w="2016"/>
            <w:shd w:fill="F4F6F9"/>
            <w:tcBorders>
              <w:top w:val="single" w:sz="6" w:space="0" w:color="D7DEE8"/>
              <w:left w:val="single" w:sz="6" w:space="0" w:color="D7DEE8"/>
              <w:bottom w:val="single" w:sz="6" w:space="0" w:color="D7DEE8"/>
              <w:right w:val="single" w:sz="6" w:space="0" w:color="D7DEE8"/>
            </w:tcBorders>
            <w:vAlign w:val="center"/>
          </w:tcPr>
          <w:p>
            <w:r>
              <w:rPr>
                <w:rFonts w:ascii="Calibri" w:hAnsi="Calibri"/>
                <w:b/>
                <w:color w:val="0A3D7A"/>
                <w:sz w:val="19"/>
              </w:rPr>
              <w:t>Module</w:t>
            </w:r>
          </w:p>
        </w:tc>
        <w:tc>
          <w:tcPr>
            <w:tcW w:type="dxa" w:w="2880"/>
            <w:shd w:fill="F4F6F9"/>
            <w:tcBorders>
              <w:top w:val="single" w:sz="6" w:space="0" w:color="D7DEE8"/>
              <w:left w:val="single" w:sz="6" w:space="0" w:color="D7DEE8"/>
              <w:bottom w:val="single" w:sz="6" w:space="0" w:color="D7DEE8"/>
              <w:right w:val="single" w:sz="6" w:space="0" w:color="D7DEE8"/>
            </w:tcBorders>
            <w:vAlign w:val="center"/>
          </w:tcPr>
          <w:p>
            <w:r>
              <w:rPr>
                <w:rFonts w:ascii="Calibri" w:hAnsi="Calibri"/>
                <w:b/>
                <w:color w:val="0A3D7A"/>
                <w:sz w:val="19"/>
              </w:rPr>
              <w:t>Boutons</w:t>
            </w:r>
          </w:p>
        </w:tc>
        <w:tc>
          <w:tcPr>
            <w:tcW w:type="dxa" w:w="4320"/>
            <w:shd w:fill="F4F6F9"/>
            <w:tcBorders>
              <w:top w:val="single" w:sz="6" w:space="0" w:color="D7DEE8"/>
              <w:left w:val="single" w:sz="6" w:space="0" w:color="D7DEE8"/>
              <w:bottom w:val="single" w:sz="6" w:space="0" w:color="D7DEE8"/>
              <w:right w:val="single" w:sz="6" w:space="0" w:color="D7DEE8"/>
            </w:tcBorders>
            <w:vAlign w:val="center"/>
          </w:tcPr>
          <w:p>
            <w:r>
              <w:rPr>
                <w:rFonts w:ascii="Calibri" w:hAnsi="Calibri"/>
                <w:b/>
                <w:color w:val="0A3D7A"/>
                <w:sz w:val="19"/>
              </w:rPr>
              <w:t>Colonnes principales</w:t>
            </w:r>
          </w:p>
        </w:tc>
      </w:tr>
      <w:tr>
        <w:tc>
          <w:tcPr>
            <w:tcW w:type="dxa" w:w="2016"/>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Patients</w:t>
            </w:r>
          </w:p>
        </w:tc>
        <w:tc>
          <w:tcPr>
            <w:tcW w:type="dxa" w:w="2880"/>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Exporter, Importer, Modele Excel</w:t>
            </w:r>
          </w:p>
        </w:tc>
        <w:tc>
          <w:tcPr>
            <w:tcW w:type="dxa" w:w="4320"/>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N Dossier, Prenom, Nom, Age, Sexe, Contact, Protocole, Localisation, Cure, Total cures, Medecin, Date debut, Statut.</w:t>
            </w:r>
          </w:p>
        </w:tc>
      </w:tr>
      <w:tr>
        <w:tc>
          <w:tcPr>
            <w:tcW w:type="dxa" w:w="2016"/>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Programme</w:t>
            </w:r>
          </w:p>
        </w:tc>
        <w:tc>
          <w:tcPr>
            <w:tcW w:type="dxa" w:w="2880"/>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Importer fichier, Modele Excel</w:t>
            </w:r>
          </w:p>
        </w:tc>
        <w:tc>
          <w:tcPr>
            <w:tcW w:type="dxa" w:w="4320"/>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DATE, N, PRENOM, NOM, CONTACT, CHIMIOTHERAPIE, OBSERVATIONS, RESPONSABLE.</w:t>
            </w:r>
          </w:p>
        </w:tc>
      </w:tr>
      <w:tr>
        <w:tc>
          <w:tcPr>
            <w:tcW w:type="dxa" w:w="2016"/>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Suivi</w:t>
            </w:r>
          </w:p>
        </w:tc>
        <w:tc>
          <w:tcPr>
            <w:tcW w:type="dxa" w:w="2880"/>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Modele Excel, Importer suivi, Exporter Excel</w:t>
            </w:r>
          </w:p>
        </w:tc>
        <w:tc>
          <w:tcPr>
            <w:tcW w:type="dxa" w:w="4320"/>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Code patient, Patient, Nombre de cures, Traitement compliant, Reponse tumorale, Date debut traitement, Date reponse.</w:t>
            </w:r>
          </w:p>
        </w:tc>
      </w:tr>
      <w:tr>
        <w:tc>
          <w:tcPr>
            <w:tcW w:type="dxa" w:w="2016"/>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Catalogue</w:t>
            </w:r>
          </w:p>
        </w:tc>
        <w:tc>
          <w:tcPr>
            <w:tcW w:type="dxa" w:w="2880"/>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Exporter, Modele, Enregistrer</w:t>
            </w:r>
          </w:p>
        </w:tc>
        <w:tc>
          <w:tcPr>
            <w:tcW w:type="dxa" w:w="4320"/>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Medicament, DCI, Dosages, Forme, Conditionnement, Stock, Prix.</w:t>
            </w:r>
          </w:p>
        </w:tc>
      </w:tr>
      <w:tr>
        <w:tc>
          <w:tcPr>
            <w:tcW w:type="dxa" w:w="2016"/>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RDV</w:t>
            </w:r>
          </w:p>
        </w:tc>
        <w:tc>
          <w:tcPr>
            <w:tcW w:type="dxa" w:w="2880"/>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Exporter Excel</w:t>
            </w:r>
          </w:p>
        </w:tc>
        <w:tc>
          <w:tcPr>
            <w:tcW w:type="dxa" w:w="4320"/>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Date, patient, dossier, protocole, medecin, statut.</w:t>
            </w:r>
          </w:p>
        </w:tc>
      </w:tr>
      <w:tr>
        <w:tc>
          <w:tcPr>
            <w:tcW w:type="dxa" w:w="2016"/>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Sauvegarde globale</w:t>
            </w:r>
          </w:p>
        </w:tc>
        <w:tc>
          <w:tcPr>
            <w:tcW w:type="dxa" w:w="2880"/>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Sauvegarder, Restaurer</w:t>
            </w:r>
          </w:p>
        </w:tc>
        <w:tc>
          <w:tcPr>
            <w:tcW w:type="dxa" w:w="4320"/>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Fichier JSON complet des cles locales ChimioPro.</w:t>
            </w:r>
          </w:p>
        </w:tc>
      </w:tr>
    </w:tbl>
    <w:p/>
    <w:p>
      <w:pPr>
        <w:pStyle w:val="Heading1"/>
      </w:pPr>
      <w:r>
        <w:t>8. Mise a jour GitHub et deploiement</w:t>
      </w:r>
    </w:p>
    <w:p>
      <w:r>
        <w:t>Le depot GitHub contient les fichiers du logiciel. Il ne contient pas les donnees patients, sauf si quelqu'un ajoute volontairement un fichier de donnees, ce qui ne doit pas etre fait.</w:t>
      </w:r>
    </w:p>
    <w:tbl>
      <w:tblPr>
        <w:tblW w:type="dxa" w:w="9360"/>
        <w:jc w:val="left"/>
        <w:tblLook w:firstColumn="1" w:firstRow="1" w:lastColumn="0" w:lastRow="0" w:noHBand="0" w:noVBand="1" w:val="04A0"/>
        <w:tblInd w:w="120" w:type="dxa"/>
        <w:tblLayout w:type="fixed"/>
      </w:tblPr>
      <w:tblGrid>
        <w:gridCol w:w="4680"/>
        <w:gridCol w:w="4680"/>
      </w:tblGrid>
      <w:tr>
        <w:trPr>
          <w:tblHeader w:val="true"/>
        </w:trPr>
        <w:tc>
          <w:tcPr>
            <w:tcW w:type="dxa" w:w="2448"/>
            <w:shd w:fill="F4F6F9"/>
            <w:tcBorders>
              <w:top w:val="single" w:sz="6" w:space="0" w:color="D7DEE8"/>
              <w:left w:val="single" w:sz="6" w:space="0" w:color="D7DEE8"/>
              <w:bottom w:val="single" w:sz="6" w:space="0" w:color="D7DEE8"/>
              <w:right w:val="single" w:sz="6" w:space="0" w:color="D7DEE8"/>
            </w:tcBorders>
            <w:vAlign w:val="center"/>
          </w:tcPr>
          <w:p>
            <w:r>
              <w:rPr>
                <w:rFonts w:ascii="Calibri" w:hAnsi="Calibri"/>
                <w:b/>
                <w:color w:val="0A3D7A"/>
                <w:sz w:val="19"/>
              </w:rPr>
              <w:t>Element</w:t>
            </w:r>
          </w:p>
        </w:tc>
        <w:tc>
          <w:tcPr>
            <w:tcW w:type="dxa" w:w="6768"/>
            <w:shd w:fill="F4F6F9"/>
            <w:tcBorders>
              <w:top w:val="single" w:sz="6" w:space="0" w:color="D7DEE8"/>
              <w:left w:val="single" w:sz="6" w:space="0" w:color="D7DEE8"/>
              <w:bottom w:val="single" w:sz="6" w:space="0" w:color="D7DEE8"/>
              <w:right w:val="single" w:sz="6" w:space="0" w:color="D7DEE8"/>
            </w:tcBorders>
            <w:vAlign w:val="center"/>
          </w:tcPr>
          <w:p>
            <w:r>
              <w:rPr>
                <w:rFonts w:ascii="Calibri" w:hAnsi="Calibri"/>
                <w:b/>
                <w:color w:val="0A3D7A"/>
                <w:sz w:val="19"/>
              </w:rPr>
              <w:t>Chemin/lien</w:t>
            </w:r>
          </w:p>
        </w:tc>
      </w:tr>
      <w:tr>
        <w:tc>
          <w:tcPr>
            <w:tcW w:type="dxa" w:w="2448"/>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Depot</w:t>
            </w:r>
          </w:p>
        </w:tc>
        <w:tc>
          <w:tcPr>
            <w:tcW w:type="dxa" w:w="6768"/>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https://github.com/onco-chncak/chimio</w:t>
            </w:r>
          </w:p>
        </w:tc>
      </w:tr>
      <w:tr>
        <w:tc>
          <w:tcPr>
            <w:tcW w:type="dxa" w:w="2448"/>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Clone local</w:t>
            </w:r>
          </w:p>
        </w:tc>
        <w:tc>
          <w:tcPr>
            <w:tcW w:type="dxa" w:w="6768"/>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C:\\Users\\Test\\Documents\\GitHub\\chimio</w:t>
            </w:r>
          </w:p>
        </w:tc>
      </w:tr>
      <w:tr>
        <w:tc>
          <w:tcPr>
            <w:tcW w:type="dxa" w:w="2448"/>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Ancienne copie locale</w:t>
            </w:r>
          </w:p>
        </w:tc>
        <w:tc>
          <w:tcPr>
            <w:tcW w:type="dxa" w:w="6768"/>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C:\\Users\\Test\\Documents\\New project 2\\chimiopro-app</w:t>
            </w:r>
          </w:p>
        </w:tc>
      </w:tr>
      <w:tr>
        <w:tc>
          <w:tcPr>
            <w:tcW w:type="dxa" w:w="2448"/>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Site GitHub Pages</w:t>
            </w:r>
          </w:p>
        </w:tc>
        <w:tc>
          <w:tcPr>
            <w:tcW w:type="dxa" w:w="6768"/>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https://onco-chncak.github.io/chimio/</w:t>
            </w:r>
          </w:p>
        </w:tc>
      </w:tr>
    </w:tbl>
    <w:p/>
    <w:p>
      <w:pPr>
        <w:pStyle w:val="Heading2"/>
      </w:pPr>
      <w:r>
        <w:t>Procedure de mise a jour avec GitHub Desktop</w:t>
      </w:r>
    </w:p>
    <w:p>
      <w:pPr>
        <w:pStyle w:val="ListNumber"/>
        <w:spacing w:after="80" w:line="276" w:lineRule="auto"/>
      </w:pPr>
      <w:r>
        <w:t>Appliquer les corrections dans le dossier clone GitHub.</w:t>
      </w:r>
    </w:p>
    <w:p>
      <w:pPr>
        <w:pStyle w:val="ListNumber"/>
        <w:spacing w:after="80" w:line="276" w:lineRule="auto"/>
      </w:pPr>
      <w:r>
        <w:t>Tester localement avec un lien fresh pour eviter le cache.</w:t>
      </w:r>
    </w:p>
    <w:p>
      <w:pPr>
        <w:pStyle w:val="ListNumber"/>
        <w:spacing w:after="80" w:line="276" w:lineRule="auto"/>
      </w:pPr>
      <w:r>
        <w:t>Ouvrir GitHub Desktop.</w:t>
      </w:r>
    </w:p>
    <w:p>
      <w:pPr>
        <w:pStyle w:val="ListNumber"/>
        <w:spacing w:after="80" w:line="276" w:lineRule="auto"/>
      </w:pPr>
      <w:r>
        <w:t>Verifier la liste des fichiers modifies.</w:t>
      </w:r>
    </w:p>
    <w:p>
      <w:pPr>
        <w:pStyle w:val="ListNumber"/>
        <w:spacing w:after="80" w:line="276" w:lineRule="auto"/>
      </w:pPr>
      <w:r>
        <w:t>Ecrire un message clair de commit, par exemple Correction impression preparation et documentation.</w:t>
      </w:r>
    </w:p>
    <w:p>
      <w:pPr>
        <w:pStyle w:val="ListNumber"/>
        <w:spacing w:after="80" w:line="276" w:lineRule="auto"/>
      </w:pPr>
      <w:r>
        <w:t>Cliquer Commit to main.</w:t>
      </w:r>
    </w:p>
    <w:p>
      <w:pPr>
        <w:pStyle w:val="ListNumber"/>
        <w:spacing w:after="80" w:line="276" w:lineRule="auto"/>
      </w:pPr>
      <w:r>
        <w:t>Cliquer Push origin.</w:t>
      </w:r>
    </w:p>
    <w:p>
      <w:pPr>
        <w:pStyle w:val="ListNumber"/>
        <w:spacing w:after="80" w:line="276" w:lineRule="auto"/>
      </w:pPr>
      <w:r>
        <w:t>Attendre GitHub Pages, puis recharger le site avec Ctrl+F5.</w:t>
      </w:r>
    </w:p>
    <w:tbl>
      <w:tblPr>
        <w:tblW w:type="dxa" w:w="9360"/>
        <w:tblLook w:firstColumn="1" w:firstRow="1" w:lastColumn="0" w:lastRow="0" w:noHBand="0" w:noVBand="1" w:val="04A0"/>
        <w:jc w:val="left"/>
        <w:tblInd w:w="120" w:type="dxa"/>
        <w:tblLayout w:type="fixed"/>
      </w:tblPr>
      <w:tblGrid>
        <w:gridCol w:w="9360"/>
      </w:tblGrid>
      <w:tr>
        <w:tc>
          <w:tcPr>
            <w:tcW w:type="dxa" w:w="9360"/>
            <w:shd w:fill="EAF2FF"/>
            <w:tcBorders>
              <w:top w:val="single" w:sz="6" w:space="0" w:color="CBD6E4"/>
              <w:left w:val="single" w:sz="6" w:space="0" w:color="CBD6E4"/>
              <w:bottom w:val="single" w:sz="6" w:space="0" w:color="CBD6E4"/>
              <w:right w:val="single" w:sz="6" w:space="0" w:color="CBD6E4"/>
            </w:tcBorders>
            <w:vAlign w:val="center"/>
          </w:tcPr>
          <w:p>
            <w:pPr>
              <w:spacing w:after="40" w:line="276" w:lineRule="auto"/>
            </w:pPr>
            <w:r>
              <w:rPr>
                <w:rFonts w:ascii="Calibri" w:hAnsi="Calibri"/>
                <w:b/>
                <w:color w:val="0A3D7A"/>
              </w:rPr>
              <w:t>Cache navigateur</w:t>
            </w:r>
            <w:r>
              <w:br/>
              <w:t>Si une modification n'apparait pas, ouvrir avec un parametre fresh, par exemple index.html?fresh=20260515a, puis faire Ctrl+F5. Le service worker a aussi un numero de cache dans sw.js.</w:t>
            </w:r>
          </w:p>
        </w:tc>
      </w:tr>
    </w:tbl>
    <w:p/>
    <w:p>
      <w:pPr>
        <w:pStyle w:val="Heading1"/>
      </w:pPr>
      <w:r>
        <w:t>9. Initialisation officielle avant demarrage</w:t>
      </w:r>
    </w:p>
    <w:p>
      <w:r>
        <w:t>L'initialisation officielle sert a effacer les donnees de test avant le vrai demarrage tout en conservant les elements de configuration utiles.</w:t>
      </w:r>
    </w:p>
    <w:tbl>
      <w:tblPr>
        <w:tblW w:type="dxa" w:w="9360"/>
        <w:jc w:val="left"/>
        <w:tblLook w:firstColumn="1" w:firstRow="1" w:lastColumn="0" w:lastRow="0" w:noHBand="0" w:noVBand="1" w:val="04A0"/>
        <w:tblInd w:w="120" w:type="dxa"/>
        <w:tblLayout w:type="fixed"/>
      </w:tblPr>
      <w:tblGrid>
        <w:gridCol w:w="4680"/>
        <w:gridCol w:w="4680"/>
      </w:tblGrid>
      <w:tr>
        <w:trPr>
          <w:tblHeader w:val="true"/>
        </w:trPr>
        <w:tc>
          <w:tcPr>
            <w:tcW w:type="dxa" w:w="4320"/>
            <w:shd w:fill="F4F6F9"/>
            <w:tcBorders>
              <w:top w:val="single" w:sz="6" w:space="0" w:color="D7DEE8"/>
              <w:left w:val="single" w:sz="6" w:space="0" w:color="D7DEE8"/>
              <w:bottom w:val="single" w:sz="6" w:space="0" w:color="D7DEE8"/>
              <w:right w:val="single" w:sz="6" w:space="0" w:color="D7DEE8"/>
            </w:tcBorders>
            <w:vAlign w:val="center"/>
          </w:tcPr>
          <w:p>
            <w:r>
              <w:rPr>
                <w:rFonts w:ascii="Calibri" w:hAnsi="Calibri"/>
                <w:b/>
                <w:color w:val="0A3D7A"/>
                <w:sz w:val="19"/>
              </w:rPr>
              <w:t>Conserve</w:t>
            </w:r>
          </w:p>
        </w:tc>
        <w:tc>
          <w:tcPr>
            <w:tcW w:type="dxa" w:w="4320"/>
            <w:shd w:fill="F4F6F9"/>
            <w:tcBorders>
              <w:top w:val="single" w:sz="6" w:space="0" w:color="D7DEE8"/>
              <w:left w:val="single" w:sz="6" w:space="0" w:color="D7DEE8"/>
              <w:bottom w:val="single" w:sz="6" w:space="0" w:color="D7DEE8"/>
              <w:right w:val="single" w:sz="6" w:space="0" w:color="D7DEE8"/>
            </w:tcBorders>
            <w:vAlign w:val="center"/>
          </w:tcPr>
          <w:p>
            <w:r>
              <w:rPr>
                <w:rFonts w:ascii="Calibri" w:hAnsi="Calibri"/>
                <w:b/>
                <w:color w:val="0A3D7A"/>
                <w:sz w:val="19"/>
              </w:rPr>
              <w:t>Efface</w:t>
            </w:r>
          </w:p>
        </w:tc>
      </w:tr>
      <w:tr>
        <w:tc>
          <w:tcPr>
            <w:tcW w:type="dxa" w:w="4320"/>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Catalogue pharmacie centrale</w:t>
            </w:r>
          </w:p>
        </w:tc>
        <w:tc>
          <w:tcPr>
            <w:tcW w:type="dxa" w:w="4320"/>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Patients</w:t>
            </w:r>
          </w:p>
        </w:tc>
      </w:tr>
      <w:tr>
        <w:tc>
          <w:tcPr>
            <w:tcW w:type="dxa" w:w="4320"/>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Medecins</w:t>
            </w:r>
          </w:p>
        </w:tc>
        <w:tc>
          <w:tcPr>
            <w:tcW w:type="dxa" w:w="4320"/>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Rendez-vous</w:t>
            </w:r>
          </w:p>
        </w:tc>
      </w:tr>
      <w:tr>
        <w:tc>
          <w:tcPr>
            <w:tcW w:type="dxa" w:w="4320"/>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Responsables et configuration programme</w:t>
            </w:r>
          </w:p>
        </w:tc>
        <w:tc>
          <w:tcPr>
            <w:tcW w:type="dxa" w:w="4320"/>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Historique protocoles</w:t>
            </w:r>
          </w:p>
        </w:tc>
      </w:tr>
      <w:tr>
        <w:tc>
          <w:tcPr>
            <w:tcW w:type="dxa" w:w="4320"/>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Photo dashboard</w:t>
            </w:r>
          </w:p>
        </w:tc>
        <w:tc>
          <w:tcPr>
            <w:tcW w:type="dxa" w:w="4320"/>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Sorties de stock</w:t>
            </w:r>
          </w:p>
        </w:tc>
      </w:tr>
      <w:tr>
        <w:tc>
          <w:tcPr>
            <w:tcW w:type="dxa" w:w="4320"/>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Theme sombre et identifiant appareil</w:t>
            </w:r>
          </w:p>
        </w:tc>
        <w:tc>
          <w:tcPr>
            <w:tcW w:type="dxa" w:w="4320"/>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Suivi therapeutique, biologie, programme et archives patients</w:t>
            </w:r>
          </w:p>
        </w:tc>
      </w:tr>
    </w:tbl>
    <w:p/>
    <w:p>
      <w:pPr>
        <w:pStyle w:val="ListNumber"/>
        <w:spacing w:after="80" w:line="276" w:lineRule="auto"/>
      </w:pPr>
      <w:r>
        <w:t>Faire une sauvegarde JSON avant toute initialisation.</w:t>
      </w:r>
    </w:p>
    <w:p>
      <w:pPr>
        <w:pStyle w:val="ListNumber"/>
        <w:spacing w:after="80" w:line="276" w:lineRule="auto"/>
      </w:pPr>
      <w:r>
        <w:t>Verifier que le catalogue est correct.</w:t>
      </w:r>
    </w:p>
    <w:p>
      <w:pPr>
        <w:pStyle w:val="ListNumber"/>
        <w:spacing w:after="80" w:line="276" w:lineRule="auto"/>
      </w:pPr>
      <w:r>
        <w:t>Cliquer Initialiser dans la barre laterale ou Cloud &gt; Initialisation officielle.</w:t>
      </w:r>
    </w:p>
    <w:p>
      <w:pPr>
        <w:pStyle w:val="ListNumber"/>
        <w:spacing w:after="80" w:line="276" w:lineRule="auto"/>
      </w:pPr>
      <w:r>
        <w:t>Saisir le code 2026.</w:t>
      </w:r>
    </w:p>
    <w:p>
      <w:pPr>
        <w:pStyle w:val="ListNumber"/>
        <w:spacing w:after="80" w:line="276" w:lineRule="auto"/>
      </w:pPr>
      <w:r>
        <w:t>Confirmer la suppression.</w:t>
      </w:r>
    </w:p>
    <w:p>
      <w:pPr>
        <w:pStyle w:val="ListNumber"/>
        <w:spacing w:after="80" w:line="276" w:lineRule="auto"/>
      </w:pPr>
      <w:r>
        <w:t>Saisir exactement INITIALISER si demande.</w:t>
      </w:r>
    </w:p>
    <w:p>
      <w:pPr>
        <w:pStyle w:val="ListNumber"/>
        <w:spacing w:after="80" w:line="276" w:lineRule="auto"/>
      </w:pPr>
      <w:r>
        <w:t>Synchroniser Supabase pour pousser l'etat officiel vide.</w:t>
      </w:r>
    </w:p>
    <w:tbl>
      <w:tblPr>
        <w:tblW w:type="dxa" w:w="9360"/>
        <w:tblLook w:firstColumn="1" w:firstRow="1" w:lastColumn="0" w:lastRow="0" w:noHBand="0" w:noVBand="1" w:val="04A0"/>
        <w:jc w:val="left"/>
        <w:tblInd w:w="120" w:type="dxa"/>
        <w:tblLayout w:type="fixed"/>
      </w:tblPr>
      <w:tblGrid>
        <w:gridCol w:w="9360"/>
      </w:tblGrid>
      <w:tr>
        <w:tc>
          <w:tcPr>
            <w:tcW w:type="dxa" w:w="9360"/>
            <w:shd w:fill="FDEAEA"/>
            <w:tcBorders>
              <w:top w:val="single" w:sz="6" w:space="0" w:color="CBD6E4"/>
              <w:left w:val="single" w:sz="6" w:space="0" w:color="CBD6E4"/>
              <w:bottom w:val="single" w:sz="6" w:space="0" w:color="CBD6E4"/>
              <w:right w:val="single" w:sz="6" w:space="0" w:color="CBD6E4"/>
            </w:tcBorders>
            <w:vAlign w:val="center"/>
          </w:tcPr>
          <w:p>
            <w:pPr>
              <w:spacing w:after="40" w:line="276" w:lineRule="auto"/>
            </w:pPr>
            <w:r>
              <w:rPr>
                <w:rFonts w:ascii="Calibri" w:hAnsi="Calibri"/>
                <w:b/>
                <w:color w:val="0A3D7A"/>
              </w:rPr>
              <w:t>Avant le vrai demarrage</w:t>
            </w:r>
            <w:r>
              <w:br/>
              <w:t>Ne pas utiliser l'initialisation officielle apres le debut de l'activite reelle, sauf decision explicite et sauvegarde externe verifiee.</w:t>
            </w:r>
          </w:p>
        </w:tc>
      </w:tr>
    </w:tbl>
    <w:p/>
    <w:p>
      <w:pPr>
        <w:pStyle w:val="Heading1"/>
      </w:pPr>
      <w:r>
        <w:t>10. Maintenance, modifications et depannage</w:t>
      </w:r>
    </w:p>
    <w:p>
      <w:pPr>
        <w:pStyle w:val="Heading2"/>
      </w:pPr>
      <w:r>
        <w:t>Changer un medicament de l'ordonnance post-chimio</w:t>
      </w:r>
    </w:p>
    <w:p>
      <w:pPr>
        <w:pStyle w:val="ListNumber"/>
        <w:spacing w:after="80" w:line="276" w:lineRule="auto"/>
      </w:pPr>
      <w:r>
        <w:t>Pour un protocole personnalise : ouvrir le formulaire d'ajout de protocole et modifier le champ Medicaments post-chimio.</w:t>
      </w:r>
    </w:p>
    <w:p>
      <w:pPr>
        <w:pStyle w:val="ListNumber"/>
        <w:spacing w:after="80" w:line="276" w:lineRule="auto"/>
      </w:pPr>
      <w:r>
        <w:t>Pour la liste par defaut : ouvrir js/main.js.</w:t>
      </w:r>
    </w:p>
    <w:p>
      <w:pPr>
        <w:pStyle w:val="ListNumber"/>
        <w:spacing w:after="80" w:line="276" w:lineRule="auto"/>
      </w:pPr>
      <w:r>
        <w:t>Chercher function printPostChimio().</w:t>
      </w:r>
    </w:p>
    <w:p>
      <w:pPr>
        <w:pStyle w:val="ListNumber"/>
        <w:spacing w:after="80" w:line="276" w:lineRule="auto"/>
      </w:pPr>
      <w:r>
        <w:t>Dans cette fonction, modifier le tableau const items : drug pour le nom, qty pour la quantite, instruction pour la posologie.</w:t>
      </w:r>
    </w:p>
    <w:p>
      <w:pPr>
        <w:pStyle w:val="ListNumber"/>
        <w:spacing w:after="80" w:line="276" w:lineRule="auto"/>
      </w:pPr>
      <w:r>
        <w:t>Sauvegarder, recharger l'application avec fresh, tester l'impression Support &gt; Post-Chimio.</w:t>
      </w:r>
    </w:p>
    <w:p>
      <w:pPr>
        <w:pStyle w:val="Heading2"/>
      </w:pPr>
      <w:r>
        <w:t>Ajouter un medicament au catalogue</w:t>
      </w:r>
    </w:p>
    <w:p>
      <w:pPr>
        <w:pStyle w:val="ListNumber"/>
        <w:spacing w:after="80" w:line="276" w:lineRule="auto"/>
      </w:pPr>
      <w:r>
        <w:t>Aller dans Pharmacie Centrale.</w:t>
      </w:r>
    </w:p>
    <w:p>
      <w:pPr>
        <w:pStyle w:val="ListNumber"/>
        <w:spacing w:after="80" w:line="276" w:lineRule="auto"/>
      </w:pPr>
      <w:r>
        <w:t>Utiliser le catalogue pour ajouter ou modifier le medicament.</w:t>
      </w:r>
    </w:p>
    <w:p>
      <w:pPr>
        <w:pStyle w:val="ListNumber"/>
        <w:spacing w:after="80" w:line="276" w:lineRule="auto"/>
      </w:pPr>
      <w:r>
        <w:t>Renseigner nom exact, DCI, dosages disponibles en mg, stock et prix.</w:t>
      </w:r>
    </w:p>
    <w:p>
      <w:pPr>
        <w:pStyle w:val="ListNumber"/>
        <w:spacing w:after="80" w:line="276" w:lineRule="auto"/>
      </w:pPr>
      <w:r>
        <w:t>Cliquer Enregistrer le catalogue.</w:t>
      </w:r>
    </w:p>
    <w:p>
      <w:pPr>
        <w:pStyle w:val="ListNumber"/>
        <w:spacing w:after="80" w:line="276" w:lineRule="auto"/>
      </w:pPr>
      <w:r>
        <w:t>Tester un protocole qui utilise ce medicament pour verifier flacons et volumes.</w:t>
      </w:r>
    </w:p>
    <w:p>
      <w:pPr>
        <w:pStyle w:val="Heading2"/>
      </w:pPr>
      <w:r>
        <w:t>Problemes frequents</w:t>
      </w:r>
    </w:p>
    <w:tbl>
      <w:tblPr>
        <w:tblW w:type="dxa" w:w="9360"/>
        <w:jc w:val="left"/>
        <w:tblLook w:firstColumn="1" w:firstRow="1" w:lastColumn="0" w:lastRow="0" w:noHBand="0" w:noVBand="1" w:val="04A0"/>
        <w:tblInd w:w="120" w:type="dxa"/>
        <w:tblLayout w:type="fixed"/>
      </w:tblPr>
      <w:tblGrid>
        <w:gridCol w:w="3120"/>
        <w:gridCol w:w="3120"/>
        <w:gridCol w:w="3120"/>
      </w:tblGrid>
      <w:tr>
        <w:trPr>
          <w:tblHeader w:val="true"/>
        </w:trPr>
        <w:tc>
          <w:tcPr>
            <w:tcW w:type="dxa" w:w="2304"/>
            <w:shd w:fill="F4F6F9"/>
            <w:tcBorders>
              <w:top w:val="single" w:sz="6" w:space="0" w:color="D7DEE8"/>
              <w:left w:val="single" w:sz="6" w:space="0" w:color="D7DEE8"/>
              <w:bottom w:val="single" w:sz="6" w:space="0" w:color="D7DEE8"/>
              <w:right w:val="single" w:sz="6" w:space="0" w:color="D7DEE8"/>
            </w:tcBorders>
            <w:vAlign w:val="center"/>
          </w:tcPr>
          <w:p>
            <w:r>
              <w:rPr>
                <w:rFonts w:ascii="Calibri" w:hAnsi="Calibri"/>
                <w:b/>
                <w:color w:val="0A3D7A"/>
                <w:sz w:val="19"/>
              </w:rPr>
              <w:t>Probleme</w:t>
            </w:r>
          </w:p>
        </w:tc>
        <w:tc>
          <w:tcPr>
            <w:tcW w:type="dxa" w:w="2880"/>
            <w:shd w:fill="F4F6F9"/>
            <w:tcBorders>
              <w:top w:val="single" w:sz="6" w:space="0" w:color="D7DEE8"/>
              <w:left w:val="single" w:sz="6" w:space="0" w:color="D7DEE8"/>
              <w:bottom w:val="single" w:sz="6" w:space="0" w:color="D7DEE8"/>
              <w:right w:val="single" w:sz="6" w:space="0" w:color="D7DEE8"/>
            </w:tcBorders>
            <w:vAlign w:val="center"/>
          </w:tcPr>
          <w:p>
            <w:r>
              <w:rPr>
                <w:rFonts w:ascii="Calibri" w:hAnsi="Calibri"/>
                <w:b/>
                <w:color w:val="0A3D7A"/>
                <w:sz w:val="19"/>
              </w:rPr>
              <w:t>Cause probable</w:t>
            </w:r>
          </w:p>
        </w:tc>
        <w:tc>
          <w:tcPr>
            <w:tcW w:type="dxa" w:w="4032"/>
            <w:shd w:fill="F4F6F9"/>
            <w:tcBorders>
              <w:top w:val="single" w:sz="6" w:space="0" w:color="D7DEE8"/>
              <w:left w:val="single" w:sz="6" w:space="0" w:color="D7DEE8"/>
              <w:bottom w:val="single" w:sz="6" w:space="0" w:color="D7DEE8"/>
              <w:right w:val="single" w:sz="6" w:space="0" w:color="D7DEE8"/>
            </w:tcBorders>
            <w:vAlign w:val="center"/>
          </w:tcPr>
          <w:p>
            <w:r>
              <w:rPr>
                <w:rFonts w:ascii="Calibri" w:hAnsi="Calibri"/>
                <w:b/>
                <w:color w:val="0A3D7A"/>
                <w:sz w:val="19"/>
              </w:rPr>
              <w:t>Solution</w:t>
            </w:r>
          </w:p>
        </w:tc>
      </w:tr>
      <w:tr>
        <w:tc>
          <w:tcPr>
            <w:tcW w:type="dxa" w:w="2304"/>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Modification invisible</w:t>
            </w:r>
          </w:p>
        </w:tc>
        <w:tc>
          <w:tcPr>
            <w:tcW w:type="dxa" w:w="2880"/>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Cache navigateur ou ancien dossier ouvert</w:t>
            </w:r>
          </w:p>
        </w:tc>
        <w:tc>
          <w:tcPr>
            <w:tcW w:type="dxa" w:w="4032"/>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Ouvrir le lien fresh, Ctrl+F5, verifier 4173/4174 et le dossier servi.</w:t>
            </w:r>
          </w:p>
        </w:tc>
      </w:tr>
      <w:tr>
        <w:tc>
          <w:tcPr>
            <w:tcW w:type="dxa" w:w="2304"/>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Push GitHub impossible</w:t>
            </w:r>
          </w:p>
        </w:tc>
        <w:tc>
          <w:tcPr>
            <w:tcW w:type="dxa" w:w="2880"/>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Connexion/DNS GitHub</w:t>
            </w:r>
          </w:p>
        </w:tc>
        <w:tc>
          <w:tcPr>
            <w:tcW w:type="dxa" w:w="4032"/>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Verifier internet, relancer GitHub Desktop, pousser plus tard.</w:t>
            </w:r>
          </w:p>
        </w:tc>
      </w:tr>
      <w:tr>
        <w:tc>
          <w:tcPr>
            <w:tcW w:type="dxa" w:w="2304"/>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Import Excel refuse</w:t>
            </w:r>
          </w:p>
        </w:tc>
        <w:tc>
          <w:tcPr>
            <w:tcW w:type="dxa" w:w="2880"/>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Colonnes non conformes</w:t>
            </w:r>
          </w:p>
        </w:tc>
        <w:tc>
          <w:tcPr>
            <w:tcW w:type="dxa" w:w="4032"/>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Telecharger le Modele Excel du module et remplir sans changer les titres.</w:t>
            </w:r>
          </w:p>
        </w:tc>
      </w:tr>
      <w:tr>
        <w:tc>
          <w:tcPr>
            <w:tcW w:type="dxa" w:w="2304"/>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Fiche preparation bloque</w:t>
            </w:r>
          </w:p>
        </w:tc>
        <w:tc>
          <w:tcPr>
            <w:tcW w:type="dxa" w:w="2880"/>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Protocole ou poids/taille absent</w:t>
            </w:r>
          </w:p>
        </w:tc>
        <w:tc>
          <w:tcPr>
            <w:tcW w:type="dxa" w:w="4032"/>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Revenir Protocole, selectionner protocole, renseigner poids/taille, puis Preparation.</w:t>
            </w:r>
          </w:p>
        </w:tc>
      </w:tr>
      <w:tr>
        <w:tc>
          <w:tcPr>
            <w:tcW w:type="dxa" w:w="2304"/>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Traiter impossible RDV</w:t>
            </w:r>
          </w:p>
        </w:tc>
        <w:tc>
          <w:tcPr>
            <w:tcW w:type="dxa" w:w="2880"/>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Rendez-vous pas a la date du jour ou biologie absente</w:t>
            </w:r>
          </w:p>
        </w:tc>
        <w:tc>
          <w:tcPr>
            <w:tcW w:type="dxa" w:w="4032"/>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Verifier date, saisir biologie, puis retraiter.</w:t>
            </w:r>
          </w:p>
        </w:tc>
      </w:tr>
      <w:tr>
        <w:tc>
          <w:tcPr>
            <w:tcW w:type="dxa" w:w="2304"/>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Stock non deduit</w:t>
            </w:r>
          </w:p>
        </w:tc>
        <w:tc>
          <w:tcPr>
            <w:tcW w:type="dxa" w:w="2880"/>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Medicament absent du catalogue ou stock insuffisant</w:t>
            </w:r>
          </w:p>
        </w:tc>
        <w:tc>
          <w:tcPr>
            <w:tcW w:type="dxa" w:w="4032"/>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Ajouter le medicament, dosages et stock, puis recommencer.</w:t>
            </w:r>
          </w:p>
        </w:tc>
      </w:tr>
      <w:tr>
        <w:tc>
          <w:tcPr>
            <w:tcW w:type="dxa" w:w="2304"/>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Cloud ne synchronise pas</w:t>
            </w:r>
          </w:p>
        </w:tc>
        <w:tc>
          <w:tcPr>
            <w:tcW w:type="dxa" w:w="2880"/>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Non connecte Supabase ou RLS/policies incorrectes</w:t>
            </w:r>
          </w:p>
        </w:tc>
        <w:tc>
          <w:tcPr>
            <w:tcW w:type="dxa" w:w="4032"/>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Se connecter Cloud, verifier app_settings et politiques Supabase.</w:t>
            </w:r>
          </w:p>
        </w:tc>
      </w:tr>
    </w:tbl>
    <w:p/>
    <w:p>
      <w:pPr>
        <w:pStyle w:val="Heading2"/>
      </w:pPr>
      <w:r>
        <w:t>Regles de sauvegarde</w:t>
      </w:r>
    </w:p>
    <w:p>
      <w:pPr>
        <w:pStyle w:val="ListBullet"/>
        <w:spacing w:after="80" w:line="276" w:lineRule="auto"/>
      </w:pPr>
      <w:r>
        <w:t>Faire une sauvegarde JSON avant import, restauration, initialisation ou grosse journee.</w:t>
      </w:r>
    </w:p>
    <w:p>
      <w:pPr>
        <w:pStyle w:val="ListBullet"/>
        <w:spacing w:after="80" w:line="276" w:lineRule="auto"/>
      </w:pPr>
      <w:r>
        <w:t>Faire une synchronisation Supabase en debut et fin de journee.</w:t>
      </w:r>
    </w:p>
    <w:p>
      <w:pPr>
        <w:pStyle w:val="ListBullet"/>
        <w:spacing w:after="80" w:line="276" w:lineRule="auto"/>
      </w:pPr>
      <w:r>
        <w:t>Ne jamais stocker un fichier de sauvegarde patient dans le depot GitHub public.</w:t>
      </w:r>
    </w:p>
    <w:p>
      <w:pPr>
        <w:pStyle w:val="ListBullet"/>
        <w:spacing w:after="80" w:line="276" w:lineRule="auto"/>
      </w:pPr>
      <w:r>
        <w:t>Conserver au moins une copie hors ordinateur principal.</w:t>
      </w:r>
    </w:p>
    <w:p>
      <w:pPr>
        <w:pStyle w:val="Heading1"/>
      </w:pPr>
      <w:r>
        <w:t>11. Annexes techniques</w:t>
      </w:r>
    </w:p>
    <w:p>
      <w:pPr>
        <w:pStyle w:val="Heading2"/>
      </w:pPr>
      <w:r>
        <w:t>Structure des fichiers</w:t>
      </w:r>
    </w:p>
    <w:tbl>
      <w:tblPr>
        <w:tblW w:type="dxa" w:w="9360"/>
        <w:jc w:val="left"/>
        <w:tblLook w:firstColumn="1" w:firstRow="1" w:lastColumn="0" w:lastRow="0" w:noHBand="0" w:noVBand="1" w:val="04A0"/>
        <w:tblInd w:w="120" w:type="dxa"/>
        <w:tblLayout w:type="fixed"/>
      </w:tblPr>
      <w:tblGrid>
        <w:gridCol w:w="4680"/>
        <w:gridCol w:w="4680"/>
      </w:tblGrid>
      <w:tr>
        <w:trPr>
          <w:tblHeader w:val="true"/>
        </w:trPr>
        <w:tc>
          <w:tcPr>
            <w:tcW w:type="dxa" w:w="2592"/>
            <w:shd w:fill="F4F6F9"/>
            <w:tcBorders>
              <w:top w:val="single" w:sz="6" w:space="0" w:color="D7DEE8"/>
              <w:left w:val="single" w:sz="6" w:space="0" w:color="D7DEE8"/>
              <w:bottom w:val="single" w:sz="6" w:space="0" w:color="D7DEE8"/>
              <w:right w:val="single" w:sz="6" w:space="0" w:color="D7DEE8"/>
            </w:tcBorders>
            <w:vAlign w:val="center"/>
          </w:tcPr>
          <w:p>
            <w:r>
              <w:rPr>
                <w:rFonts w:ascii="Calibri" w:hAnsi="Calibri"/>
                <w:b/>
                <w:color w:val="0A3D7A"/>
                <w:sz w:val="19"/>
              </w:rPr>
              <w:t>Fichier/dossier</w:t>
            </w:r>
          </w:p>
        </w:tc>
        <w:tc>
          <w:tcPr>
            <w:tcW w:type="dxa" w:w="6624"/>
            <w:shd w:fill="F4F6F9"/>
            <w:tcBorders>
              <w:top w:val="single" w:sz="6" w:space="0" w:color="D7DEE8"/>
              <w:left w:val="single" w:sz="6" w:space="0" w:color="D7DEE8"/>
              <w:bottom w:val="single" w:sz="6" w:space="0" w:color="D7DEE8"/>
              <w:right w:val="single" w:sz="6" w:space="0" w:color="D7DEE8"/>
            </w:tcBorders>
            <w:vAlign w:val="center"/>
          </w:tcPr>
          <w:p>
            <w:r>
              <w:rPr>
                <w:rFonts w:ascii="Calibri" w:hAnsi="Calibri"/>
                <w:b/>
                <w:color w:val="0A3D7A"/>
                <w:sz w:val="19"/>
              </w:rPr>
              <w:t>Role</w:t>
            </w:r>
          </w:p>
        </w:tc>
      </w:tr>
      <w:tr>
        <w:tc>
          <w:tcPr>
            <w:tcW w:type="dxa" w:w="2592"/>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index.html</w:t>
            </w:r>
          </w:p>
        </w:tc>
        <w:tc>
          <w:tcPr>
            <w:tcW w:type="dxa" w:w="6624"/>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Structure HTML, onglets, boutons et chargement des scripts.</w:t>
            </w:r>
          </w:p>
        </w:tc>
      </w:tr>
      <w:tr>
        <w:tc>
          <w:tcPr>
            <w:tcW w:type="dxa" w:w="2592"/>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css/styles.css</w:t>
            </w:r>
          </w:p>
        </w:tc>
        <w:tc>
          <w:tcPr>
            <w:tcW w:type="dxa" w:w="6624"/>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Styles generaux, navigation, cartes, impression et responsive.</w:t>
            </w:r>
          </w:p>
        </w:tc>
      </w:tr>
      <w:tr>
        <w:tc>
          <w:tcPr>
            <w:tcW w:type="dxa" w:w="2592"/>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js/auth.js</w:t>
            </w:r>
          </w:p>
        </w:tc>
        <w:tc>
          <w:tcPr>
            <w:tcW w:type="dxa" w:w="6624"/>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Authentification locale et roles.</w:t>
            </w:r>
          </w:p>
        </w:tc>
      </w:tr>
      <w:tr>
        <w:tc>
          <w:tcPr>
            <w:tcW w:type="dxa" w:w="2592"/>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js/main.js</w:t>
            </w:r>
          </w:p>
        </w:tc>
        <w:tc>
          <w:tcPr>
            <w:tcW w:type="dxa" w:w="6624"/>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Logique principale : protocoles, calculs, impression, patients, programme, pharmacie.</w:t>
            </w:r>
          </w:p>
        </w:tc>
      </w:tr>
      <w:tr>
        <w:tc>
          <w:tcPr>
            <w:tcW w:type="dxa" w:w="2592"/>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js/rdv.js</w:t>
            </w:r>
          </w:p>
        </w:tc>
        <w:tc>
          <w:tcPr>
            <w:tcW w:type="dxa" w:w="6624"/>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Onglet RDV autonome.</w:t>
            </w:r>
          </w:p>
        </w:tc>
      </w:tr>
      <w:tr>
        <w:tc>
          <w:tcPr>
            <w:tcW w:type="dxa" w:w="2592"/>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js/clinical-modules.js</w:t>
            </w:r>
          </w:p>
        </w:tc>
        <w:tc>
          <w:tcPr>
            <w:tcW w:type="dxa" w:w="6624"/>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Suivi, biologie et indicateurs cliniques.</w:t>
            </w:r>
          </w:p>
        </w:tc>
      </w:tr>
      <w:tr>
        <w:tc>
          <w:tcPr>
            <w:tcW w:type="dxa" w:w="2592"/>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js/data-tools.js</w:t>
            </w:r>
          </w:p>
        </w:tc>
        <w:tc>
          <w:tcPr>
            <w:tcW w:type="dxa" w:w="6624"/>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Recherche, sauvegarde, restauration, etat, initialisation visible.</w:t>
            </w:r>
          </w:p>
        </w:tc>
      </w:tr>
      <w:tr>
        <w:tc>
          <w:tcPr>
            <w:tcW w:type="dxa" w:w="2592"/>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js/supabase-sync.js</w:t>
            </w:r>
          </w:p>
        </w:tc>
        <w:tc>
          <w:tcPr>
            <w:tcW w:type="dxa" w:w="6624"/>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Connexion cloud, snapshot, fusion et initialisation officielle.</w:t>
            </w:r>
          </w:p>
        </w:tc>
      </w:tr>
      <w:tr>
        <w:tc>
          <w:tcPr>
            <w:tcW w:type="dxa" w:w="2592"/>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js/final-improvements.js</w:t>
            </w:r>
          </w:p>
        </w:tc>
        <w:tc>
          <w:tcPr>
            <w:tcW w:type="dxa" w:w="6624"/>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Couche finale de corrections et surcharges demandees.</w:t>
            </w:r>
          </w:p>
        </w:tc>
      </w:tr>
      <w:tr>
        <w:tc>
          <w:tcPr>
            <w:tcW w:type="dxa" w:w="2592"/>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sw.js</w:t>
            </w:r>
          </w:p>
        </w:tc>
        <w:tc>
          <w:tcPr>
            <w:tcW w:type="dxa" w:w="6624"/>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Service worker et cache hors ligne.</w:t>
            </w:r>
          </w:p>
        </w:tc>
      </w:tr>
      <w:tr>
        <w:tc>
          <w:tcPr>
            <w:tcW w:type="dxa" w:w="2592"/>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modeles/</w:t>
            </w:r>
          </w:p>
        </w:tc>
        <w:tc>
          <w:tcPr>
            <w:tcW w:type="dxa" w:w="6624"/>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Modeles CSV/Excel de depart.</w:t>
            </w:r>
          </w:p>
        </w:tc>
      </w:tr>
    </w:tbl>
    <w:p/>
    <w:p>
      <w:pPr>
        <w:pStyle w:val="Heading2"/>
      </w:pPr>
      <w:r>
        <w:t>Donnees qui ne vont pas sur GitHub</w:t>
      </w:r>
    </w:p>
    <w:p>
      <w:r>
        <w:t>Les patients, bilans, rendez-vous, suivis, historiques et stocks ne sont pas enregistres dans GitHub par l'application. Ils restent dans localStorage et/ou Supabase selon l'usage.</w:t>
      </w:r>
    </w:p>
    <w:p>
      <w:pPr>
        <w:pStyle w:val="Heading2"/>
      </w:pPr>
      <w:r>
        <w:t>Donnees qui vont sur GitHub</w:t>
      </w:r>
    </w:p>
    <w:p>
      <w:r>
        <w:t>Les fichiers de code, styles, modeles et documentation peuvent aller sur GitHub. Ne jamais ajouter volontairement un export JSON contenant des donnees patient dans le depot.</w:t>
      </w:r>
    </w:p>
    <w:p>
      <w:pPr>
        <w:pStyle w:val="Heading2"/>
      </w:pPr>
      <w:r>
        <w:t>Checklist avant production</w:t>
      </w:r>
    </w:p>
    <w:p>
      <w:pPr>
        <w:pStyle w:val="ListBullet"/>
        <w:spacing w:after="80" w:line="276" w:lineRule="auto"/>
      </w:pPr>
      <w:r>
        <w:t>Catalogue pharmacie verifie.</w:t>
      </w:r>
    </w:p>
    <w:p>
      <w:pPr>
        <w:pStyle w:val="ListBullet"/>
        <w:spacing w:after="80" w:line="276" w:lineRule="auto"/>
      </w:pPr>
      <w:r>
        <w:t>Medecins et responsables verifies.</w:t>
      </w:r>
    </w:p>
    <w:p>
      <w:pPr>
        <w:pStyle w:val="ListBullet"/>
        <w:spacing w:after="80" w:line="276" w:lineRule="auto"/>
      </w:pPr>
      <w:r>
        <w:t>Comptes Supabase collegues crees.</w:t>
      </w:r>
    </w:p>
    <w:p>
      <w:pPr>
        <w:pStyle w:val="ListBullet"/>
        <w:spacing w:after="80" w:line="276" w:lineRule="auto"/>
      </w:pPr>
      <w:r>
        <w:t>RLS Supabase active et policies testees.</w:t>
      </w:r>
    </w:p>
    <w:p>
      <w:pPr>
        <w:pStyle w:val="ListBullet"/>
        <w:spacing w:after="80" w:line="276" w:lineRule="auto"/>
      </w:pPr>
      <w:r>
        <w:t>Sauvegarde JSON de reference creee.</w:t>
      </w:r>
    </w:p>
    <w:p>
      <w:pPr>
        <w:pStyle w:val="ListBullet"/>
        <w:spacing w:after="80" w:line="276" w:lineRule="auto"/>
      </w:pPr>
      <w:r>
        <w:t>Initialisation officielle faite une seule fois.</w:t>
      </w:r>
    </w:p>
    <w:p>
      <w:pPr>
        <w:pStyle w:val="ListBullet"/>
        <w:spacing w:after="80" w:line="276" w:lineRule="auto"/>
      </w:pPr>
      <w:r>
        <w:t>Test de creation patient, protocole, impression, RDV, biologie, Traiter, stats et synchronisation.</w:t>
      </w:r>
    </w:p>
    <w:p>
      <w:pPr>
        <w:pStyle w:val="ListBullet"/>
        <w:spacing w:after="80" w:line="276" w:lineRule="auto"/>
      </w:pPr>
      <w:r>
        <w:t>Procedure de sauvegarde quotidienne communiquee aux collegues.</w:t>
      </w:r>
    </w:p>
    <w:sectPr w:rsidR="00FC693F" w:rsidRPr="0006063C" w:rsidSect="00034616">
      <w:headerReference w:type="default" r:id="rId9"/>
      <w:footerReference w:type="default" r:id="rId10"/>
      <w:pgSz w:w="12240" w:h="15840"/>
      <w:pgMar w:top="1440" w:right="1440" w:bottom="1440" w:left="1440"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55E69"/>
        <w:sz w:val="17"/>
      </w:rPr>
      <w:t>Document de travail - verifier les procedures locales avant usage clinique officiel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55E69"/>
        <w:sz w:val="17"/>
      </w:rPr>
      <w:t>ChimioPro CHNCAK - Documentation utilisateur et exploitation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0A3D7A"/>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0A3D7A"/>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before="0"/>
      <w:contextualSpacing/>
    </w:pPr>
    <w:rPr>
      <w:rFonts w:asciiTheme="majorHAnsi" w:eastAsiaTheme="majorEastAsia" w:hAnsiTheme="majorHAnsi" w:cstheme="majorBidi" w:ascii="Calibri" w:hAnsi="Calibri"/>
      <w:b/>
      <w:color w:val="0A3D7A"/>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Documentation complete du logiciel ChimioPro</dc:title>
  <dc:subject>Manuel utilisateur et exploitation CHNCAK</dc:subject>
  <dc:creator>CHNCAK - ChimioPro</dc:creator>
  <cp:keywords/>
  <dc:description>generated by python-docx</dc:description>
  <cp:lastModifiedBy/>
  <cp:revision>1</cp:revision>
  <dcterms:created xsi:type="dcterms:W3CDTF">2013-12-23T23:15:00Z</dcterms:created>
  <dcterms:modified xsi:type="dcterms:W3CDTF">2013-12-23T23:15:00Z</dcterms:modified>
  <cp:category/>
</cp:coreProperties>
</file>