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7253"/>
        <w:gridCol w:w="3413"/>
      </w:tblGrid>
      <w:tr>
        <w:tc>
          <w:tcPr>
            <w:tcW w:type="dxa" w:w="7253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shd w:fill="084F4F" w:color="auto" w:val="clear"/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b/>
                <w:bCs/>
                <w:color w:val="FFFFFF"/>
                <w:sz w:val="28"/>
                <w:szCs w:val="28"/>
              </w:rPr>
              <w:t xml:space="preserve">服薬情報提供書(トレーシングレポート)</w:t>
            </w:r>
          </w:p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b/>
                <w:bCs/>
                <w:color w:val="FFE3D8"/>
                <w:sz w:val="18"/>
                <w:szCs w:val="18"/>
              </w:rPr>
              <w:t xml:space="preserve">がん薬物療法 ― 細胞障害性抗がん薬</w:t>
            </w:r>
          </w:p>
        </w:tc>
        <w:tc>
          <w:tcPr>
            <w:tcW w:type="dxa" w:w="3413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shd w:fill="084F4F" w:color="auto" w:val="clear"/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  <w:jc w:val="right"/>
            </w:pPr>
            <w:r>
              <w:rPr>
                <w:rFonts w:ascii="Yu Gothic" w:eastAsia="游ゴシック" w:hAnsi="Yu Gothic"/>
                <w:color w:val="FFFFFF"/>
                <w:sz w:val="17"/>
                <w:szCs w:val="17"/>
              </w:rPr>
              <w:t xml:space="preserve">報告日:　　　年　　月　　日</w:t>
            </w:r>
          </w:p>
          <w:p>
            <w:pPr>
              <w:spacing w:after="0" w:before="0" w:line="240"/>
              <w:jc w:val="right"/>
            </w:pPr>
            <w:r>
              <w:rPr>
                <w:rFonts w:ascii="Yu Gothic" w:eastAsia="游ゴシック" w:hAnsi="Yu Gothic"/>
                <w:color w:val="D8EAE7"/>
                <w:sz w:val="15"/>
                <w:szCs w:val="15"/>
              </w:rPr>
              <w:t xml:space="preserve">CTCAE v5.0に基づく評価</w:t>
            </w:r>
          </w:p>
        </w:tc>
      </w:tr>
    </w:tbl>
    <w:p>
      <w:pPr>
        <w:spacing w:after="0" w:before="0" w:line="240"/>
      </w:pPr>
      <w:r>
        <w:rPr>
          <w:rFonts w:ascii="Yu Gothic" w:eastAsia="游ゴシック" w:hAnsi="Yu Gothic"/>
          <w:sz w:val="8"/>
          <w:szCs w:val="8"/>
        </w:rPr>
        <w:t xml:space="preserve"/>
      </w:r>
    </w:p>
    <w:tbl>
      <w:tblPr>
        <w:tblW w:type="dxa" w:w="10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50"/>
        <w:gridCol w:w="4023"/>
        <w:gridCol w:w="1250"/>
        <w:gridCol w:w="4023"/>
      </w:tblGrid>
      <w:tr>
        <w:tc>
          <w:tcPr>
            <w:tcW w:type="dxa" w:w="125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shd w:fill="E3F1EF" w:color="auto" w:val="clear"/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b/>
                <w:bCs/>
                <w:sz w:val="16"/>
                <w:szCs w:val="16"/>
              </w:rPr>
              <w:t xml:space="preserve">宛先</w:t>
            </w:r>
          </w:p>
        </w:tc>
        <w:tc>
          <w:tcPr>
            <w:tcW w:type="dxa" w:w="4023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6"/>
                <w:szCs w:val="16"/>
              </w:rPr>
              <w:t xml:space="preserve">　　　　　病院　　　　科　　　　　先生 御机下</w:t>
            </w:r>
          </w:p>
        </w:tc>
        <w:tc>
          <w:tcPr>
            <w:tcW w:type="dxa" w:w="125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shd w:fill="E3F1EF" w:color="auto" w:val="clear"/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b/>
                <w:bCs/>
                <w:sz w:val="16"/>
                <w:szCs w:val="16"/>
              </w:rPr>
              <w:t xml:space="preserve">保険薬局</w:t>
            </w:r>
          </w:p>
        </w:tc>
        <w:tc>
          <w:tcPr>
            <w:tcW w:type="dxa" w:w="4023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6"/>
                <w:szCs w:val="16"/>
              </w:rPr>
              <w:t xml:space="preserve">名称:</w:t>
            </w:r>
          </w:p>
        </w:tc>
      </w:tr>
      <w:tr>
        <w:tc>
          <w:tcPr>
            <w:tcW w:type="dxa" w:w="125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shd w:fill="E3F1EF" w:color="auto" w:val="clear"/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b/>
                <w:bCs/>
                <w:sz w:val="16"/>
                <w:szCs w:val="16"/>
              </w:rPr>
              <w:t xml:space="preserve">患者氏名</w:t>
            </w:r>
          </w:p>
        </w:tc>
        <w:tc>
          <w:tcPr>
            <w:tcW w:type="dxa" w:w="4023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6"/>
                <w:szCs w:val="16"/>
              </w:rPr>
              <w:t xml:space="preserve">　　　　　　　　　　様(　　歳 □男 □女)</w:t>
            </w:r>
          </w:p>
        </w:tc>
        <w:tc>
          <w:tcPr>
            <w:tcW w:type="dxa" w:w="125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shd w:fill="E3F1EF" w:color="auto" w:val="clear"/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b/>
                <w:bCs/>
                <w:sz w:val="16"/>
                <w:szCs w:val="16"/>
              </w:rPr>
              <w:t xml:space="preserve">連絡先</w:t>
            </w:r>
          </w:p>
        </w:tc>
        <w:tc>
          <w:tcPr>
            <w:tcW w:type="dxa" w:w="4023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6"/>
                <w:szCs w:val="16"/>
              </w:rPr>
              <w:t xml:space="preserve">TEL:　　　　　　 FAX:</w:t>
            </w:r>
          </w:p>
        </w:tc>
      </w:tr>
      <w:tr>
        <w:tc>
          <w:tcPr>
            <w:tcW w:type="dxa" w:w="125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shd w:fill="E3F1EF" w:color="auto" w:val="clear"/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b/>
                <w:bCs/>
                <w:sz w:val="16"/>
                <w:szCs w:val="16"/>
              </w:rPr>
              <w:t xml:space="preserve">生年月日</w:t>
            </w:r>
          </w:p>
        </w:tc>
        <w:tc>
          <w:tcPr>
            <w:tcW w:type="dxa" w:w="4023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6"/>
                <w:szCs w:val="16"/>
              </w:rPr>
              <w:t xml:space="preserve">　　　　年　　月　　日　 病院ID:</w:t>
            </w:r>
          </w:p>
        </w:tc>
        <w:tc>
          <w:tcPr>
            <w:tcW w:type="dxa" w:w="125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shd w:fill="E3F1EF" w:color="auto" w:val="clear"/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b/>
                <w:bCs/>
                <w:sz w:val="16"/>
                <w:szCs w:val="16"/>
              </w:rPr>
              <w:t xml:space="preserve">担当薬剤師</w:t>
            </w:r>
          </w:p>
        </w:tc>
        <w:tc>
          <w:tcPr>
            <w:tcW w:type="dxa" w:w="4023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6"/>
                <w:szCs w:val="16"/>
              </w:rPr>
              <w:t xml:space="preserve"/>
            </w:r>
          </w:p>
        </w:tc>
      </w:tr>
    </w:tbl>
    <w:p>
      <w:pPr>
        <w:spacing w:after="30" w:before="80" w:line="240"/>
      </w:pPr>
      <w:r>
        <w:rPr>
          <w:rFonts w:ascii="Yu Gothic" w:eastAsia="游ゴシック" w:hAnsi="Yu Gothic"/>
          <w:b/>
          <w:bCs/>
          <w:color w:val="084F4F"/>
          <w:sz w:val="19"/>
          <w:szCs w:val="19"/>
        </w:rPr>
        <w:t xml:space="preserve">1  治療内容と確認の状況</w:t>
      </w:r>
    </w:p>
    <w:tbl>
      <w:tblPr>
        <w:tblW w:type="dxa" w:w="10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250"/>
        <w:gridCol w:w="9416"/>
      </w:tblGrid>
      <w:tr>
        <w:tc>
          <w:tcPr>
            <w:tcW w:type="dxa" w:w="125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shd w:fill="E3F1EF" w:color="auto" w:val="clear"/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b/>
                <w:bCs/>
                <w:sz w:val="16"/>
                <w:szCs w:val="16"/>
              </w:rPr>
              <w:t xml:space="preserve">レジメン</w:t>
            </w:r>
          </w:p>
        </w:tc>
        <w:tc>
          <w:tcPr>
            <w:tcW w:type="dxa" w:w="9416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6"/>
                <w:szCs w:val="16"/>
              </w:rPr>
              <w:t xml:space="preserve">レジメン名:　　　　　　　　　　　　　 コース:第　　コース 　前回投与日:　　月　　日</w:t>
            </w:r>
          </w:p>
        </w:tc>
      </w:tr>
      <w:tr>
        <w:tc>
          <w:tcPr>
            <w:tcW w:type="dxa" w:w="125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shd w:fill="E3F1EF" w:color="auto" w:val="clear"/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b/>
                <w:bCs/>
                <w:sz w:val="16"/>
                <w:szCs w:val="16"/>
              </w:rPr>
              <w:t xml:space="preserve">経口抗がん薬</w:t>
            </w:r>
          </w:p>
        </w:tc>
        <w:tc>
          <w:tcPr>
            <w:tcW w:type="dxa" w:w="9416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6"/>
                <w:szCs w:val="16"/>
              </w:rPr>
              <w:t xml:space="preserve">薬剤名:　　　　　　　　　　 服用日:　　月　　日〜　　月　　日(休薬:　　月　　日〜)</w:t>
            </w:r>
          </w:p>
        </w:tc>
      </w:tr>
      <w:tr>
        <w:tc>
          <w:tcPr>
            <w:tcW w:type="dxa" w:w="125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shd w:fill="E3F1EF" w:color="auto" w:val="clear"/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b/>
                <w:bCs/>
                <w:sz w:val="16"/>
                <w:szCs w:val="16"/>
              </w:rPr>
              <w:t xml:space="preserve">確認日・方法</w:t>
            </w:r>
          </w:p>
        </w:tc>
        <w:tc>
          <w:tcPr>
            <w:tcW w:type="dxa" w:w="9416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6"/>
                <w:szCs w:val="16"/>
              </w:rPr>
              <w:t xml:space="preserve">　　月　　日　□来局時　□電話フォロー　□その他(　　　　)　 発熱(37.5℃以上):□なし □あり(最高　　℃、　　月　　日)</w:t>
            </w:r>
          </w:p>
        </w:tc>
      </w:tr>
    </w:tbl>
    <w:p>
      <w:pPr>
        <w:spacing w:after="0" w:before="0" w:line="240"/>
      </w:pPr>
      <w:r>
        <w:rPr>
          <w:rFonts w:ascii="Yu Gothic" w:eastAsia="游ゴシック" w:hAnsi="Yu Gothic"/>
          <w:sz w:val="8"/>
          <w:szCs w:val="8"/>
        </w:rPr>
        <w:t xml:space="preserve"/>
      </w:r>
    </w:p>
    <w:tbl>
      <w:tblPr>
        <w:tblW w:type="dxa" w:w="10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666"/>
      </w:tblGrid>
      <w:tr>
        <w:tc>
          <w:tcPr>
            <w:tcW w:type="dxa" w:w="10666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shd w:fill="FBE4DE" w:color="auto" w:val="clear"/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b/>
                <w:bCs/>
                <w:color w:val="B23A22"/>
                <w:sz w:val="16"/>
                <w:szCs w:val="16"/>
              </w:rPr>
              <w:t xml:space="preserve">緊急性の高い症状は本書ではなく、病院へ直接電話してください。</w:t>
            </w:r>
          </w:p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color w:val="B23A22"/>
                <w:sz w:val="15"/>
                <w:szCs w:val="15"/>
              </w:rPr>
              <w:t xml:space="preserve">例:38℃以上の発熱・悪寒(発熱性好中球減少症の疑い)、水分がとれない・尿が少ない、1日7回以上の下痢、点滴部位の痛み・腫れ(血管外漏出の疑い)</w:t>
            </w:r>
          </w:p>
          <w:p>
            <w:pPr>
              <w:spacing w:after="0" w:before="30" w:line="240"/>
            </w:pPr>
            <w:r>
              <w:rPr>
                <w:rFonts w:ascii="Yu Gothic" w:eastAsia="游ゴシック" w:hAnsi="Yu Gothic"/>
                <w:sz w:val="16"/>
                <w:szCs w:val="16"/>
              </w:rPr>
              <w:t xml:space="preserve">□ 病院へ電話連絡済み(　　月　　日　　時　　分、対応者:　　　　　　　　)</w:t>
            </w:r>
          </w:p>
        </w:tc>
      </w:tr>
    </w:tbl>
    <w:p>
      <w:pPr>
        <w:spacing w:after="30" w:before="80" w:line="240"/>
      </w:pPr>
      <w:r>
        <w:rPr>
          <w:rFonts w:ascii="Yu Gothic" w:eastAsia="游ゴシック" w:hAnsi="Yu Gothic"/>
          <w:b/>
          <w:bCs/>
          <w:color w:val="084F4F"/>
          <w:sz w:val="19"/>
          <w:szCs w:val="19"/>
        </w:rPr>
        <w:t xml:space="preserve">2  副作用の評価(CTCAE v5.0)</w:t>
      </w:r>
    </w:p>
    <w:tbl>
      <w:tblPr>
        <w:tblW w:type="dxa" w:w="10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2420"/>
        <w:gridCol w:w="2420"/>
        <w:gridCol w:w="2420"/>
        <w:gridCol w:w="1586"/>
      </w:tblGrid>
      <w:tr>
        <w:trPr>
          <w:tblHeader/>
        </w:trPr>
        <w:tc>
          <w:tcPr>
            <w:tcW w:type="dxa" w:w="170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shd w:fill="084F4F" w:color="auto" w:val="clear"/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b/>
                <w:bCs/>
                <w:color w:val="FFFFFF"/>
                <w:sz w:val="15"/>
                <w:szCs w:val="15"/>
              </w:rPr>
              <w:t xml:space="preserve">有害事象</w:t>
            </w:r>
          </w:p>
        </w:tc>
        <w:tc>
          <w:tcPr>
            <w:tcW w:type="dxa" w:w="242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shd w:fill="E4F0EC" w:color="auto" w:val="clear"/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Yu Gothic" w:eastAsia="游ゴシック" w:hAnsi="Yu Gothic"/>
                <w:b/>
                <w:bCs/>
                <w:sz w:val="15"/>
                <w:szCs w:val="15"/>
              </w:rPr>
              <w:t xml:space="preserve">Grade 1</w:t>
            </w:r>
          </w:p>
        </w:tc>
        <w:tc>
          <w:tcPr>
            <w:tcW w:type="dxa" w:w="242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shd w:fill="FBF0D6" w:color="auto" w:val="clear"/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Yu Gothic" w:eastAsia="游ゴシック" w:hAnsi="Yu Gothic"/>
                <w:b/>
                <w:bCs/>
                <w:sz w:val="15"/>
                <w:szCs w:val="15"/>
              </w:rPr>
              <w:t xml:space="preserve">Grade 2</w:t>
            </w:r>
          </w:p>
        </w:tc>
        <w:tc>
          <w:tcPr>
            <w:tcW w:type="dxa" w:w="242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shd w:fill="F8DDCB" w:color="auto" w:val="clear"/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Yu Gothic" w:eastAsia="游ゴシック" w:hAnsi="Yu Gothic"/>
                <w:b/>
                <w:bCs/>
                <w:sz w:val="15"/>
                <w:szCs w:val="15"/>
              </w:rPr>
              <w:t xml:space="preserve">Grade 3</w:t>
            </w:r>
          </w:p>
        </w:tc>
        <w:tc>
          <w:tcPr>
            <w:tcW w:type="dxa" w:w="1586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shd w:fill="084F4F" w:color="auto" w:val="clear"/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  <w:jc w:val="center"/>
            </w:pPr>
            <w:r>
              <w:rPr>
                <w:rFonts w:ascii="Yu Gothic" w:eastAsia="游ゴシック" w:hAnsi="Yu Gothic"/>
                <w:b/>
                <w:bCs/>
                <w:color w:val="FFFFFF"/>
                <w:sz w:val="15"/>
                <w:szCs w:val="15"/>
              </w:rPr>
              <w:t xml:space="preserve">評価(該当に✓)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shd w:fill="F2F4F5" w:color="auto" w:val="clear"/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b/>
                <w:bCs/>
                <w:sz w:val="15"/>
                <w:szCs w:val="15"/>
              </w:rPr>
              <w:t xml:space="preserve">悪心</w:t>
            </w:r>
          </w:p>
        </w:tc>
        <w:tc>
          <w:tcPr>
            <w:tcW w:type="dxa" w:w="242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3"/>
                <w:szCs w:val="13"/>
              </w:rPr>
              <w:t xml:space="preserve">摂食習慣に影響のない食欲低下</w:t>
            </w:r>
          </w:p>
        </w:tc>
        <w:tc>
          <w:tcPr>
            <w:tcW w:type="dxa" w:w="242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3"/>
                <w:szCs w:val="13"/>
              </w:rPr>
              <w:t xml:space="preserve">顕著な体重減少・脱水・栄養失調を伴わない経口摂取量の減少</w:t>
            </w:r>
          </w:p>
        </w:tc>
        <w:tc>
          <w:tcPr>
            <w:tcW w:type="dxa" w:w="242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3"/>
                <w:szCs w:val="13"/>
              </w:rPr>
              <w:t xml:space="preserve">カロリーや水分の経口摂取が不十分;経管栄養/TPN/入院を要する</w:t>
            </w:r>
          </w:p>
        </w:tc>
        <w:tc>
          <w:tcPr>
            <w:tcW w:type="dxa" w:w="1586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5"/>
                <w:szCs w:val="15"/>
              </w:rPr>
              <w:t xml:space="preserve">□なし □G1</w:t>
            </w:r>
          </w:p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5"/>
                <w:szCs w:val="15"/>
              </w:rPr>
              <w:t xml:space="preserve">□G2 □G3以上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shd w:fill="F2F4F5" w:color="auto" w:val="clear"/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b/>
                <w:bCs/>
                <w:sz w:val="15"/>
                <w:szCs w:val="15"/>
              </w:rPr>
              <w:t xml:space="preserve">嘔吐</w:t>
            </w:r>
          </w:p>
        </w:tc>
        <w:tc>
          <w:tcPr>
            <w:tcW w:type="dxa" w:w="242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3"/>
                <w:szCs w:val="13"/>
              </w:rPr>
              <w:t xml:space="preserve">治療を要さない</w:t>
            </w:r>
          </w:p>
        </w:tc>
        <w:tc>
          <w:tcPr>
            <w:tcW w:type="dxa" w:w="242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3"/>
                <w:szCs w:val="13"/>
              </w:rPr>
              <w:t xml:space="preserve">外来での静脈内輸液を要する;内科的治療を要する</w:t>
            </w:r>
          </w:p>
        </w:tc>
        <w:tc>
          <w:tcPr>
            <w:tcW w:type="dxa" w:w="242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3"/>
                <w:szCs w:val="13"/>
              </w:rPr>
              <w:t xml:space="preserve">経管栄養/TPN/入院を要する</w:t>
            </w:r>
          </w:p>
        </w:tc>
        <w:tc>
          <w:tcPr>
            <w:tcW w:type="dxa" w:w="1586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5"/>
                <w:szCs w:val="15"/>
              </w:rPr>
              <w:t xml:space="preserve">□なし □G1</w:t>
            </w:r>
          </w:p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5"/>
                <w:szCs w:val="15"/>
              </w:rPr>
              <w:t xml:space="preserve">□G2 □G3以上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shd w:fill="F2F4F5" w:color="auto" w:val="clear"/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b/>
                <w:bCs/>
                <w:sz w:val="15"/>
                <w:szCs w:val="15"/>
              </w:rPr>
              <w:t xml:space="preserve">食欲不振</w:t>
            </w:r>
          </w:p>
        </w:tc>
        <w:tc>
          <w:tcPr>
            <w:tcW w:type="dxa" w:w="242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3"/>
                <w:szCs w:val="13"/>
              </w:rPr>
              <w:t xml:space="preserve">食生活の変化を伴わない食欲低下</w:t>
            </w:r>
          </w:p>
        </w:tc>
        <w:tc>
          <w:tcPr>
            <w:tcW w:type="dxa" w:w="242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3"/>
                <w:szCs w:val="13"/>
              </w:rPr>
              <w:t xml:space="preserve">顕著な体重減少や栄養失調を伴わない摂食量の変化;経口栄養剤を要する</w:t>
            </w:r>
          </w:p>
        </w:tc>
        <w:tc>
          <w:tcPr>
            <w:tcW w:type="dxa" w:w="242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3"/>
                <w:szCs w:val="13"/>
              </w:rPr>
              <w:t xml:space="preserve">顕著な体重減少または栄養失調を伴う;静脈内輸液/経管栄養/TPNを要する</w:t>
            </w:r>
          </w:p>
        </w:tc>
        <w:tc>
          <w:tcPr>
            <w:tcW w:type="dxa" w:w="1586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5"/>
                <w:szCs w:val="15"/>
              </w:rPr>
              <w:t xml:space="preserve">□なし □G1</w:t>
            </w:r>
          </w:p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5"/>
                <w:szCs w:val="15"/>
              </w:rPr>
              <w:t xml:space="preserve">□G2 □G3以上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shd w:fill="F2F4F5" w:color="auto" w:val="clear"/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b/>
                <w:bCs/>
                <w:sz w:val="15"/>
                <w:szCs w:val="15"/>
              </w:rPr>
              <w:t xml:space="preserve">下痢</w:t>
            </w:r>
          </w:p>
        </w:tc>
        <w:tc>
          <w:tcPr>
            <w:tcW w:type="dxa" w:w="242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3"/>
                <w:szCs w:val="13"/>
              </w:rPr>
              <w:t xml:space="preserve">ベースラインと比べて&lt;4回/日の排便回数増加</w:t>
            </w:r>
          </w:p>
        </w:tc>
        <w:tc>
          <w:tcPr>
            <w:tcW w:type="dxa" w:w="242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3"/>
                <w:szCs w:val="13"/>
              </w:rPr>
              <w:t xml:space="preserve">ベースラインと比べて4〜6回/日の排便回数増加</w:t>
            </w:r>
          </w:p>
        </w:tc>
        <w:tc>
          <w:tcPr>
            <w:tcW w:type="dxa" w:w="242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3"/>
                <w:szCs w:val="13"/>
              </w:rPr>
              <w:t xml:space="preserve">7回以上/日の増加;入院を要する;身の回りのADLの制限</w:t>
            </w:r>
          </w:p>
        </w:tc>
        <w:tc>
          <w:tcPr>
            <w:tcW w:type="dxa" w:w="1586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5"/>
                <w:szCs w:val="15"/>
              </w:rPr>
              <w:t xml:space="preserve">□なし □G1</w:t>
            </w:r>
          </w:p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5"/>
                <w:szCs w:val="15"/>
              </w:rPr>
              <w:t xml:space="preserve">□G2 □G3以上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shd w:fill="F2F4F5" w:color="auto" w:val="clear"/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b/>
                <w:bCs/>
                <w:sz w:val="15"/>
                <w:szCs w:val="15"/>
              </w:rPr>
              <w:t xml:space="preserve">便秘</w:t>
            </w:r>
          </w:p>
        </w:tc>
        <w:tc>
          <w:tcPr>
            <w:tcW w:type="dxa" w:w="242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3"/>
                <w:szCs w:val="13"/>
              </w:rPr>
              <w:t xml:space="preserve">不定期・間欠的な症状;緩下薬・食事の工夫などを不定期に使用</w:t>
            </w:r>
          </w:p>
        </w:tc>
        <w:tc>
          <w:tcPr>
            <w:tcW w:type="dxa" w:w="242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3"/>
                <w:szCs w:val="13"/>
              </w:rPr>
              <w:t xml:space="preserve">緩下薬・浣腸の定期的使用を要する持続的症状;身の回り以外のADLの制限</w:t>
            </w:r>
          </w:p>
        </w:tc>
        <w:tc>
          <w:tcPr>
            <w:tcW w:type="dxa" w:w="242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3"/>
                <w:szCs w:val="13"/>
              </w:rPr>
              <w:t xml:space="preserve">摘便を要する頑固な便秘;身の回りのADLの制限</w:t>
            </w:r>
          </w:p>
        </w:tc>
        <w:tc>
          <w:tcPr>
            <w:tcW w:type="dxa" w:w="1586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5"/>
                <w:szCs w:val="15"/>
              </w:rPr>
              <w:t xml:space="preserve">□なし □G1</w:t>
            </w:r>
          </w:p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5"/>
                <w:szCs w:val="15"/>
              </w:rPr>
              <w:t xml:space="preserve">□G2 □G3以上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shd w:fill="F2F4F5" w:color="auto" w:val="clear"/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b/>
                <w:bCs/>
                <w:sz w:val="15"/>
                <w:szCs w:val="15"/>
              </w:rPr>
              <w:t xml:space="preserve">口腔粘膜炎</w:t>
            </w:r>
          </w:p>
        </w:tc>
        <w:tc>
          <w:tcPr>
            <w:tcW w:type="dxa" w:w="242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3"/>
                <w:szCs w:val="13"/>
              </w:rPr>
              <w:t xml:space="preserve">症状がない、または軽度の症状;治療を要さない</w:t>
            </w:r>
          </w:p>
        </w:tc>
        <w:tc>
          <w:tcPr>
            <w:tcW w:type="dxa" w:w="242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3"/>
                <w:szCs w:val="13"/>
              </w:rPr>
              <w:t xml:space="preserve">経口摂取に支障がない中等度の疼痛または潰瘍;食事の変更を要する</w:t>
            </w:r>
          </w:p>
        </w:tc>
        <w:tc>
          <w:tcPr>
            <w:tcW w:type="dxa" w:w="242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3"/>
                <w:szCs w:val="13"/>
              </w:rPr>
              <w:t xml:space="preserve">高度の疼痛;経口摂取に支障がある</w:t>
            </w:r>
          </w:p>
        </w:tc>
        <w:tc>
          <w:tcPr>
            <w:tcW w:type="dxa" w:w="1586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5"/>
                <w:szCs w:val="15"/>
              </w:rPr>
              <w:t xml:space="preserve">□なし □G1</w:t>
            </w:r>
          </w:p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5"/>
                <w:szCs w:val="15"/>
              </w:rPr>
              <w:t xml:space="preserve">□G2 □G3以上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shd w:fill="F2F4F5" w:color="auto" w:val="clear"/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b/>
                <w:bCs/>
                <w:sz w:val="15"/>
                <w:szCs w:val="15"/>
              </w:rPr>
              <w:t xml:space="preserve">末梢性感覚</w:t>
            </w:r>
          </w:p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b/>
                <w:bCs/>
                <w:sz w:val="15"/>
                <w:szCs w:val="15"/>
              </w:rPr>
              <w:t xml:space="preserve">ニューロパチー</w:t>
            </w:r>
          </w:p>
        </w:tc>
        <w:tc>
          <w:tcPr>
            <w:tcW w:type="dxa" w:w="242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3"/>
                <w:szCs w:val="13"/>
              </w:rPr>
              <w:t xml:space="preserve">症状がない</w:t>
            </w:r>
          </w:p>
        </w:tc>
        <w:tc>
          <w:tcPr>
            <w:tcW w:type="dxa" w:w="242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3"/>
                <w:szCs w:val="13"/>
              </w:rPr>
              <w:t xml:space="preserve">中等度の症状;身の回り以外のADLの制限</w:t>
            </w:r>
          </w:p>
        </w:tc>
        <w:tc>
          <w:tcPr>
            <w:tcW w:type="dxa" w:w="242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3"/>
                <w:szCs w:val="13"/>
              </w:rPr>
              <w:t xml:space="preserve">高度の症状;身の回りのADLの制限</w:t>
            </w:r>
          </w:p>
        </w:tc>
        <w:tc>
          <w:tcPr>
            <w:tcW w:type="dxa" w:w="1586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5"/>
                <w:szCs w:val="15"/>
              </w:rPr>
              <w:t xml:space="preserve">□なし □G1</w:t>
            </w:r>
          </w:p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5"/>
                <w:szCs w:val="15"/>
              </w:rPr>
              <w:t xml:space="preserve">□G2 □G3以上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shd w:fill="F2F4F5" w:color="auto" w:val="clear"/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b/>
                <w:bCs/>
                <w:sz w:val="15"/>
                <w:szCs w:val="15"/>
              </w:rPr>
              <w:t xml:space="preserve">手足症候群</w:t>
            </w:r>
          </w:p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b/>
                <w:bCs/>
                <w:sz w:val="15"/>
                <w:szCs w:val="15"/>
              </w:rPr>
              <w:t xml:space="preserve">(経口FU系)</w:t>
            </w:r>
          </w:p>
        </w:tc>
        <w:tc>
          <w:tcPr>
            <w:tcW w:type="dxa" w:w="242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3"/>
                <w:szCs w:val="13"/>
              </w:rPr>
              <w:t xml:space="preserve">疼痛を伴わないわずかな皮膚の変化(紅斑・浮腫・角質増殖など)</w:t>
            </w:r>
          </w:p>
        </w:tc>
        <w:tc>
          <w:tcPr>
            <w:tcW w:type="dxa" w:w="242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3"/>
                <w:szCs w:val="13"/>
              </w:rPr>
              <w:t xml:space="preserve">疼痛を伴う皮膚の変化(角層剥離・水疱・亀裂など);身の回り以外のADLの制限</w:t>
            </w:r>
          </w:p>
        </w:tc>
        <w:tc>
          <w:tcPr>
            <w:tcW w:type="dxa" w:w="242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3"/>
                <w:szCs w:val="13"/>
              </w:rPr>
              <w:t xml:space="preserve">疼痛を伴う高度の皮膚の変化;身の回りのADLの制限</w:t>
            </w:r>
          </w:p>
        </w:tc>
        <w:tc>
          <w:tcPr>
            <w:tcW w:type="dxa" w:w="1586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5"/>
                <w:szCs w:val="15"/>
              </w:rPr>
              <w:t xml:space="preserve">□なし □G1</w:t>
            </w:r>
          </w:p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5"/>
                <w:szCs w:val="15"/>
              </w:rPr>
              <w:t xml:space="preserve">□G2 □G3以上</w:t>
            </w:r>
          </w:p>
        </w:tc>
      </w:tr>
      <w:tr>
        <w:trPr>
          <w:cantSplit/>
        </w:trPr>
        <w:tc>
          <w:tcPr>
            <w:tcW w:type="dxa" w:w="170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shd w:fill="F2F4F5" w:color="auto" w:val="clear"/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b/>
                <w:bCs/>
                <w:sz w:val="15"/>
                <w:szCs w:val="15"/>
              </w:rPr>
              <w:t xml:space="preserve">疲労</w:t>
            </w:r>
          </w:p>
        </w:tc>
        <w:tc>
          <w:tcPr>
            <w:tcW w:type="dxa" w:w="242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3"/>
                <w:szCs w:val="13"/>
              </w:rPr>
              <w:t xml:space="preserve">休息により軽快する疲労</w:t>
            </w:r>
          </w:p>
        </w:tc>
        <w:tc>
          <w:tcPr>
            <w:tcW w:type="dxa" w:w="242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3"/>
                <w:szCs w:val="13"/>
              </w:rPr>
              <w:t xml:space="preserve">休息によって軽快しない疲労;身の回り以外のADLの制限</w:t>
            </w:r>
          </w:p>
        </w:tc>
        <w:tc>
          <w:tcPr>
            <w:tcW w:type="dxa" w:w="242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3"/>
                <w:szCs w:val="13"/>
              </w:rPr>
              <w:t xml:space="preserve">休息によって軽快しない疲労で、身の回りのADLの制限</w:t>
            </w:r>
          </w:p>
        </w:tc>
        <w:tc>
          <w:tcPr>
            <w:tcW w:type="dxa" w:w="1586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5"/>
                <w:szCs w:val="15"/>
              </w:rPr>
              <w:t xml:space="preserve">□なし □G1</w:t>
            </w:r>
          </w:p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5"/>
                <w:szCs w:val="15"/>
              </w:rPr>
              <w:t xml:space="preserve">□G2 □G3以上</w:t>
            </w:r>
          </w:p>
        </w:tc>
      </w:tr>
    </w:tbl>
    <w:p>
      <w:pPr>
        <w:spacing w:after="30" w:before="80" w:line="240"/>
      </w:pPr>
      <w:r>
        <w:rPr>
          <w:rFonts w:ascii="Yu Gothic" w:eastAsia="游ゴシック" w:hAnsi="Yu Gothic"/>
          <w:b/>
          <w:bCs/>
          <w:color w:val="084F4F"/>
          <w:sz w:val="19"/>
          <w:szCs w:val="19"/>
        </w:rPr>
        <w:t xml:space="preserve">3  服薬状況・支持療法</w:t>
      </w:r>
    </w:p>
    <w:tbl>
      <w:tblPr>
        <w:tblW w:type="dxa" w:w="10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700"/>
        <w:gridCol w:w="8966"/>
      </w:tblGrid>
      <w:tr>
        <w:tc>
          <w:tcPr>
            <w:tcW w:type="dxa" w:w="170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shd w:fill="E3F1EF" w:color="auto" w:val="clear"/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b/>
                <w:bCs/>
                <w:sz w:val="16"/>
                <w:szCs w:val="16"/>
              </w:rPr>
              <w:t xml:space="preserve">服薬状況</w:t>
            </w:r>
          </w:p>
        </w:tc>
        <w:tc>
          <w:tcPr>
            <w:tcW w:type="dxa" w:w="8966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6"/>
                <w:szCs w:val="16"/>
              </w:rPr>
              <w:t xml:space="preserve">経口抗がん薬:□指示どおり □飲み忘れ(　回) □自己判断で中断・減量 □休薬日の誤り　　残薬:　　　日分</w:t>
            </w:r>
          </w:p>
        </w:tc>
      </w:tr>
      <w:tr>
        <w:tc>
          <w:tcPr>
            <w:tcW w:type="dxa" w:w="170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shd w:fill="E3F1EF" w:color="auto" w:val="clear"/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b/>
                <w:bCs/>
                <w:sz w:val="16"/>
                <w:szCs w:val="16"/>
              </w:rPr>
              <w:t xml:space="preserve">支持療法薬</w:t>
            </w:r>
          </w:p>
        </w:tc>
        <w:tc>
          <w:tcPr>
            <w:tcW w:type="dxa" w:w="8966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6"/>
                <w:szCs w:val="16"/>
              </w:rPr>
              <w:t xml:space="preserve">制吐薬:□指示どおり □不足/追加使用(　　回)　止瀉薬:□使用なし □使用(　　回/日)　緩下薬:□使用なし □使用</w:t>
            </w:r>
          </w:p>
        </w:tc>
      </w:tr>
      <w:tr>
        <w:tc>
          <w:tcPr>
            <w:tcW w:type="dxa" w:w="1700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shd w:fill="E3F1EF" w:color="auto" w:val="clear"/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b/>
                <w:bCs/>
                <w:sz w:val="16"/>
                <w:szCs w:val="16"/>
              </w:rPr>
              <w:t xml:space="preserve">併用薬の変更</w:t>
            </w:r>
          </w:p>
        </w:tc>
        <w:tc>
          <w:tcPr>
            <w:tcW w:type="dxa" w:w="8966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center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6"/>
                <w:szCs w:val="16"/>
              </w:rPr>
              <w:t xml:space="preserve">□なし □あり(他院処方・市販薬・サプリ:　　　　　　　　　　　　　　　　　　)</w:t>
            </w:r>
          </w:p>
        </w:tc>
      </w:tr>
    </w:tbl>
    <w:p>
      <w:pPr>
        <w:spacing w:after="30" w:before="80" w:line="240"/>
      </w:pPr>
      <w:r>
        <w:rPr>
          <w:rFonts w:ascii="Yu Gothic" w:eastAsia="游ゴシック" w:hAnsi="Yu Gothic"/>
          <w:b/>
          <w:bCs/>
          <w:color w:val="084F4F"/>
          <w:sz w:val="19"/>
          <w:szCs w:val="19"/>
        </w:rPr>
        <w:t xml:space="preserve">4  薬剤師の所見・提案</w:t>
      </w:r>
    </w:p>
    <w:tbl>
      <w:tblPr>
        <w:tblW w:type="dxa" w:w="106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666"/>
      </w:tblGrid>
      <w:tr>
        <w:tc>
          <w:tcPr>
            <w:tcW w:type="dxa" w:w="10666"/>
            <w:tcBorders>
              <w:top w:val="single" w:color="9FB7B4" w:sz="4"/>
              <w:left w:val="single" w:color="9FB7B4" w:sz="4"/>
              <w:bottom w:val="single" w:color="9FB7B4" w:sz="4"/>
              <w:right w:val="single" w:color="9FB7B4" w:sz="4"/>
            </w:tcBorders>
            <w:tcMar>
              <w:top w:type="dxa" w:w="15"/>
              <w:left w:type="dxa" w:w="70"/>
              <w:bottom w:type="dxa" w:w="15"/>
              <w:right w:type="dxa" w:w="70"/>
            </w:tcMar>
            <w:vAlign w:val="top"/>
          </w:tcPr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b/>
                <w:bCs/>
                <w:sz w:val="16"/>
                <w:szCs w:val="16"/>
              </w:rPr>
              <w:t xml:space="preserve">経過・患者さんの訴え:</w:t>
            </w:r>
          </w:p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6"/>
                <w:szCs w:val="16"/>
              </w:rPr>
              <w:t xml:space="preserve"/>
            </w:r>
          </w:p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6"/>
                <w:szCs w:val="16"/>
              </w:rPr>
              <w:t xml:space="preserve"/>
            </w:r>
          </w:p>
          <w:p>
            <w:pPr>
              <w:spacing w:after="0" w:before="40" w:line="240"/>
            </w:pPr>
            <w:r>
              <w:rPr>
                <w:rFonts w:ascii="Yu Gothic" w:eastAsia="游ゴシック" w:hAnsi="Yu Gothic"/>
                <w:b/>
                <w:bCs/>
                <w:sz w:val="16"/>
                <w:szCs w:val="16"/>
              </w:rPr>
              <w:t xml:space="preserve">薬剤師としての提案(該当に✓):</w:t>
            </w:r>
          </w:p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5"/>
                <w:szCs w:val="15"/>
              </w:rPr>
              <w:t xml:space="preserve">□制吐薬の見直し　□止瀉薬・整腸薬　□緩下薬　□含嗽薬・口腔ケア　□保湿剤・外用薬　□減量・休薬の検討　□その他(　　　　)</w:t>
            </w:r>
          </w:p>
          <w:p>
            <w:pPr>
              <w:spacing w:after="0" w:before="0" w:line="240"/>
            </w:pPr>
            <w:r>
              <w:rPr>
                <w:rFonts w:ascii="Yu Gothic" w:eastAsia="游ゴシック" w:hAnsi="Yu Gothic"/>
                <w:sz w:val="16"/>
                <w:szCs w:val="16"/>
              </w:rPr>
              <w:t xml:space="preserve"/>
            </w:r>
          </w:p>
          <w:p>
            <w:pPr>
              <w:spacing w:after="0" w:before="40" w:line="240"/>
            </w:pPr>
            <w:r>
              <w:rPr>
                <w:rFonts w:ascii="Yu Gothic" w:eastAsia="游ゴシック" w:hAnsi="Yu Gothic"/>
                <w:b/>
                <w:bCs/>
                <w:sz w:val="16"/>
                <w:szCs w:val="16"/>
              </w:rPr>
              <w:t xml:space="preserve">□ 本報告について、患者さんの同意を得ています。</w:t>
            </w:r>
          </w:p>
        </w:tc>
      </w:tr>
    </w:tbl>
    <w:p>
      <w:pPr>
        <w:spacing w:after="0" w:before="40" w:line="240"/>
      </w:pPr>
      <w:r>
        <w:rPr>
          <w:rFonts w:ascii="Yu Gothic" w:eastAsia="游ゴシック" w:hAnsi="Yu Gothic"/>
          <w:color w:val="5A6B6E"/>
          <w:sz w:val="13"/>
          <w:szCs w:val="13"/>
        </w:rPr>
        <w:t xml:space="preserve">本書は緊急性の低い情報をお伝えするもので、疑義照会ではありません。処方変更の要否はご判断をお願いいたします。</w:t>
      </w:r>
    </w:p>
    <w:p>
      <w:pPr>
        <w:spacing w:after="0" w:before="0" w:line="240"/>
      </w:pPr>
      <w:r>
        <w:rPr>
          <w:rFonts w:ascii="Yu Gothic" w:eastAsia="游ゴシック" w:hAnsi="Yu Gothic"/>
          <w:color w:val="5A6B6E"/>
          <w:sz w:val="13"/>
          <w:szCs w:val="13"/>
        </w:rPr>
        <w:t xml:space="preserve">Grade:有害事象共通用語規準 v5.0 日本語訳JCOG版(CTCAE v5.0)を薬局での聞き取り用に要約。判定は原文をご参照ください。ADL:身の回り以外=買い物・家事・服薬管理など、身の回り=入浴・着衣・食事・トイレなど。</w:t>
      </w:r>
    </w:p>
    <w:sectPr>
      <w:pgSz w:w="11906" w:h="16838" w:orient="portrait"/>
      <w:pgMar w:top="480" w:right="620" w:bottom="400" w:left="6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eastAsia="游ゴシック" w:hAnsi="Yu Gothic"/>
        <w:sz w:val="16"/>
        <w:szCs w:val="16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2026-10-01T14:10:57.321Z</dcterms:created>
  <dcterms:modified xsi:type="dcterms:W3CDTF">2026-10-01T14:10:57.323Z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