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53"/>
        <w:gridCol w:w="3413"/>
      </w:tblGrid>
      <w:tr>
        <w:tc>
          <w:tcPr>
            <w:tcW w:type="dxa" w:w="725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084F4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color w:val="FFFFFF"/>
                <w:sz w:val="28"/>
                <w:szCs w:val="28"/>
              </w:rPr>
              <w:t xml:space="preserve">服薬情報提供書(トレーシングレポート)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color w:val="FFE3D8"/>
                <w:sz w:val="18"/>
                <w:szCs w:val="18"/>
              </w:rPr>
              <w:t xml:space="preserve">がん薬物療法 ― 分子標的治療薬</w:t>
            </w:r>
          </w:p>
        </w:tc>
        <w:tc>
          <w:tcPr>
            <w:tcW w:type="dxa" w:w="341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084F4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Yu Gothic" w:eastAsia="游ゴシック" w:hAnsi="Yu Gothic"/>
                <w:color w:val="FFFFFF"/>
                <w:sz w:val="17"/>
                <w:szCs w:val="17"/>
              </w:rPr>
              <w:t xml:space="preserve">報告日:　　　年　　月　　日</w:t>
            </w:r>
          </w:p>
          <w:p>
            <w:pPr>
              <w:spacing w:after="0" w:before="0" w:line="240"/>
              <w:jc w:val="right"/>
            </w:pPr>
            <w:r>
              <w:rPr>
                <w:rFonts w:ascii="Yu Gothic" w:eastAsia="游ゴシック" w:hAnsi="Yu Gothic"/>
                <w:color w:val="D8EAE7"/>
                <w:sz w:val="15"/>
                <w:szCs w:val="15"/>
              </w:rPr>
              <w:t xml:space="preserve">CTCAE v5.0に基づく評価</w:t>
            </w:r>
          </w:p>
        </w:tc>
      </w:tr>
    </w:tbl>
    <w:p>
      <w:pPr>
        <w:spacing w:after="0" w:before="0" w:line="240"/>
      </w:pPr>
      <w:r>
        <w:rPr>
          <w:rFonts w:ascii="Yu Gothic" w:eastAsia="游ゴシック" w:hAnsi="Yu Gothic"/>
          <w:sz w:val="8"/>
          <w:szCs w:val="8"/>
        </w:rPr>
        <w:t xml:space="preserve"/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4023"/>
        <w:gridCol w:w="1250"/>
        <w:gridCol w:w="4023"/>
      </w:tblGrid>
      <w:tr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宛先</w:t>
            </w:r>
          </w:p>
        </w:tc>
        <w:tc>
          <w:tcPr>
            <w:tcW w:type="dxa" w:w="402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　　　　　病院　　　　科　　　　　先生 御机下</w:t>
            </w:r>
          </w:p>
        </w:tc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保険薬局</w:t>
            </w:r>
          </w:p>
        </w:tc>
        <w:tc>
          <w:tcPr>
            <w:tcW w:type="dxa" w:w="402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名称:</w:t>
            </w:r>
          </w:p>
        </w:tc>
      </w:tr>
      <w:tr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患者氏名</w:t>
            </w:r>
          </w:p>
        </w:tc>
        <w:tc>
          <w:tcPr>
            <w:tcW w:type="dxa" w:w="402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　　　　　　　　　　様(　　歳 □男 □女)</w:t>
            </w:r>
          </w:p>
        </w:tc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連絡先</w:t>
            </w:r>
          </w:p>
        </w:tc>
        <w:tc>
          <w:tcPr>
            <w:tcW w:type="dxa" w:w="402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TEL:　　　　　　 FAX:</w:t>
            </w:r>
          </w:p>
        </w:tc>
      </w:tr>
      <w:tr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生年月日</w:t>
            </w:r>
          </w:p>
        </w:tc>
        <w:tc>
          <w:tcPr>
            <w:tcW w:type="dxa" w:w="402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　　　　年　　月　　日　 病院ID:</w:t>
            </w:r>
          </w:p>
        </w:tc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担当薬剤師</w:t>
            </w:r>
          </w:p>
        </w:tc>
        <w:tc>
          <w:tcPr>
            <w:tcW w:type="dxa" w:w="402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/>
            </w:r>
          </w:p>
        </w:tc>
      </w:tr>
    </w:tbl>
    <w:p>
      <w:pPr>
        <w:spacing w:after="30" w:before="80" w:line="240"/>
      </w:pPr>
      <w:r>
        <w:rPr>
          <w:rFonts w:ascii="Yu Gothic" w:eastAsia="游ゴシック" w:hAnsi="Yu Gothic"/>
          <w:b/>
          <w:bCs/>
          <w:color w:val="084F4F"/>
          <w:sz w:val="19"/>
          <w:szCs w:val="19"/>
        </w:rPr>
        <w:t xml:space="preserve">1  治療内容と確認の状況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9416"/>
      </w:tblGrid>
      <w:tr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薬剤</w:t>
            </w:r>
          </w:p>
        </w:tc>
        <w:tc>
          <w:tcPr>
            <w:tcW w:type="dxa" w:w="941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薬剤名:　　　　　　　　　　　 用量:　　　mg × 　回/日　 開始日:　　　年　　月　　日(現在の減量段階:　　　)</w:t>
            </w:r>
          </w:p>
        </w:tc>
      </w:tr>
      <w:tr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検査値</w:t>
            </w:r>
          </w:p>
        </w:tc>
        <w:tc>
          <w:tcPr>
            <w:tcW w:type="dxa" w:w="941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処方箋・検査結果より:AST　　 ALT　　 総ビリルビン　　 尿蛋白　　 その他:　　　　(　　月　　日)</w:t>
            </w:r>
          </w:p>
        </w:tc>
      </w:tr>
      <w:tr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確認日・方法</w:t>
            </w:r>
          </w:p>
        </w:tc>
        <w:tc>
          <w:tcPr>
            <w:tcW w:type="dxa" w:w="941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　　月　　日　□来局時　□電話フォロー　□その他(　　　　)　 家庭血圧(平均):　　　/　　　mmHg</w:t>
            </w:r>
          </w:p>
        </w:tc>
      </w:tr>
    </w:tbl>
    <w:p>
      <w:pPr>
        <w:spacing w:after="0" w:before="0" w:line="240"/>
      </w:pPr>
      <w:r>
        <w:rPr>
          <w:rFonts w:ascii="Yu Gothic" w:eastAsia="游ゴシック" w:hAnsi="Yu Gothic"/>
          <w:sz w:val="8"/>
          <w:szCs w:val="8"/>
        </w:rPr>
        <w:t xml:space="preserve"/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66"/>
      </w:tblGrid>
      <w:tr>
        <w:tc>
          <w:tcPr>
            <w:tcW w:type="dxa" w:w="1066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BE4DE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color w:val="B23A22"/>
                <w:sz w:val="16"/>
                <w:szCs w:val="16"/>
              </w:rPr>
              <w:t xml:space="preserve">緊急性の高い症状は本書ではなく、病院へ直接電話してください。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color w:val="B23A22"/>
                <w:sz w:val="15"/>
                <w:szCs w:val="15"/>
              </w:rPr>
              <w:t xml:space="preserve">例:咳・息切れ・発熱(間質性肺疾患の疑い)、皮膚や白目が黄色い・強い倦怠感(肝障害)、水疱・粘膜疹を伴う発疹、強い頭痛を伴う血圧上昇、片足の腫れ・胸痛</w:t>
            </w:r>
          </w:p>
          <w:p>
            <w:pPr>
              <w:spacing w:after="0" w:before="3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□ 病院へ電話連絡済み(　　月　　日　　時　　分、対応者:　　　　　　　　)</w:t>
            </w:r>
          </w:p>
        </w:tc>
      </w:tr>
    </w:tbl>
    <w:p>
      <w:pPr>
        <w:spacing w:after="30" w:before="80" w:line="240"/>
      </w:pPr>
      <w:r>
        <w:rPr>
          <w:rFonts w:ascii="Yu Gothic" w:eastAsia="游ゴシック" w:hAnsi="Yu Gothic"/>
          <w:b/>
          <w:bCs/>
          <w:color w:val="084F4F"/>
          <w:sz w:val="19"/>
          <w:szCs w:val="19"/>
        </w:rPr>
        <w:t xml:space="preserve">2  副作用の評価(CTCAE v5.0)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420"/>
        <w:gridCol w:w="2420"/>
        <w:gridCol w:w="2420"/>
        <w:gridCol w:w="1586"/>
      </w:tblGrid>
      <w:tr>
        <w:trPr>
          <w:tblHeader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084F4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color w:val="FFFFFF"/>
                <w:sz w:val="15"/>
                <w:szCs w:val="15"/>
              </w:rPr>
              <w:t xml:space="preserve">有害事象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4F0EC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Grade 1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BF0D6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Grade 2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8DDCB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Grade 3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084F4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Yu Gothic" w:eastAsia="游ゴシック" w:hAnsi="Yu Gothic"/>
                <w:b/>
                <w:bCs/>
                <w:color w:val="FFFFFF"/>
                <w:sz w:val="15"/>
                <w:szCs w:val="15"/>
              </w:rPr>
              <w:t xml:space="preserve">評価(該当に✓)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ざ瘡様皮疹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体表面積の&lt;10%を占める紅色丘疹/膿疱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体表面積の10〜30%;社会心理学的な影響;身の回り以外のADLの制限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体表面積の&gt;30%;身の回りのADLの制限;経口抗菌薬を要する局所の重複感染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爪囲炎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爪襞の浮腫や紅斑;角質の剥離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局所的処置・内服治療を要する;疼痛を伴う浮腫や紅斑;身の回り以外のADLの制限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外科的処置や抗菌薬の静脈内投与を要する;身の回りのADLの制限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手足症候群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疼痛を伴わないわずかな皮膚の変化(紅斑・浮腫・角質増殖など)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疼痛を伴う皮膚の変化(角層剥離・水疱・亀裂など);身の回り以外のADLの制限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疼痛を伴う高度の皮膚の変化;身の回りのADLの制限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下痢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ベースラインと比べて&lt;4回/日の排便回数増加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ベースラインと比べて4〜6回/日の排便回数増加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7回以上/日の増加;入院を要する;身の回りのADLの制限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口腔粘膜炎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症状がない、または軽度の症状;治療を要さない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経口摂取に支障がない中等度の疼痛または潰瘍;食事の変更を要する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高度の疼痛;経口摂取に支障がある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高血圧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収縮期120〜139または拡張期80〜89mmHg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収縮期140〜159または拡張期90〜99mmHg;内科的治療を要する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収縮期≧160または拡張期≧100mmHg;2種類以上の薬物治療を要する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蛋白尿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1+;尿蛋白≧基準値上限〜&lt;1.0g/24時間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2+〜3+;尿蛋白1.0〜&lt;3.5g/24時間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尿蛋白≧3.5g/24時間;4+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AST/ALT増加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(基準値正常時)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&gt;基準値上限〜3.0×基準値上限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&gt;3.0〜5.0×基準値上限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&gt;5.0〜20.0×基準値上限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呼吸困難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中等度の労作に伴う息切れ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極めて軽度の労作に伴う息切れ;身の回り以外のADLの制限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安静時の息切れ;身の回りのADLの制限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</w:tbl>
    <w:p>
      <w:pPr>
        <w:spacing w:after="30" w:before="80" w:line="240"/>
      </w:pPr>
      <w:r>
        <w:rPr>
          <w:rFonts w:ascii="Yu Gothic" w:eastAsia="游ゴシック" w:hAnsi="Yu Gothic"/>
          <w:b/>
          <w:bCs/>
          <w:color w:val="084F4F"/>
          <w:sz w:val="19"/>
          <w:szCs w:val="19"/>
        </w:rPr>
        <w:t xml:space="preserve">3  服薬状況・支持療法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8966"/>
      </w:tblGrid>
      <w:t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服薬状況</w:t>
            </w:r>
          </w:p>
        </w:tc>
        <w:tc>
          <w:tcPr>
            <w:tcW w:type="dxa" w:w="896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□指示どおり □飲み忘れ(　回) □自己判断で中断・減量 □服用時点の誤り(空腹時/食後)　　残薬:　　　日分</w:t>
            </w:r>
          </w:p>
        </w:tc>
      </w:tr>
      <w:t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スキンケア・外用薬</w:t>
            </w:r>
          </w:p>
        </w:tc>
        <w:tc>
          <w:tcPr>
            <w:tcW w:type="dxa" w:w="896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保湿剤:□毎日使用 □不十分　外用ステロイド:□指示どおり □未使用・不足　予防内服:□服用中 □未服用</w:t>
            </w:r>
          </w:p>
        </w:tc>
      </w:tr>
      <w:t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併用薬の変更</w:t>
            </w:r>
          </w:p>
        </w:tc>
        <w:tc>
          <w:tcPr>
            <w:tcW w:type="dxa" w:w="896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□なし □あり(胃酸分泌抑制薬・CYP3A関連薬・サプリ・グレープフルーツ等:　　　　　　　　　　)</w:t>
            </w:r>
          </w:p>
        </w:tc>
      </w:tr>
    </w:tbl>
    <w:p>
      <w:pPr>
        <w:spacing w:after="30" w:before="80" w:line="240"/>
      </w:pPr>
      <w:r>
        <w:rPr>
          <w:rFonts w:ascii="Yu Gothic" w:eastAsia="游ゴシック" w:hAnsi="Yu Gothic"/>
          <w:b/>
          <w:bCs/>
          <w:color w:val="084F4F"/>
          <w:sz w:val="19"/>
          <w:szCs w:val="19"/>
        </w:rPr>
        <w:t xml:space="preserve">4  薬剤師の所見・提案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66"/>
      </w:tblGrid>
      <w:tr>
        <w:tc>
          <w:tcPr>
            <w:tcW w:type="dxa" w:w="1066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経過・患者さんの訴え: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/>
            </w:r>
          </w:p>
          <w:p>
            <w:pPr>
              <w:spacing w:after="0" w:before="4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薬剤師としての提案(該当に✓):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□外用ステロイドのランク調整　□保湿剤の追加・増量　□止瀉薬　□降圧薬の調整　□皮膚科受診の検討　□減量・休薬の検討　□その他(　　　　)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/>
            </w:r>
          </w:p>
          <w:p>
            <w:pPr>
              <w:spacing w:after="0" w:before="4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□ 本報告について、患者さんの同意を得ています。</w:t>
            </w:r>
          </w:p>
        </w:tc>
      </w:tr>
    </w:tbl>
    <w:p>
      <w:pPr>
        <w:spacing w:after="0" w:before="40" w:line="240"/>
      </w:pPr>
      <w:r>
        <w:rPr>
          <w:rFonts w:ascii="Yu Gothic" w:eastAsia="游ゴシック" w:hAnsi="Yu Gothic"/>
          <w:color w:val="5A6B6E"/>
          <w:sz w:val="13"/>
          <w:szCs w:val="13"/>
        </w:rPr>
        <w:t xml:space="preserve">本書は緊急性の低い情報をお伝えするもので、疑義照会ではありません。処方変更の要否はご判断をお願いいたします。</w:t>
      </w:r>
    </w:p>
    <w:p>
      <w:pPr>
        <w:spacing w:after="0" w:before="0" w:line="240"/>
      </w:pPr>
      <w:r>
        <w:rPr>
          <w:rFonts w:ascii="Yu Gothic" w:eastAsia="游ゴシック" w:hAnsi="Yu Gothic"/>
          <w:color w:val="5A6B6E"/>
          <w:sz w:val="13"/>
          <w:szCs w:val="13"/>
        </w:rPr>
        <w:t xml:space="preserve">Grade:有害事象共通用語規準 v5.0 日本語訳JCOG版(CTCAE v5.0)を薬局での聞き取り用に要約。判定は原文をご参照ください。ADL:身の回り以外=買い物・家事・服薬管理など、身の回り=入浴・着衣・食事・トイレなど。</w:t>
      </w:r>
    </w:p>
    <w:sectPr>
      <w:pgSz w:w="11906" w:h="16838" w:orient="portrait"/>
      <w:pgMar w:top="480" w:right="620" w:bottom="4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游ゴシック" w:hAnsi="Yu Gothic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2026-10-01T14:10:57.490Z</dcterms:created>
  <dcterms:modified xsi:type="dcterms:W3CDTF">2026-10-01T14:10:57.490Z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