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df" ContentType="application/pdf"/>
  <Override PartName="/word/media/rId26.pdf" ContentType="application/pdf"/>
  <Override PartName="/word/media/rId31.png" ContentType="image/png"/>
  <Override PartName="/word/media/rId38.pdf" ContentType="application/pdf"/>
  <Override PartName="/word/media/rId44.pdf" ContentType="application/pdf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Chromatin accessibility profiling by the assay for transposase-accessible</w:t>
      </w:r>
      <w:r>
        <w:t xml:space="preserve"> </w:t>
      </w:r>
      <w:r>
        <w:t xml:space="preserve">chromatin using sequencing (ATAC-seq) has become a standard readout of the active</w:t>
      </w:r>
      <w:r>
        <w:t xml:space="preserve"> </w:t>
      </w:r>
      <w:r>
        <w:t xml:space="preserve">regulatory landscape of a cell </w:t>
      </w:r>
      <w:r>
        <w:t xml:space="preserve">. Within accessible regions,</w:t>
      </w:r>
      <w:r>
        <w:t xml:space="preserve"> </w:t>
      </w:r>
      <w:r>
        <w:t xml:space="preserve">sequence-specific transcription factors (TFs) protect the DNA they occupy from</w:t>
      </w:r>
      <w:r>
        <w:t xml:space="preserve"> </w:t>
      </w:r>
      <w:r>
        <w:t xml:space="preserve">transposition. This creates local cut-site depletions, often called</w:t>
      </w:r>
      <w:r>
        <w:t xml:space="preserve"> </w:t>
      </w:r>
      <w:r>
        <w:t xml:space="preserve">“footprints,”</w:t>
      </w:r>
      <w:r>
        <w:t xml:space="preserve"> </w:t>
      </w:r>
      <w:r>
        <w:t xml:space="preserve">with higher accessibility in the nearby flanks. Detecting and interpreting these footprints supports</w:t>
      </w:r>
      <w:r>
        <w:t xml:space="preserve"> </w:t>
      </w:r>
      <w:r>
        <w:t xml:space="preserve">inference of TF occupancy, differential regulation between conditions, and the</w:t>
      </w:r>
      <w:r>
        <w:t xml:space="preserve"> </w:t>
      </w:r>
      <w:r>
        <w:t xml:space="preserve">functional consequences of non-coding variation. Earlier footprinting and</w:t>
      </w:r>
      <w:r>
        <w:t xml:space="preserve"> </w:t>
      </w:r>
      <w:r>
        <w:t xml:space="preserve">occupancy models, including CENTIPEDE, Wellington, PIQ, and DeFCoM, established</w:t>
      </w:r>
      <w:r>
        <w:t xml:space="preserve"> </w:t>
      </w:r>
      <w:r>
        <w:t xml:space="preserve">the value of combining sequence information with chromatin-accessibility profile</w:t>
      </w:r>
      <w:r>
        <w:t xml:space="preserve"> </w:t>
      </w:r>
      <w:r>
        <w:t xml:space="preserve">shape for TFBS inference </w:t>
      </w:r>
      <w:r>
        <w:t xml:space="preserve">.</w:t>
      </w:r>
    </w:p>
    <w:p>
      <w:pPr>
        <w:pStyle w:val="BodyText"/>
      </w:pPr>
      <w:r>
        <w:t xml:space="preserve">A mature but</w:t>
      </w:r>
      <w:r>
        <w:t xml:space="preserve"> </w:t>
      </w:r>
      <w:r>
        <w:rPr>
          <w:i/>
          <w:iCs/>
        </w:rPr>
        <w:t xml:space="preserve">fragmented</w:t>
      </w:r>
      <w:r>
        <w:t xml:space="preserve"> </w:t>
      </w:r>
      <w:r>
        <w:t xml:space="preserve">ecosystem of methods addresses pieces of this</w:t>
      </w:r>
      <w:r>
        <w:t xml:space="preserve"> </w:t>
      </w:r>
      <w:r>
        <w:t xml:space="preserve">problem. ATAC-seq footprinting and differential-binding frameworks such as</w:t>
      </w:r>
      <w:r>
        <w:t xml:space="preserve"> </w:t>
      </w:r>
      <w:r>
        <w:t xml:space="preserve">TOBIAS </w:t>
      </w:r>
      <w:r>
        <w:t xml:space="preserve"> </w:t>
      </w:r>
      <w:r>
        <w:t xml:space="preserve">and HINT-ATAC </w:t>
      </w:r>
      <w:r>
        <w:t xml:space="preserve"> </w:t>
      </w:r>
      <w:r>
        <w:t xml:space="preserve">correct enzymatic</w:t>
      </w:r>
      <w:r>
        <w:t xml:space="preserve"> </w:t>
      </w:r>
      <w:r>
        <w:t xml:space="preserve">sequence bias and score footprints at a single TF-relevant scale. Multiscale and</w:t>
      </w:r>
      <w:r>
        <w:t xml:space="preserve"> </w:t>
      </w:r>
      <w:r>
        <w:t xml:space="preserve">nucleosome-aware approaches, exemplified by the PRINT/scPrinter</w:t>
      </w:r>
      <w:r>
        <w:t xml:space="preserve"> </w:t>
      </w:r>
      <w:r>
        <w:t xml:space="preserve">family </w:t>
      </w:r>
      <w:r>
        <w:t xml:space="preserve">, model accessibility structure across a range of</w:t>
      </w:r>
      <w:r>
        <w:t xml:space="preserve"> </w:t>
      </w:r>
      <w:r>
        <w:t xml:space="preserve">footprint widths. Supervised TF-binding-site (TFBS) predictors such as</w:t>
      </w:r>
      <w:r>
        <w:t xml:space="preserve"> </w:t>
      </w:r>
      <w:r>
        <w:t xml:space="preserve">maxATAC </w:t>
      </w:r>
      <w:r>
        <w:t xml:space="preserve"> </w:t>
      </w:r>
      <w:r>
        <w:t xml:space="preserve">and sequence-to-profile models such as</w:t>
      </w:r>
      <w:r>
        <w:t xml:space="preserve"> </w:t>
      </w:r>
      <w:r>
        <w:t xml:space="preserve">ChromBPNet </w:t>
      </w:r>
      <w:r>
        <w:t xml:space="preserve"> </w:t>
      </w:r>
      <w:r>
        <w:t xml:space="preserve">learn occupancy from labeled data or raw</w:t>
      </w:r>
      <w:r>
        <w:t xml:space="preserve"> </w:t>
      </w:r>
      <w:r>
        <w:t xml:space="preserve">sequence, and downstream interpretation tools and variant scorers translate models</w:t>
      </w:r>
      <w:r>
        <w:t xml:space="preserve"> </w:t>
      </w:r>
      <w:r>
        <w:t xml:space="preserve">into motif and allele-level effects. Motif-discovery and motif-comparison tools,</w:t>
      </w:r>
      <w:r>
        <w:t xml:space="preserve"> </w:t>
      </w:r>
      <w:r>
        <w:t xml:space="preserve">including MEME/STREME </w:t>
      </w:r>
      <w:r>
        <w:t xml:space="preserve"> </w:t>
      </w:r>
      <w:r>
        <w:t xml:space="preserve">and</w:t>
      </w:r>
      <w:r>
        <w:t xml:space="preserve"> </w:t>
      </w:r>
      <w:r>
        <w:t xml:space="preserve">Tomtom </w:t>
      </w:r>
      <w:r>
        <w:t xml:space="preserve">, are also widely used after peak or footprint</w:t>
      </w:r>
      <w:r>
        <w:t xml:space="preserve"> </w:t>
      </w:r>
      <w:r>
        <w:t xml:space="preserve">selection, but commonly run as separate steps with separate input and output</w:t>
      </w:r>
      <w:r>
        <w:t xml:space="preserve"> </w:t>
      </w:r>
      <w:r>
        <w:t xml:space="preserve">conventions. Each tool typically ships its own interface, input conventions, and</w:t>
      </w:r>
      <w:r>
        <w:t xml:space="preserve"> </w:t>
      </w:r>
      <w:r>
        <w:t xml:space="preserve">assumptions, so assembling a coherent, reproducible pipeline and rerunning</w:t>
      </w:r>
      <w:r>
        <w:t xml:space="preserve"> </w:t>
      </w:r>
      <w:r>
        <w:t xml:space="preserve">analyses on common inputs remains laborious and error-prone.</w:t>
      </w:r>
    </w:p>
    <w:p>
      <w:pPr>
        <w:pStyle w:val="BodyText"/>
      </w:pPr>
      <w:r>
        <w:t xml:space="preserve">Beyond this tooling friction, footprint interpretation has practical limitations</w:t>
      </w:r>
      <w:r>
        <w:t xml:space="preserve"> </w:t>
      </w:r>
      <w:r>
        <w:t xml:space="preserve">that make reproducibility and careful signal handling important. ATAC-seq</w:t>
      </w:r>
      <w:r>
        <w:t xml:space="preserve"> </w:t>
      </w:r>
      <w:r>
        <w:t xml:space="preserve">footprinting depends on base-resolution cut-site depletion and can be confounded</w:t>
      </w:r>
      <w:r>
        <w:t xml:space="preserve"> </w:t>
      </w:r>
      <w:r>
        <w:t xml:space="preserve">by enzyme sequence bias, local accessibility, motif strength, and factor-specific</w:t>
      </w:r>
      <w:r>
        <w:t xml:space="preserve"> </w:t>
      </w:r>
      <w:r>
        <w:t xml:space="preserve">binding kinetics </w:t>
      </w:r>
      <w:r>
        <w:t xml:space="preserve">. Intrinsic cleavage bias remains a major</w:t>
      </w:r>
      <w:r>
        <w:t xml:space="preserve"> </w:t>
      </w:r>
      <w:r>
        <w:t xml:space="preserve">confounder in accessibility-based footprinting, motivating explicit bias</w:t>
      </w:r>
      <w:r>
        <w:t xml:space="preserve"> </w:t>
      </w:r>
      <w:r>
        <w:t xml:space="preserve">correction and careful interpretation </w:t>
      </w:r>
      <w:r>
        <w:t xml:space="preserve">. Deep sequence-to-profile models and multiscale</w:t>
      </w:r>
      <w:r>
        <w:t xml:space="preserve"> </w:t>
      </w:r>
      <w:r>
        <w:t xml:space="preserve">methods can improve sensitivity for some questions, but they often require</w:t>
      </w:r>
      <w:r>
        <w:t xml:space="preserve"> </w:t>
      </w:r>
      <w:r>
        <w:t xml:space="preserve">substantial compute and specialized training workflows. For many applied ATAC-seq</w:t>
      </w:r>
      <w:r>
        <w:t xml:space="preserve"> </w:t>
      </w:r>
      <w:r>
        <w:t xml:space="preserve">projects, the immediate need is therefore a transparent, repeatable workflow that</w:t>
      </w:r>
      <w:r>
        <w:t xml:space="preserve"> </w:t>
      </w:r>
      <w:r>
        <w:t xml:space="preserve">keeps footprint interpretation traceable while producing biologically informative reports within one software ecosystem.</w:t>
      </w:r>
    </w:p>
    <w:p>
      <w:pPr>
        <w:pStyle w:val="BodyText"/>
      </w:pPr>
      <w:r>
        <w:t xml:space="preserve">Three practical gaps motivate this work. First,</w:t>
      </w:r>
      <w:r>
        <w:t xml:space="preserve"> </w:t>
      </w:r>
      <w:r>
        <w:rPr>
          <w:b/>
          <w:bCs/>
        </w:rPr>
        <w:t xml:space="preserve">signal clarity</w:t>
      </w:r>
      <w:r>
        <w:t xml:space="preserve">: users need to know</w:t>
      </w:r>
      <w:r>
        <w:t xml:space="preserve"> </w:t>
      </w:r>
      <w:r>
        <w:t xml:space="preserve">which signal representation is appropriate for footprint calling and how</w:t>
      </w:r>
      <w:r>
        <w:t xml:space="preserve"> </w:t>
      </w:r>
      <w:r>
        <w:t xml:space="preserve">normalization changes motif-centered interpretation. Second,</w:t>
      </w:r>
      <w:r>
        <w:t xml:space="preserve"> </w:t>
      </w:r>
      <w:r>
        <w:rPr>
          <w:b/>
          <w:bCs/>
        </w:rPr>
        <w:t xml:space="preserve">interface fragmentation</w:t>
      </w:r>
      <w:r>
        <w:t xml:space="preserve">:</w:t>
      </w:r>
      <w:r>
        <w:t xml:space="preserve"> </w:t>
      </w:r>
      <w:r>
        <w:t xml:space="preserve">moving from bias correction to footprint calling, motif matching, differential</w:t>
      </w:r>
      <w:r>
        <w:t xml:space="preserve"> </w:t>
      </w:r>
      <w:r>
        <w:t xml:space="preserve">footprint analysis, and visualization commonly spans several packages with</w:t>
      </w:r>
      <w:r>
        <w:t xml:space="preserve"> </w:t>
      </w:r>
      <w:r>
        <w:t xml:space="preserve">incompatible I/O. Third,</w:t>
      </w:r>
      <w:r>
        <w:t xml:space="preserve"> </w:t>
      </w:r>
      <w:r>
        <w:rPr>
          <w:b/>
          <w:bCs/>
        </w:rPr>
        <w:t xml:space="preserve">reproducible biological reporting</w:t>
      </w:r>
      <w:r>
        <w:t xml:space="preserve">: many workflows</w:t>
      </w:r>
      <w:r>
        <w:t xml:space="preserve"> </w:t>
      </w:r>
      <w:r>
        <w:t xml:space="preserve">produce intermediate tracks and tables but do not provide a consistent path to</w:t>
      </w:r>
      <w:r>
        <w:t xml:space="preserve"> </w:t>
      </w:r>
      <w:r>
        <w:t xml:space="preserve">replicate-aware summaries, motif-centered aggregate views, de novo motif follow-up,</w:t>
      </w:r>
      <w:r>
        <w:t xml:space="preserve"> </w:t>
      </w:r>
      <w:r>
        <w:t xml:space="preserve">and single-cell pseudobulk analyses.</w:t>
      </w:r>
    </w:p>
    <w:p>
      <w:pPr>
        <w:pStyle w:val="BodyText"/>
      </w:pPr>
      <w:r>
        <w:t xml:space="preserve">We address these gaps with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, a reproducible ATAC-seq</w:t>
      </w:r>
      <w:r>
        <w:t xml:space="preserve"> </w:t>
      </w:r>
      <w:r>
        <w:t xml:space="preserve">footprinting platform that connects bias correction, footprint calling, motif</w:t>
      </w:r>
      <w:r>
        <w:t xml:space="preserve"> </w:t>
      </w:r>
      <w:r>
        <w:t xml:space="preserve">matching, differential footprint analysis, and aggregate visualization through a</w:t>
      </w:r>
      <w:r>
        <w:t xml:space="preserve"> </w:t>
      </w:r>
      <w:r>
        <w:t xml:space="preserve">single command-line workflow. The same framework integrates de novo motif-discovery</w:t>
      </w:r>
      <w:r>
        <w:t xml:space="preserve"> </w:t>
      </w:r>
      <w:r>
        <w:t xml:space="preserve">preparation, pseudobulk ATAC aggregation, replicate-aware comparison, quantile</w:t>
      </w:r>
      <w:r>
        <w:t xml:space="preserve"> </w:t>
      </w:r>
      <w:r>
        <w:t xml:space="preserve">normalization, and interactive HTML reports. This paper describes the implemented</w:t>
      </w:r>
      <w:r>
        <w:t xml:space="preserve"> </w:t>
      </w:r>
      <w:r>
        <w:t xml:space="preserve">methods, public-data validation examples, and reproducibility framework that tie</w:t>
      </w:r>
      <w:r>
        <w:t xml:space="preserve"> </w:t>
      </w:r>
      <w:r>
        <w:t xml:space="preserve">these workflows together.</w:t>
      </w:r>
    </w:p>
    <w:bookmarkEnd w:id="9"/>
    <w:bookmarkStart w:id="17" w:name="materials-and-methods"/>
    <w:p>
      <w:pPr>
        <w:pStyle w:val="Heading1"/>
      </w:pPr>
      <w:r>
        <w:t xml:space="preserve">Materials and Methods</w:t>
      </w:r>
    </w:p>
    <w:bookmarkStart w:id="10" w:name="package-architecture-and-core-workflows"/>
    <w:p>
      <w:pPr>
        <w:pStyle w:val="Heading2"/>
      </w:pPr>
      <w:r>
        <w:t xml:space="preserve">Package Architecture and Core Workflows</w:t>
      </w:r>
    </w:p>
    <w:p>
      <w:pPr>
        <w:pStyle w:val="FirstParagraph"/>
      </w:pPr>
      <w:r>
        <w:rPr>
          <w:rStyle w:val="VerbatimChar"/>
        </w:rPr>
        <w:t xml:space="preserve">fp-tools</w:t>
      </w:r>
      <w:r>
        <w:t xml:space="preserve"> </w:t>
      </w:r>
      <w:r>
        <w:t xml:space="preserve">implements performance-critical signal operations with Cython-backed routines. The</w:t>
      </w:r>
      <w:r>
        <w:t xml:space="preserve"> </w:t>
      </w:r>
      <w:r>
        <w:t xml:space="preserve">workflow has four method layers: Tn5 sequence-bias correction, footprint</w:t>
      </w:r>
      <w:r>
        <w:t xml:space="preserve"> </w:t>
      </w:r>
      <w:r>
        <w:t xml:space="preserve">scoring over corrected signal, motif-anchored differential TF-binding analysis,</w:t>
      </w:r>
      <w:r>
        <w:t xml:space="preserve"> </w:t>
      </w:r>
      <w:r>
        <w:t xml:space="preserve">and aggregate visualization around TFBS or region sets. These layers share common</w:t>
      </w:r>
      <w:r>
        <w:t xml:space="preserve"> </w:t>
      </w:r>
      <w:r>
        <w:t xml:space="preserve">region, signal, motif, and sample-label conventions so intermediate files can be</w:t>
      </w:r>
      <w:r>
        <w:t xml:space="preserve"> </w:t>
      </w:r>
      <w:r>
        <w:t xml:space="preserve">passed through a complete analysis without format-specific glue code. YAML</w:t>
      </w:r>
      <w:r>
        <w:t xml:space="preserve"> </w:t>
      </w:r>
      <w:r>
        <w:t xml:space="preserve">configuration files provide a reproducible way to save and rerun the same analysis</w:t>
      </w:r>
      <w:r>
        <w:t xml:space="preserve"> </w:t>
      </w:r>
      <w:r>
        <w:t xml:space="preserve">without changing the underlying methods.</w:t>
      </w:r>
    </w:p>
    <w:p>
      <w:pPr>
        <w:pStyle w:val="BodyText"/>
      </w:pPr>
      <w:r>
        <w:t xml:space="preserve">Following the signal model popularized by TOBIAS </w:t>
      </w:r>
      <w:r>
        <w:t xml:space="preserve">,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treats base-resolution, bias-corrected cut-site profiles as the</w:t>
      </w:r>
      <w:r>
        <w:t xml:space="preserve"> </w:t>
      </w:r>
      <w:r>
        <w:t xml:space="preserve">primary footprinting signal. For footprint calling,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denote corrected Tn5</w:t>
      </w:r>
      <w:r>
        <w:t xml:space="preserve"> </w:t>
      </w:r>
      <w:r>
        <w:t xml:space="preserve">cut-site signal around candidate position</w:t>
      </w:r>
      <w:r>
        <w:t xml:space="preserve"> </w:t>
      </w:r>
      <m:oMath>
        <m:r>
          <m:t>p</m:t>
        </m:r>
      </m:oMath>
      <w:r>
        <w:t xml:space="preserve">. The default footprint score is a</w:t>
      </w:r>
      <w:r>
        <w:t xml:space="preserve"> </w:t>
      </w:r>
      <w:r>
        <w:t xml:space="preserve">center-versus-flank contrast,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L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|</m:t>
              </m:r>
              <m:r>
                <m:t>R</m:t>
              </m:r>
              <m:r>
                <m:rPr>
                  <m:sty m:val="p"/>
                </m:rPr>
                <m:t>|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|</m:t>
              </m:r>
              <m:r>
                <m:t>C</m:t>
              </m:r>
              <m:r>
                <m:rPr>
                  <m:sty m:val="p"/>
                </m:rPr>
                <m:t>|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C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protected center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flanking windows. Larger</w:t>
      </w:r>
      <w:r>
        <w:t xml:space="preserve"> </w:t>
      </w:r>
      <w:r>
        <w:t xml:space="preserve">values therefore correspond to the expected footprint pattern: fewer cuts at the</w:t>
      </w:r>
      <w:r>
        <w:t xml:space="preserve"> </w:t>
      </w:r>
      <w:r>
        <w:t xml:space="preserve">putative bound site and more cuts in nearby accessible flanks.</w:t>
      </w:r>
    </w:p>
    <w:bookmarkEnd w:id="10"/>
    <w:bookmarkStart w:id="11" w:name="de-novo-motif-discovery-preparation"/>
    <w:p>
      <w:pPr>
        <w:pStyle w:val="Heading2"/>
      </w:pPr>
      <w:r>
        <w:t xml:space="preserve">De Novo Motif Discovery Preparation</w:t>
      </w:r>
    </w:p>
    <w:p>
      <w:pPr>
        <w:pStyle w:val="FirstParagraph"/>
      </w:pPr>
      <w:r>
        <w:t xml:space="preserve">The de novo motif-discovery workflow begins from candidate footprint intervals,</w:t>
      </w:r>
      <w:r>
        <w:t xml:space="preserve"> </w:t>
      </w:r>
      <w:r>
        <w:t xml:space="preserve">which may be produced by footprint calling or supplied by the user. For each</w:t>
      </w:r>
      <w:r>
        <w:t xml:space="preserve"> </w:t>
      </w:r>
      <w:r>
        <w:t xml:space="preserve">candidate interval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 center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strand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, and flank size</w:t>
      </w:r>
      <w:r>
        <w:t xml:space="preserve"> </w:t>
      </w:r>
      <m:oMath>
        <m:r>
          <m:t>h</m:t>
        </m:r>
      </m:oMath>
      <w:r>
        <w:t xml:space="preserve">, the</w:t>
      </w:r>
      <w:r>
        <w:t xml:space="preserve"> </w:t>
      </w:r>
      <w:r>
        <w:t xml:space="preserve">workflow exports a candidate-centered sequence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[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,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reverse-complementing the sequence when strand information indicates the negative</w:t>
      </w:r>
      <w:r>
        <w:t xml:space="preserve"> </w:t>
      </w:r>
      <w:r>
        <w:t xml:space="preserve">strand. The workflow records the input intervals, genome build, flank width,</w:t>
      </w:r>
      <w:r>
        <w:t xml:space="preserve"> </w:t>
      </w:r>
      <w:r>
        <w:t xml:space="preserve">software versions, and MEME, DREME, STREME </w:t>
      </w:r>
      <w:r>
        <w:t xml:space="preserve"> </w:t>
      </w:r>
      <w:r>
        <w:t xml:space="preserve">or optional Tomtom </w:t>
      </w:r>
      <w:r>
        <w:t xml:space="preserve"> </w:t>
      </w:r>
      <w:r>
        <w:t xml:space="preserve">settings needed to reproduce each</w:t>
      </w:r>
      <w:r>
        <w:t xml:space="preserve"> </w:t>
      </w:r>
      <w:r>
        <w:t xml:space="preserve">run. STREME was designed for accurate and versatile motif discovery from</w:t>
      </w:r>
      <w:r>
        <w:t xml:space="preserve"> </w:t>
      </w:r>
      <w:r>
        <w:t xml:space="preserve">enriched sequence sets </w:t>
      </w:r>
      <w:r>
        <w:t xml:space="preserve">.</w:t>
      </w:r>
      <w:r>
        <w:t xml:space="preserve"> </w:t>
      </w:r>
      <w:r>
        <w:t xml:space="preserve">The same entry point can be used in two modes. In de novo-only mode, discovered</w:t>
      </w:r>
      <w:r>
        <w:t xml:space="preserve"> </w:t>
      </w:r>
      <w:r>
        <w:t xml:space="preserve">motifs are reported as an independent motif set. In database-plus-de-novo mode,</w:t>
      </w:r>
      <w:r>
        <w:t xml:space="preserve"> </w:t>
      </w:r>
      <w:r>
        <w:t xml:space="preserve">discovered motifs are matched to a known database such as JASPAR</w:t>
      </w:r>
      <w:r>
        <w:t xml:space="preserve"> </w:t>
      </w:r>
      <w:r>
        <w:t xml:space="preserve">2026 </w:t>
      </w:r>
      <w:r>
        <w:t xml:space="preserve"> </w:t>
      </w:r>
      <w:r>
        <w:t xml:space="preserve">and can be appended to the known motif set for downstream</w:t>
      </w:r>
      <w:r>
        <w:t xml:space="preserve"> </w:t>
      </w:r>
      <w:r>
        <w:t xml:space="preserve">differential footprint analysis.</w:t>
      </w:r>
    </w:p>
    <w:bookmarkEnd w:id="11"/>
    <w:bookmarkStart w:id="12" w:name="pseudobulk-fragment-aggregation"/>
    <w:p>
      <w:pPr>
        <w:pStyle w:val="Heading2"/>
      </w:pPr>
      <w:r>
        <w:t xml:space="preserve">Pseudobulk Fragment Aggregation</w:t>
      </w:r>
    </w:p>
    <w:p>
      <w:pPr>
        <w:pStyle w:val="FirstParagraph"/>
      </w:pPr>
      <w:r>
        <w:t xml:space="preserve">The pseudobulk workflow groups single-cell ATAC fragments by a metadata column,</w:t>
      </w:r>
      <w:r>
        <w:t xml:space="preserve"> </w:t>
      </w:r>
      <w:r>
        <w:t xml:space="preserve">such as cell type, cluster, donor, or treatment. Let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be the multiset of</w:t>
      </w:r>
      <w:r>
        <w:t xml:space="preserve"> </w:t>
      </w:r>
      <w:r>
        <w:t xml:space="preserve">fragments assigned to barcode</w:t>
      </w:r>
      <w:r>
        <w:t xml:space="preserve"> </w:t>
      </w:r>
      <m:oMath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 its group label. The</w:t>
      </w:r>
      <w:r>
        <w:t xml:space="preserve"> </w:t>
      </w:r>
      <w:r>
        <w:t xml:space="preserve">pseudobulk fragment collection for group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concatenated multiset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e>
            <m:sub>
              <m:r>
                <m:t>b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r>
                <m:t>F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repeated fragments and fragment multiplicity are preserved.</w:t>
      </w:r>
      <w:r>
        <w:t xml:space="preserve"> </w:t>
      </w:r>
      <w:r>
        <w:t xml:space="preserve">Groups that pass user-defined cell-count and fragment-count filters are written as</w:t>
      </w:r>
      <w:r>
        <w:t xml:space="preserve"> </w:t>
      </w:r>
      <w:r>
        <w:t xml:space="preserve">bulk-like fragment files with manifest records. When genome sizes are supplied,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can also emit CPM-normalized cut-site bigWigs,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k</m:t>
              </m:r>
              <m:r>
                <m:rPr>
                  <m:sty m:val="p"/>
                </m:rPr>
                <m:t>,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</m:sub>
              </m:sSub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u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is the cut-site count for group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at genomic position</w:t>
      </w:r>
      <w:r>
        <w:t xml:space="preserve"> </w:t>
      </w:r>
      <m:oMath>
        <m:r>
          <m:t>t</m:t>
        </m:r>
      </m:oMath>
      <w:r>
        <w:t xml:space="preserve">. These</w:t>
      </w:r>
      <w:r>
        <w:t xml:space="preserve"> </w:t>
      </w:r>
      <w:r>
        <w:t xml:space="preserve">tracks can be used directly by the same motif-centered aggregate plotting workflow</w:t>
      </w:r>
      <w:r>
        <w:t xml:space="preserve"> </w:t>
      </w:r>
      <w:r>
        <w:t xml:space="preserve">used for bulk ATAC-seq data.</w:t>
      </w:r>
    </w:p>
    <w:p>
      <w:pPr>
        <w:pStyle w:val="BodyText"/>
      </w:pPr>
      <w:r>
        <w:t xml:space="preserve">For visualization of cell-level marker footprint signatures,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also supports a K-nearest-neighbor (KNN) smoothing layer over single-cell</w:t>
      </w:r>
      <w:r>
        <w:t xml:space="preserve"> </w:t>
      </w:r>
      <w:r>
        <w:t xml:space="preserve">fragments. For each marker TF, exact motif centers are scanned inside the selected</w:t>
      </w:r>
      <w:r>
        <w:t xml:space="preserve"> </w:t>
      </w:r>
      <w:r>
        <w:t xml:space="preserve">accessible-bin universe. Fragment cut sites are counted in a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100 bp window</w:t>
      </w:r>
      <w:r>
        <w:t xml:space="preserve"> </w:t>
      </w:r>
      <w:r>
        <w:t xml:space="preserve">around those motif centers for each barcode. Each cell is then assigned a local</w:t>
      </w:r>
      <w:r>
        <w:t xml:space="preserve"> </w:t>
      </w:r>
      <w:r>
        <w:t xml:space="preserve">neighborhood profile by summing its 75 nearest neighbors in the single-cell</w:t>
      </w:r>
      <w:r>
        <w:t xml:space="preserve"> </w:t>
      </w:r>
      <w:r>
        <w:t xml:space="preserve">embedding, and the same flank-minus-center footprint-signature score is computed</w:t>
      </w:r>
      <w:r>
        <w:t xml:space="preserve"> </w:t>
      </w:r>
      <w:r>
        <w:t xml:space="preserve">from that neighborhood profile. Scores are oriented so that the expected marker</w:t>
      </w:r>
      <w:r>
        <w:t xml:space="preserve"> </w:t>
      </w:r>
      <w:r>
        <w:t xml:space="preserve">cell type has the positive direction and then standardized per TF for UMAP</w:t>
      </w:r>
      <w:r>
        <w:t xml:space="preserve"> </w:t>
      </w:r>
      <w:r>
        <w:t xml:space="preserve">display. These KNN-smoothed signatures are used only as per-cell visualization</w:t>
      </w:r>
      <w:r>
        <w:t xml:space="preserve"> </w:t>
      </w:r>
      <w:r>
        <w:t xml:space="preserve">scores; formal corrected footprint inference remains based on the grouped</w:t>
      </w:r>
      <w:r>
        <w:t xml:space="preserve"> </w:t>
      </w:r>
      <w:r>
        <w:t xml:space="preserve">pseudobulk ATAC-correction and footprint-scoring workflow.</w:t>
      </w:r>
    </w:p>
    <w:bookmarkEnd w:id="12"/>
    <w:bookmarkStart w:id="13" w:name="sec:replicate"/>
    <w:p>
      <w:pPr>
        <w:pStyle w:val="Heading2"/>
      </w:pPr>
      <w:r>
        <w:t xml:space="preserve">Replicate-aware Differential Footprint Analysis and Quantile Normalization</w:t>
      </w:r>
    </w:p>
    <w:p>
      <w:pPr>
        <w:pStyle w:val="FirstParagraph"/>
      </w:pPr>
      <w:r>
        <w:t xml:space="preserve">Replicate-aware analysis is integrated directly into the differential footprint comparison workflow.</w:t>
      </w:r>
      <w:r>
        <w:t xml:space="preserve"> </w:t>
      </w:r>
      <w:r>
        <w:t xml:space="preserve">The differential comparison retains conventional motif-centered footprint-score</w:t>
      </w:r>
      <w:r>
        <w:t xml:space="preserve"> </w:t>
      </w:r>
      <w:r>
        <w:t xml:space="preserve">logic while adding repeated condition labels, replicate-level summaries, optional</w:t>
      </w:r>
      <w:r>
        <w:t xml:space="preserve"> </w:t>
      </w:r>
      <w:r>
        <w:t xml:space="preserve">quantile normalization, and two complementary testing views. Repeated condition</w:t>
      </w:r>
      <w:r>
        <w:t xml:space="preserve"> </w:t>
      </w:r>
      <w:r>
        <w:t xml:space="preserve">names, for example</w:t>
      </w:r>
      <w:r>
        <w:t xml:space="preserve"> </w:t>
      </w:r>
      <w:r>
        <w:rPr>
          <w:rStyle w:val="VerbatimChar"/>
        </w:rPr>
        <w:t xml:space="preserve">--cond-names Bcell Bcell Tcell Tcell</w:t>
      </w:r>
      <w:r>
        <w:t xml:space="preserve">, define</w:t>
      </w:r>
      <w:r>
        <w:t xml:space="preserve"> </w:t>
      </w:r>
      <w:r>
        <w:t xml:space="preserve">biological replicate groups while preserving the original differential-footprint</w:t>
      </w:r>
      <w:r>
        <w:t xml:space="preserve"> </w:t>
      </w:r>
      <w:r>
        <w:t xml:space="preserve">output structure. Let</w:t>
      </w:r>
      <w:r>
        <w:t xml:space="preserve"> </w:t>
      </w:r>
      <m:oMath>
        <m:sSub>
          <m:e>
            <m:r>
              <m:t>x</m:t>
            </m:r>
          </m:e>
          <m:sub>
            <m:r>
              <m:t>c</m:t>
            </m:r>
            <m:r>
              <m:rPr>
                <m:sty m:val="p"/>
              </m:rPr>
              <m:t>,</m:t>
            </m:r>
            <m:r>
              <m:t>r</m:t>
            </m:r>
            <m:r>
              <m:rPr>
                <m:sty m:val="p"/>
              </m:rPr>
              <m:t>,</m:t>
            </m:r>
            <m:r>
              <m:t>i</m:t>
            </m:r>
          </m:sub>
        </m:sSub>
      </m:oMath>
      <w:r>
        <w:t xml:space="preserve"> </w:t>
      </w:r>
      <w:r>
        <w:t xml:space="preserve">be the footprint score at site or background</w:t>
      </w:r>
      <w:r>
        <w:t xml:space="preserve"> </w:t>
      </w:r>
      <w:r>
        <w:t xml:space="preserve">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for replicate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 condition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default distribution-comparison view is used directly by</w:t>
      </w:r>
      <w:r>
        <w:t xml:space="preserve"> </w:t>
      </w:r>
      <w:r>
        <w:rPr>
          <w:rStyle w:val="VerbatimChar"/>
        </w:rPr>
        <w:t xml:space="preserve">diff-footprints</w:t>
      </w:r>
      <w:r>
        <w:t xml:space="preserve">. It supports either one sample per group or multiple</w:t>
      </w:r>
      <w:r>
        <w:t xml:space="preserve"> </w:t>
      </w:r>
      <w:r>
        <w:t xml:space="preserve">samples per group. When repeated condition names are supplied, replicate scores</w:t>
      </w:r>
      <w:r>
        <w:t xml:space="preserve"> </w:t>
      </w:r>
      <w:r>
        <w:t xml:space="preserve">are summarized into condition-level means and SDs before motif-level comparisons</w:t>
      </w:r>
      <w:r>
        <w:t xml:space="preserve"> </w:t>
      </w:r>
      <w:r>
        <w:t xml:space="preserve">are reported; when only one sample is present per group, the same motif and</w:t>
      </w:r>
      <w:r>
        <w:t xml:space="preserve"> </w:t>
      </w:r>
      <w:r>
        <w:t xml:space="preserve">background-distribution comparison is still available, but replicate-derived SD</w:t>
      </w:r>
      <w:r>
        <w:t xml:space="preserve"> </w:t>
      </w:r>
      <w:r>
        <w:t xml:space="preserve">and SE summaries are not interpreted as replicate uncertainty. A second</w:t>
      </w:r>
      <w:r>
        <w:t xml:space="preserve"> </w:t>
      </w:r>
      <w:r>
        <w:t xml:space="preserve">empirical-Bayes replicate-matrix view is available when per-replicate motif-score</w:t>
      </w:r>
      <w:r>
        <w:t xml:space="preserve"> </w:t>
      </w:r>
      <w:r>
        <w:t xml:space="preserve">matrices are built for a comparison. This view is limma-like rather than a direct</w:t>
      </w:r>
      <w:r>
        <w:t xml:space="preserve"> </w:t>
      </w:r>
      <w:r>
        <w:t xml:space="preserve">dependency on the R</w:t>
      </w:r>
      <w:r>
        <w:t xml:space="preserve"> </w:t>
      </w:r>
      <w:r>
        <w:rPr>
          <w:rStyle w:val="VerbatimChar"/>
        </w:rPr>
        <w:t xml:space="preserve">limma</w:t>
      </w:r>
      <w:r>
        <w:t xml:space="preserve"> </w:t>
      </w:r>
      <w:r>
        <w:t xml:space="preserve">package: motif scores are transformed as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1000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condition effects are estimated from replicate groups, and</w:t>
      </w:r>
      <w:r>
        <w:t xml:space="preserve"> </w:t>
      </w:r>
      <w:r>
        <w:t xml:space="preserve">the per-motif pooled variance is moderated toward the median variance across</w:t>
      </w:r>
      <w:r>
        <w:t xml:space="preserve"> </w:t>
      </w:r>
      <w:r>
        <w:t xml:space="preserve">motifs before computing a moderated t-statistic and Benjamini–Hochberg-adjusted</w:t>
      </w:r>
      <w:r>
        <w:t xml:space="preserve"> </w:t>
      </w:r>
      <w:r>
        <w:t xml:space="preserve">q-values. This empirical-Bayes view is used as a replicate-aware audit and</w:t>
      </w:r>
      <w:r>
        <w:t xml:space="preserve"> </w:t>
      </w:r>
      <w:r>
        <w:t xml:space="preserve">alternative reporting view for replicate-supported comparisons, while the native</w:t>
      </w:r>
      <w:r>
        <w:t xml:space="preserve"> </w:t>
      </w:r>
      <w:r>
        <w:t xml:space="preserve">distribution-comparison columns are preserved for traceability.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rStyle w:val="VerbatimChar"/>
        </w:rPr>
        <w:t xml:space="preserve">--normalization sample-quantile</w:t>
      </w:r>
      <w:r>
        <w:t xml:space="preserve">, each replicate is normalized before</w:t>
      </w:r>
      <w:r>
        <w:t xml:space="preserve"> </w:t>
      </w:r>
      <w:r>
        <w:t xml:space="preserve">condition averaging. The normalization fit uses finite positive scores only,</w:t>
      </w:r>
      <w:r>
        <w:t xml:space="preserve"> </w:t>
      </w:r>
      <w:r>
        <w:t xml:space="preserve">because negative or zero footprint-score values do not define a stable</w:t>
      </w:r>
      <w:r>
        <w:t xml:space="preserve"> </w:t>
      </w:r>
      <w:r>
        <w:t xml:space="preserve">multiplicative quantile ratio. For sample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computes</w:t>
      </w:r>
      <w:r>
        <w:t xml:space="preserve"> </w:t>
      </w:r>
      <w:r>
        <w:t xml:space="preserve">empirical score quantiles</w:t>
      </w:r>
      <w:r>
        <w:t xml:space="preserve"> </w:t>
      </w:r>
      <m:oMath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on a 0.05–0.99 quantile grid and the</w:t>
      </w:r>
      <w:r>
        <w:t xml:space="preserve"> </w:t>
      </w:r>
      <w:r>
        <w:t xml:space="preserve">reference quantile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b>
              <m:e>
                <m:r>
                  <m:t>q</m:t>
                </m:r>
              </m:e>
              <m:sub>
                <m:r>
                  <m:t>s</m:t>
                </m:r>
              </m:sub>
            </m:sSub>
          </m:e>
        </m:nary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across the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input samples.</w:t>
      </w:r>
      <w:r>
        <w:t xml:space="preserve"> </w:t>
      </w:r>
      <w:r>
        <w:t xml:space="preserve">It then smooths the ratio</w:t>
      </w:r>
      <w:r>
        <w:t xml:space="preserve"> </w:t>
      </w:r>
      <m:oMath>
        <m:sSub>
          <m:e>
            <m:r>
              <m:t>q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q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fits a sigmoid multiplicative</w:t>
      </w:r>
      <w:r>
        <w:t xml:space="preserve"> </w:t>
      </w:r>
      <w:r>
        <w:t xml:space="preserve">factor</w:t>
      </w:r>
      <w:r>
        <w:t xml:space="preserve"> </w:t>
      </w:r>
      <m:oMath>
        <m:sSub>
          <m:e>
            <m:r>
              <m:t>g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 if the sample has too few positive values or the curve fit is</w:t>
      </w:r>
      <w:r>
        <w:t xml:space="preserve"> </w:t>
      </w:r>
      <w:r>
        <w:t xml:space="preserve">ill-conditioned, a constant positive factor is used instead. During application,</w:t>
      </w:r>
      <w:r>
        <w:t xml:space="preserve"> </w:t>
      </w:r>
      <w:r>
        <w:t xml:space="preserve">scores outside the fitted positive-score range use the nearest fitted range</w:t>
      </w:r>
      <w:r>
        <w:t xml:space="preserve"> </w:t>
      </w:r>
      <w:r>
        <w:t xml:space="preserve">boundary for the normalization factor. Each score is transformed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 </m:t>
          </m:r>
          <m:sSub>
            <m:e>
              <m: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sSub>
            <m:e>
              <m:r>
                <m:t>g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final maximum operation clips transformed values at zero, preserving the</w:t>
      </w:r>
      <w:r>
        <w:t xml:space="preserve"> </w:t>
      </w:r>
      <w:r>
        <w:t xml:space="preserve">interpretation that positive normalized values represent footprint-like</w:t>
      </w:r>
      <w:r>
        <w:t xml:space="preserve"> </w:t>
      </w:r>
      <w:r>
        <w:t xml:space="preserve">center-versus-flank evidence.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condition-quantile</w:t>
      </w:r>
      <w:r>
        <w:t xml:space="preserve"> </w:t>
      </w:r>
      <w:r>
        <w:t xml:space="preserve">mode first averages replicate background</w:t>
      </w:r>
      <w:r>
        <w:t xml:space="preserve"> </w:t>
      </w:r>
      <w:r>
        <w:t xml:space="preserve">distributions within each condition, fits one factor</w:t>
      </w:r>
      <w:r>
        <w:t xml:space="preserve"> </w:t>
      </w:r>
      <m:oMath>
        <m:sSub>
          <m:e>
            <m:r>
              <m:t>g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per condition, and</w:t>
      </w:r>
      <w:r>
        <w:t xml:space="preserve"> </w:t>
      </w:r>
      <w:r>
        <w:t xml:space="preserve">applies that condition-level factor to all replicates in the condition.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disables quantile normalization. The same normalization helper is</w:t>
      </w:r>
      <w:r>
        <w:t xml:space="preserve"> </w:t>
      </w:r>
      <w:r>
        <w:t xml:space="preserve">used by aggregate plotting, so differential comparison and motif-centered</w:t>
      </w:r>
      <w:r>
        <w:t xml:space="preserve"> </w:t>
      </w:r>
      <w:r>
        <w:t xml:space="preserve">visualization are normalized consistently.</w:t>
      </w:r>
    </w:p>
    <w:p>
      <w:pPr>
        <w:pStyle w:val="BodyText"/>
      </w:pPr>
      <w:r>
        <w:t xml:space="preserve">After normalization, condition-level scores are summarized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t>c</m:t>
                  </m:r>
                </m:sub>
              </m:sSub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c</m:t>
              </m:r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c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comparison between conditions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reports a</w:t>
      </w:r>
      <w:r>
        <w:t xml:space="preserve"> </w:t>
      </w:r>
      <w:r>
        <w:t xml:space="preserve">footprint-score difference and a stabilized log fold change,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sSub>
                    <m:e>
                      <m:r>
                        <m:t>c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ϵ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is estimated from the background signal unless supplied explicitly.</w:t>
      </w:r>
      <w:r>
        <w:t xml:space="preserve"> </w:t>
      </w:r>
      <w:r>
        <w:t xml:space="preserve">When both conditions have replicate support, approximate standard errors are</w:t>
      </w:r>
      <w:r>
        <w:t xml:space="preserve"> </w:t>
      </w:r>
      <w:r>
        <w:t xml:space="preserve">reported as descriptive summaries. Here,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denote the</w:t>
      </w:r>
      <w:r>
        <w:t xml:space="preserve"> </w:t>
      </w:r>
      <w:r>
        <w:t xml:space="preserve">condition-level mean scores for the two conditions at the included motif sites,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denote the corresponding empirical SD estimates across</w:t>
      </w:r>
      <w:r>
        <w:t xml:space="preserve"> </w:t>
      </w:r>
      <w:r>
        <w:t xml:space="preserve">replicates, and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replicate counts: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ln</m:t>
              </m:r>
              <m:r>
                <m:t>2</m:t>
              </m:r>
            </m:den>
          </m:f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the distribution-comparison view, the reported</w:t>
      </w:r>
      <w:r>
        <w:t xml:space="preserve"> </w:t>
      </w:r>
      <w:r>
        <w:rPr>
          <w:rStyle w:val="VerbatimChar"/>
        </w:rPr>
        <w:t xml:space="preserve">change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pvalue</w:t>
      </w:r>
      <w:r>
        <w:t xml:space="preserve"> </w:t>
      </w:r>
      <w:r>
        <w:t xml:space="preserve">columns are computed at the motif-reporting level. Candidate</w:t>
      </w:r>
      <w:r>
        <w:t xml:space="preserve"> </w:t>
      </w:r>
      <w:r>
        <w:t xml:space="preserve">sites are included</w:t>
      </w:r>
      <w:r>
        <w:t xml:space="preserve"> </w:t>
      </w:r>
      <w:r>
        <w:t xml:space="preserve">when either condition has a positive motif-site score, site-level log fold</w:t>
      </w:r>
      <w:r>
        <w:t xml:space="preserve"> </w:t>
      </w:r>
      <w:r>
        <w:t xml:space="preserve">changes are averaged within peak intervals, and the observed motif statistic is</w:t>
      </w:r>
      <w:r>
        <w:t xml:space="preserve"> </w:t>
      </w:r>
      <w:r>
        <w:t xml:space="preserve">defined as the difference between the fitted observed mean log fold change and</w:t>
      </w:r>
      <w:r>
        <w:t xml:space="preserve"> </w:t>
      </w:r>
      <w:r>
        <w:t xml:space="preserve">the fitted background mean, scaled by the average of the observed and background</w:t>
      </w:r>
      <w:r>
        <w:t xml:space="preserve"> </w:t>
      </w:r>
      <w:r>
        <w:t xml:space="preserve">SD estimates.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then simulates background change statistics from</w:t>
      </w:r>
      <w:r>
        <w:t xml:space="preserve"> </w:t>
      </w:r>
      <w:r>
        <w:t xml:space="preserve">the fitted background distribution using the same number of observed intervals</w:t>
      </w:r>
      <w:r>
        <w:t xml:space="preserve"> </w:t>
      </w:r>
      <w:r>
        <w:t xml:space="preserve">and applies a one-sample t-test comparing the simulated background changes with</w:t>
      </w:r>
      <w:r>
        <w:t xml:space="preserve"> </w:t>
      </w:r>
      <w:r>
        <w:t xml:space="preserve">the observed motif statistic. P-values are adjusted across motifs within each</w:t>
      </w:r>
      <w:r>
        <w:t xml:space="preserve"> </w:t>
      </w:r>
      <w:r>
        <w:t xml:space="preserve">contrast using Benjamini–Hochberg, yielding the</w:t>
      </w:r>
      <w:r>
        <w:t xml:space="preserve"> </w:t>
      </w:r>
      <w:r>
        <w:rPr>
          <w:rStyle w:val="VerbatimChar"/>
        </w:rPr>
        <w:t xml:space="preserve">qvalue_bh</w:t>
      </w:r>
      <w:r>
        <w:t xml:space="preserve"> </w:t>
      </w:r>
      <w:r>
        <w:t xml:space="preserve">column and</w:t>
      </w:r>
      <w:r>
        <w:t xml:space="preserve"> </w:t>
      </w:r>
      <w:r>
        <w:rPr>
          <w:rStyle w:val="VerbatimChar"/>
        </w:rPr>
        <w:t xml:space="preserve">significant_fdr05</w:t>
      </w:r>
      <w:r>
        <w:t xml:space="preserve"> </w:t>
      </w:r>
      <w:r>
        <w:t xml:space="preserve">flag. These p-values are screening statistics for the</w:t>
      </w:r>
      <w:r>
        <w:t xml:space="preserve"> </w:t>
      </w:r>
      <w:r>
        <w:t xml:space="preserve">motif-centered report, especially at small replicate counts; the SE columns are</w:t>
      </w:r>
      <w:r>
        <w:t xml:space="preserve"> </w:t>
      </w:r>
      <w:r>
        <w:t xml:space="preserve">reported separately as descriptive uncertainty summaries and are not themselves</w:t>
      </w:r>
      <w:r>
        <w:t xml:space="preserve"> </w:t>
      </w:r>
      <w:r>
        <w:t xml:space="preserve">the hypothesis-test statistic. The</w:t>
      </w:r>
      <w:r>
        <w:t xml:space="preserve"> </w:t>
      </w:r>
      <w:r>
        <w:rPr>
          <w:rStyle w:val="VerbatimChar"/>
        </w:rPr>
        <w:t xml:space="preserve">highlighted</w:t>
      </w:r>
      <w:r>
        <w:t xml:space="preserve"> </w:t>
      </w:r>
      <w:r>
        <w:t xml:space="preserve">column is retained only</w:t>
      </w:r>
      <w:r>
        <w:t xml:space="preserve"> </w:t>
      </w:r>
      <w:r>
        <w:t xml:space="preserve">as a report-selection and visualization flag, not as a formal</w:t>
      </w:r>
      <w:r>
        <w:t xml:space="preserve"> </w:t>
      </w:r>
      <w:r>
        <w:t xml:space="preserve">multiple-testing-corrected significance label. Additional replicate-oriented</w:t>
      </w:r>
      <w:r>
        <w:t xml:space="preserve"> </w:t>
      </w:r>
      <w:r>
        <w:t xml:space="preserve">columns include replicate counts, condition score SDs, mean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, mean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standard-error summaries.</w:t>
      </w:r>
    </w:p>
    <w:bookmarkEnd w:id="13"/>
    <w:bookmarkStart w:id="14" w:name="sec:processing_provenance"/>
    <w:p>
      <w:pPr>
        <w:pStyle w:val="Heading2"/>
      </w:pPr>
      <w:r>
        <w:t xml:space="preserve">Public ATAC Processing and Reproducibility Provenance</w:t>
      </w:r>
    </w:p>
    <w:p>
      <w:pPr>
        <w:pStyle w:val="FirstParagraph"/>
      </w:pPr>
      <w:r>
        <w:t xml:space="preserve">The bulk replicate demonstration uses true biological replicates from the</w:t>
      </w:r>
      <w:r>
        <w:t xml:space="preserve"> </w:t>
      </w:r>
      <w:r>
        <w:t xml:space="preserve">Buenrostro et al. ATAC-seq study </w:t>
      </w:r>
      <w:r>
        <w:t xml:space="preserve">: GM12878/B-cell samples</w:t>
      </w:r>
      <w:r>
        <w:t xml:space="preserve"> </w:t>
      </w:r>
      <w:r>
        <w:t xml:space="preserve">SRR891268 and SRR891269, and day-1 CD4 T-cell samples SRR891275 and SRR891276.</w:t>
      </w:r>
      <w:r>
        <w:t xml:space="preserve"> </w:t>
      </w:r>
      <w:r>
        <w:t xml:space="preserve">Reads were trimmed with fastp </w:t>
      </w:r>
      <w:r>
        <w:t xml:space="preserve">, aligned with Bowtie2 </w:t>
      </w:r>
      <w:r>
        <w:t xml:space="preserve">, processed with SAMtools </w:t>
      </w:r>
      <w:r>
        <w:t xml:space="preserve"> </w:t>
      </w:r>
      <w:r>
        <w:t xml:space="preserve">and BEDTools </w:t>
      </w:r>
      <w:r>
        <w:t xml:space="preserve">, and peaks were called with MACS3 using the MACS model-based peak-calling framework </w:t>
      </w:r>
      <w:r>
        <w:t xml:space="preserve">. Problematic genomic regions were filtered using the ENCODE blacklist </w:t>
      </w:r>
      <w:r>
        <w:t xml:space="preserve">. Replicate peaks were merged into a common peak universe, bias-corrected, footprint-called,</w:t>
      </w:r>
      <w:r>
        <w:t xml:space="preserve"> </w:t>
      </w:r>
      <w:r>
        <w:t xml:space="preserve">and analyzed by differential footprint comparison with and without sample-level</w:t>
      </w:r>
      <w:r>
        <w:t xml:space="preserve"> </w:t>
      </w:r>
      <w:r>
        <w:t xml:space="preserve">quantile normalization. The analysis used JASPAR 2026 CORE vertebrates</w:t>
      </w:r>
      <w:r>
        <w:t xml:space="preserve"> </w:t>
      </w:r>
      <w:r>
        <w:t xml:space="preserve">non-redundant motifs </w:t>
      </w:r>
      <w:r>
        <w:t xml:space="preserve"> </w:t>
      </w:r>
      <w:r>
        <w:t xml:space="preserve">for known-motif scanning. Exact command-line parameters and software versions are recorded in source TSV</w:t>
      </w:r>
      <w:r>
        <w:t xml:space="preserve"> </w:t>
      </w:r>
      <w:r>
        <w:t xml:space="preserve">files in the manuscript</w:t>
      </w:r>
      <w:r>
        <w:t xml:space="preserve"> </w:t>
      </w:r>
      <w:r>
        <w:rPr>
          <w:rStyle w:val="VerbatimChar"/>
        </w:rPr>
        <w:t xml:space="preserve">tables</w:t>
      </w:r>
      <w:r>
        <w:t xml:space="preserve"> </w:t>
      </w:r>
      <w:r>
        <w:t xml:space="preserve">directory and summarized in</w:t>
      </w:r>
      <w:r>
        <w:t xml:space="preserve"> </w:t>
      </w:r>
      <w:r>
        <w:t xml:space="preserve">Tables </w:t>
      </w:r>
      <w:hyperlink w:anchor="tab:supp_analysis_parameters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and</w:t>
      </w:r>
      <w:r>
        <w:t xml:space="preserve"> </w:t>
      </w:r>
      <w:hyperlink w:anchor="tab:supp_software_versions">
        <w:r>
          <w:rPr>
            <w:rStyle w:val="Hyperlink"/>
          </w:rPr>
          <w:t xml:space="preserve">3</w:t>
        </w:r>
      </w:hyperlink>
      <w:r>
        <w:t xml:space="preserve">.</w:t>
      </w:r>
    </w:p>
    <w:bookmarkEnd w:id="14"/>
    <w:bookmarkStart w:id="15" w:name="X3dba36dd5da1e61b1c6dd489013b360ce3991d7"/>
    <w:p>
      <w:pPr>
        <w:pStyle w:val="Heading2"/>
      </w:pPr>
      <w:r>
        <w:t xml:space="preserve">Public Data, Demonstration Tiers, and Metrics</w:t>
      </w:r>
    </w:p>
    <w:p>
      <w:pPr>
        <w:pStyle w:val="FirstParagraph"/>
      </w:pPr>
      <w:r>
        <w:t xml:space="preserve">Public inputs are organized as versioned TSV manifests recording source,</w:t>
      </w:r>
      <w:r>
        <w:t xml:space="preserve"> </w:t>
      </w:r>
      <w:r>
        <w:t xml:space="preserve">demonstration tier, cell type, donor, assay, accessions, assembly, output type,</w:t>
      </w:r>
      <w:r>
        <w:t xml:space="preserve"> </w:t>
      </w:r>
      <w:r>
        <w:t xml:space="preserve">format, URL, checksum, status, local path, split, and notes. Discovery and</w:t>
      </w:r>
      <w:r>
        <w:t xml:space="preserve"> </w:t>
      </w:r>
      <w:r>
        <w:t xml:space="preserve">download scripts query public repositories such as ENCODE </w:t>
      </w:r>
      <w:r>
        <w:t xml:space="preserve"> </w:t>
      </w:r>
      <w:r>
        <w:t xml:space="preserve">for</w:t>
      </w:r>
      <w:r>
        <w:t xml:space="preserve"> </w:t>
      </w:r>
      <w:r>
        <w:t xml:space="preserve">released human GRCh38 ATAC-seq records, write resumable download reports, and</w:t>
      </w:r>
      <w:r>
        <w:t xml:space="preserve"> </w:t>
      </w:r>
      <w:r>
        <w:t xml:space="preserve">keep raw public data out of version control. The tracked repository contains the</w:t>
      </w:r>
      <w:r>
        <w:t xml:space="preserve"> </w:t>
      </w:r>
      <w:r>
        <w:t xml:space="preserve">scripts, manifests, schemas, small reference inputs, source tables, and figure</w:t>
      </w:r>
      <w:r>
        <w:t xml:space="preserve"> </w:t>
      </w:r>
      <w:r>
        <w:t xml:space="preserve">code needed to rerun the manuscript analyses.</w:t>
      </w:r>
    </w:p>
    <w:p>
      <w:pPr>
        <w:pStyle w:val="BodyText"/>
      </w:pPr>
      <w:r>
        <w:t xml:space="preserve">The demonstration design follows published recommendations for transparent and</w:t>
      </w:r>
      <w:r>
        <w:t xml:space="preserve"> </w:t>
      </w:r>
      <w:r>
        <w:t xml:space="preserve">reproducible computational method evaluation </w:t>
      </w:r>
      <w:r>
        <w:t xml:space="preserve">,</w:t>
      </w:r>
      <w:r>
        <w:t xml:space="preserve"> </w:t>
      </w:r>
      <w:r>
        <w:t xml:space="preserve">but it is not intended as an exhaustive head-to-head benchmark of all ATAC</w:t>
      </w:r>
      <w:r>
        <w:t xml:space="preserve"> </w:t>
      </w:r>
      <w:r>
        <w:t xml:space="preserve">footprinting methods. Instead, it is organized as a tiered software-evaluation</w:t>
      </w:r>
      <w:r>
        <w:t xml:space="preserve"> </w:t>
      </w:r>
      <w:r>
        <w:t xml:space="preserve">design (Table </w:t>
      </w:r>
      <w:hyperlink w:anchor="tab:tiers">
        <w:r>
          <w:rPr>
            <w:rStyle w:val="Hyperlink"/>
          </w:rPr>
          <w:t xml:space="preserve">[tab:tiers]</w:t>
        </w:r>
      </w:hyperlink>
      <w:r>
        <w:t xml:space="preserve">): a small-reference regression tier; a bulk ATAC</w:t>
      </w:r>
      <w:r>
        <w:t xml:space="preserve"> </w:t>
      </w:r>
      <w:r>
        <w:t xml:space="preserve">replicate tier; a depth-robustness tier over downsampled ATAC; a de novo</w:t>
      </w:r>
      <w:r>
        <w:t xml:space="preserve"> </w:t>
      </w:r>
      <w:r>
        <w:t xml:space="preserve">motif-preparation tier; and a real-data pseudobulk tier. Summary tables report</w:t>
      </w:r>
      <w:r>
        <w:t xml:space="preserve"> </w:t>
      </w:r>
      <w:r>
        <w:t xml:space="preserve">command success, output integrity, runtime, memory, differential footprint</w:t>
      </w:r>
      <w:r>
        <w:t xml:space="preserve"> </w:t>
      </w:r>
      <w:r>
        <w:t xml:space="preserve">summaries, motif-recovery summaries, and generated figures for the analyses</w:t>
      </w:r>
      <w:r>
        <w:t xml:space="preserve"> </w:t>
      </w:r>
      <w:r>
        <w:t xml:space="preserve">included in this manuscript.</w:t>
      </w:r>
    </w:p>
    <w:p>
      <w:pPr>
        <w:pStyle w:val="BodyText"/>
      </w:pPr>
      <w:r>
        <w:t xml:space="preserve">&gt;</w:t>
      </w:r>
    </w:p>
    <w:p>
      <w:pPr>
        <w:pStyle w:val="BodyText"/>
      </w:pPr>
    </w:p>
    <w:p>
      <w:pPr>
        <w:pStyle w:val="BodyText"/>
      </w:pPr>
      <w:r>
        <w:t xml:space="preserve">p</w:t>
      </w:r>
      <w:r>
        <w:t xml:space="preserve">0.23</w:t>
      </w:r>
      <w:r>
        <w:t xml:space="preserve">YY</w:t>
      </w:r>
    </w:p>
    <w:p>
      <w:pPr>
        <w:pStyle w:val="BodyText"/>
      </w:pPr>
      <w:r>
        <w:rPr>
          <w:b/>
          <w:bCs/>
        </w:rPr>
        <w:t xml:space="preserve">Tier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Purpose</w:t>
      </w:r>
      <w:r>
        <w:t xml:space="preserve"> </w:t>
      </w:r>
      <w:r>
        <w:t xml:space="preserve">&amp;</w:t>
      </w:r>
      <w:r>
        <w:t xml:space="preserve"> </w:t>
      </w:r>
      <w:r>
        <w:rPr>
          <w:b/>
          <w:bCs/>
        </w:rPr>
        <w:t xml:space="preserve">Primary outputs</w:t>
      </w:r>
      <w:r>
        <w:br/>
      </w:r>
      <w:r>
        <w:t xml:space="preserve">Small reference &amp; Installation and regression checks on compact inputs &amp; command success, output existence, stable summaries</w:t>
      </w:r>
      <w:r>
        <w:br/>
      </w:r>
      <w:r>
        <w:t xml:space="preserve">Bulk ATAC replicates &amp; Public bulk ATAC replicate demonstrations for footprinting and differential reports &amp; corrected tracks, footprint scores, motif reports, aggregate plots</w:t>
      </w:r>
      <w:r>
        <w:br/>
      </w:r>
      <w:r>
        <w:t xml:space="preserve">Depth robustness &amp; Shallow-depth sensitivity (50/25/10/5%) &amp; downsampled workflow summaries and output checks</w:t>
      </w:r>
      <w:r>
        <w:br/>
      </w:r>
      <w:r>
        <w:t xml:space="preserve">De novo motif prep &amp; Candidate FASTA and motif-discovery validation &amp; exported FASTA files and motif summaries</w:t>
      </w:r>
      <w:r>
        <w:br/>
      </w:r>
      <w:r>
        <w:t xml:space="preserve">Pseudobulk &amp; Single-cell extension and real-data demonstration &amp; 10x PBMC pseudobulk fragments, corrected footprint tracks, pairwise TF differential plots, KNN marker-signature UMAPs</w:t>
      </w:r>
      <w:r>
        <w:br/>
      </w:r>
    </w:p>
    <w:bookmarkEnd w:id="15"/>
    <w:bookmarkStart w:id="16" w:name="reproducibility-engineering"/>
    <w:p>
      <w:pPr>
        <w:pStyle w:val="Heading2"/>
      </w:pPr>
      <w:r>
        <w:t xml:space="preserve">Reproducibility Engineering</w:t>
      </w:r>
    </w:p>
    <w:p>
      <w:pPr>
        <w:pStyle w:val="FirstParagraph"/>
      </w:pPr>
      <w:r>
        <w:t xml:space="preserve">The package ships a unit-test suite covering numerical helpers, CLI behavior, and</w:t>
      </w:r>
      <w:r>
        <w:t xml:space="preserve"> </w:t>
      </w:r>
      <w:r>
        <w:t xml:space="preserve">deterministic golden CLI regressions for footprint calling, differential footprint analysis,</w:t>
      </w:r>
      <w:r>
        <w:t xml:space="preserve"> </w:t>
      </w:r>
      <w:r>
        <w:t xml:space="preserve">and aggregate plotting, with an opt-in slow regression for bias correction. A</w:t>
      </w:r>
      <w:r>
        <w:t xml:space="preserve"> </w:t>
      </w:r>
      <w:r>
        <w:t xml:space="preserve">continuous-integration workflow runs the suite on a clean checkout using compact</w:t>
      </w:r>
      <w:r>
        <w:t xml:space="preserve"> </w:t>
      </w:r>
      <w:r>
        <w:t xml:space="preserve">reference inputs, builds source and wheel artifacts, and verifies the installed</w:t>
      </w:r>
      <w:r>
        <w:t xml:space="preserve"> </w:t>
      </w:r>
      <w:r>
        <w:t xml:space="preserve">console scripts. The repository includes</w:t>
      </w:r>
      <w:r>
        <w:t xml:space="preserve"> </w:t>
      </w:r>
      <w:r>
        <w:rPr>
          <w:rStyle w:val="VerbatimChar"/>
        </w:rPr>
        <w:t xml:space="preserve">environment.yml</w:t>
      </w:r>
      <w:r>
        <w:t xml:space="preserve">, a Dockerfile, release metadata, and Make targets for</w:t>
      </w:r>
      <w:r>
        <w:t xml:space="preserve"> </w:t>
      </w:r>
      <w:r>
        <w:t xml:space="preserve">test, build, and manuscript-smoke workflows; these choices follow FAIR-oriented</w:t>
      </w:r>
      <w:r>
        <w:t xml:space="preserve"> </w:t>
      </w:r>
      <w:r>
        <w:t xml:space="preserve">research-software principles and established bioinformatics environment practices </w:t>
      </w:r>
      <w:r>
        <w:t xml:space="preserve">. Detailed reviewer instructions are</w:t>
      </w:r>
      <w:r>
        <w:t xml:space="preserve"> </w:t>
      </w:r>
      <w:r>
        <w:t xml:space="preserve">kept in</w:t>
      </w:r>
      <w:r>
        <w:t xml:space="preserve"> </w:t>
      </w:r>
      <w:r>
        <w:rPr>
          <w:rStyle w:val="VerbatimChar"/>
        </w:rPr>
        <w:t xml:space="preserve">docs/reproduce-paper.md</w:t>
      </w:r>
      <w:r>
        <w:t xml:space="preserve">. Benchmark scripts record</w:t>
      </w:r>
      <w:r>
        <w:t xml:space="preserve"> </w:t>
      </w:r>
      <w:r>
        <w:t xml:space="preserve">random seeds, tool versions, command lines, and resolved manifests alongside the</w:t>
      </w:r>
      <w:r>
        <w:t xml:space="preserve"> </w:t>
      </w:r>
      <w:r>
        <w:t xml:space="preserve">corresponding outputs.</w:t>
      </w:r>
      <w:r>
        <w:t xml:space="preserve"> </w:t>
      </w:r>
      <w:r>
        <w:t xml:space="preserve">Figure source tables and editable figure files are retained for auditability.</w:t>
      </w:r>
    </w:p>
    <w:bookmarkEnd w:id="16"/>
    <w:bookmarkEnd w:id="17"/>
    <w:bookmarkStart w:id="55" w:name="results"/>
    <w:p>
      <w:pPr>
        <w:pStyle w:val="Heading1"/>
      </w:pPr>
      <w:r>
        <w:t xml:space="preserve">Results</w:t>
      </w:r>
    </w:p>
    <w:p>
      <w:pPr>
        <w:pStyle w:val="FirstParagraph"/>
      </w:pPr>
      <w:r>
        <w:t xml:space="preserve">We evaluate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as a software and reproducibility platform along</w:t>
      </w:r>
      <w:r>
        <w:t xml:space="preserve"> </w:t>
      </w:r>
      <w:r>
        <w:t xml:space="preserve">three axes: workflow integration and command stability, controlled local</w:t>
      </w:r>
      <w:r>
        <w:t xml:space="preserve"> </w:t>
      </w:r>
      <w:r>
        <w:t xml:space="preserve">engineering measurements, and biological plausibility in public bulk and</w:t>
      </w:r>
      <w:r>
        <w:t xml:space="preserve"> </w:t>
      </w:r>
      <w:r>
        <w:t xml:space="preserve">single-cell ATAC-seq demonstrations.</w:t>
      </w:r>
    </w:p>
    <w:bookmarkStart w:id="23" w:name="X1d12b030c0e011596b18f05c9592026058c5dde"/>
    <w:p>
      <w:pPr>
        <w:pStyle w:val="Heading2"/>
      </w:pPr>
      <w:r>
        <w:t xml:space="preserve">A Unified, Reproducible Footprinting Platform</w:t>
      </w:r>
    </w:p>
    <w:p>
      <w:pPr>
        <w:pStyle w:val="FirstParagraph"/>
      </w:pPr>
      <w:r>
        <w:rPr>
          <w:rStyle w:val="VerbatimChar"/>
        </w:rPr>
        <w:t xml:space="preserve">fp-tools</w:t>
      </w:r>
      <w:r>
        <w:t xml:space="preserve"> </w:t>
      </w:r>
      <w:r>
        <w:t xml:space="preserve">consolidates the core ATAC-seq footprinting steps into a</w:t>
      </w:r>
      <w:r>
        <w:t xml:space="preserve"> </w:t>
      </w:r>
      <w:r>
        <w:t xml:space="preserve">single, consistent workflow with shared region/signal conventions, so a complete</w:t>
      </w:r>
      <w:r>
        <w:t xml:space="preserve"> </w:t>
      </w:r>
      <w:r>
        <w:t xml:space="preserve">analysis, including bias correction, footprint calling, differential footprint analysis, and aggregate</w:t>
      </w:r>
      <w:r>
        <w:t xml:space="preserve"> </w:t>
      </w:r>
      <w:r>
        <w:t xml:space="preserve">visualization, runs without crossing package boundaries or reformatting</w:t>
      </w:r>
      <w:r>
        <w:t xml:space="preserve"> </w:t>
      </w:r>
      <w:r>
        <w:t xml:space="preserve">intermediates. YAML configuration records the same analysis in a</w:t>
      </w:r>
      <w:r>
        <w:t xml:space="preserve"> </w:t>
      </w:r>
      <w:r>
        <w:t xml:space="preserve">machine-readable form for reruns and batch processing</w:t>
      </w:r>
      <w:r>
        <w:t xml:space="preserve"> </w:t>
      </w:r>
      <w:r>
        <w:t xml:space="preserve">(Figure </w:t>
      </w:r>
      <w:hyperlink w:anchor="fig:workflow_overview">
        <w:r>
          <w:rPr>
            <w:rStyle w:val="Hyperlink"/>
          </w:rPr>
          <w:t xml:space="preserve">1</w:t>
        </w:r>
      </w:hyperlink>
      <w:r>
        <w:t xml:space="preserve">).</w:t>
      </w:r>
    </w:p>
    <w:bookmarkStart w:id="22" w:name="fig:workflow_overview"/>
    <w:p>
      <w:pPr>
        <w:pStyle w:val="CaptionedFigure"/>
      </w:pPr>
      <w:r>
        <w:drawing>
          <wp:inline>
            <wp:extent cx="5334000" cy="6902823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figures/Fig1.pdf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Overview of the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ATAC-seq footprinting platform.</w:t>
      </w:r>
      <w:r>
        <w:t xml:space="preserve"> </w:t>
      </w:r>
      <w:r>
        <w:t xml:space="preserve">Bulk ATAC-seq BAM/fragments and single-cell ATAC fragments with annotations enter</w:t>
      </w:r>
      <w:r>
        <w:t xml:space="preserve"> </w:t>
      </w:r>
      <w:r>
        <w:t xml:space="preserve">a shared command-oriented workflow. The workflow supports Tn5 bias correction,</w:t>
      </w:r>
      <w:r>
        <w:t xml:space="preserve"> </w:t>
      </w:r>
      <w:r>
        <w:t xml:space="preserve">footprint calling, motif matching against curated databases, de novo motif</w:t>
      </w:r>
      <w:r>
        <w:t xml:space="preserve"> </w:t>
      </w:r>
      <w:r>
        <w:t xml:space="preserve">discovery, replicate-aware differential footprint analysis, aggregate footprint</w:t>
      </w:r>
      <w:r>
        <w:t xml:space="preserve"> </w:t>
      </w:r>
      <w:r>
        <w:t xml:space="preserve">visualization, and pseudobulk single-cell footprint analysis.</w:t>
      </w:r>
      <w:r>
        <w:t xml:space="preserve"> </w:t>
      </w:r>
      <w:bookmarkStart w:id="21" w:name="fig:workflow_overview"/>
      <w:bookmarkEnd w:id="21"/>
    </w:p>
    <w:bookmarkEnd w:id="22"/>
    <w:bookmarkEnd w:id="23"/>
    <w:bookmarkStart w:id="24" w:name="interactive-interfaces-and-report-review"/>
    <w:p>
      <w:pPr>
        <w:pStyle w:val="Heading2"/>
      </w:pPr>
      <w:r>
        <w:t xml:space="preserve">Interactive Interfaces and Report Review</w:t>
      </w:r>
    </w:p>
    <w:p>
      <w:pPr>
        <w:pStyle w:val="FirstParagraph"/>
      </w:pPr>
      <w:r>
        <w:t xml:space="preserve">In addition to direct command-line execution,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provides browser-based interfaces for configuring analyses and reviewing results. The GUI writes reusable YAML configurations that remain compatible with command-line execution and provides guided panels for the same core commands shown in the command-line documentation (Figure </w:t>
      </w:r>
      <w:hyperlink w:anchor="fig:gui_interface">
        <w:r>
          <w:rPr>
            <w:rStyle w:val="Hyperlink"/>
          </w:rPr>
          <w:t xml:space="preserve">6</w:t>
        </w:r>
      </w:hyperlink>
      <w:r>
        <w:t xml:space="preserve">). Differential-footprint and aggregate-batch workflows also produce</w:t>
      </w:r>
      <w:r>
        <w:t xml:space="preserve"> </w:t>
      </w:r>
      <w:r>
        <w:t xml:space="preserve">self-contained HTML reports with embedded compressed data, searchable motif controls,</w:t>
      </w:r>
      <w:r>
        <w:t xml:space="preserve"> </w:t>
      </w:r>
      <w:r>
        <w:t xml:space="preserve">editable group colors, synchronized aggregate profiles, and SVG export for</w:t>
      </w:r>
      <w:r>
        <w:t xml:space="preserve"> </w:t>
      </w:r>
      <w:r>
        <w:t xml:space="preserve">publication-ready editing.</w:t>
      </w:r>
    </w:p>
    <w:bookmarkEnd w:id="24"/>
    <w:bookmarkStart w:id="25" w:name="regression-tested-workflow-outputs"/>
    <w:p>
      <w:pPr>
        <w:pStyle w:val="Heading2"/>
      </w:pPr>
      <w:r>
        <w:t xml:space="preserve">Regression-tested Workflow Outputs</w:t>
      </w:r>
    </w:p>
    <w:p>
      <w:pPr>
        <w:pStyle w:val="FirstParagraph"/>
      </w:pPr>
      <w:r>
        <w:t xml:space="preserve">The footprinting workflow is covered by deterministic regression tests that pin</w:t>
      </w:r>
      <w:r>
        <w:t xml:space="preserve"> </w:t>
      </w:r>
      <w:r>
        <w:t xml:space="preserve">summary outputs for footprint calling, differential footprint analysis, and</w:t>
      </w:r>
      <w:r>
        <w:t xml:space="preserve"> </w:t>
      </w:r>
      <w:r>
        <w:t xml:space="preserve">aggregate plotting. Public entry-point checks and YAML dry-runs verify that the</w:t>
      </w:r>
      <w:r>
        <w:t xml:space="preserve"> </w:t>
      </w:r>
      <w:r>
        <w:t xml:space="preserve">command surface remains stable. These tests provide a reproducible contract for</w:t>
      </w:r>
      <w:r>
        <w:t xml:space="preserve"> </w:t>
      </w:r>
      <w:r>
        <w:t xml:space="preserve">core analyses while allowing integrated modules to share the same input and output</w:t>
      </w:r>
      <w:r>
        <w:t xml:space="preserve"> </w:t>
      </w:r>
      <w:r>
        <w:t xml:space="preserve">conventions.</w:t>
      </w:r>
    </w:p>
    <w:bookmarkEnd w:id="25"/>
    <w:bookmarkStart w:id="36" w:name="Xd39471bb8592f948e8a0bb2eb2de2159bacceab"/>
    <w:p>
      <w:pPr>
        <w:pStyle w:val="Heading2"/>
      </w:pPr>
      <w:r>
        <w:t xml:space="preserve">De Novo Motif Discovery Complements Database-based Motif Analysis</w:t>
      </w:r>
    </w:p>
    <w:p>
      <w:pPr>
        <w:pStyle w:val="FirstParagraph"/>
      </w:pPr>
      <w:r>
        <w:t xml:space="preserve">The de novo motif-preparation path exports candidate-centered FASTA files,</w:t>
      </w:r>
      <w:r>
        <w:t xml:space="preserve"> </w:t>
      </w:r>
      <w:r>
        <w:t xml:space="preserve">applies MEME, DREME, or STREME, optionally adds a Tomtom comparison against a</w:t>
      </w:r>
      <w:r>
        <w:t xml:space="preserve"> </w:t>
      </w:r>
      <w:r>
        <w:t xml:space="preserve">known motif database, and summarizes motif results into TSV/HTML reports with</w:t>
      </w:r>
      <w:r>
        <w:t xml:space="preserve"> </w:t>
      </w:r>
      <w:r>
        <w:t xml:space="preserve">inline consensus logos. This keeps motif discovery reproducible while relying</w:t>
      </w:r>
      <w:r>
        <w:t xml:space="preserve"> </w:t>
      </w:r>
      <w:r>
        <w:t xml:space="preserve">on established motif-discovery algorithms.</w:t>
      </w:r>
      <w:r>
        <w:t xml:space="preserve"> </w:t>
      </w:r>
      <w:r>
        <w:t xml:space="preserve">The workflow can be used alone to discover recurring patterns in candidate</w:t>
      </w:r>
      <w:r>
        <w:t xml:space="preserve"> </w:t>
      </w:r>
      <w:r>
        <w:t xml:space="preserve">intervals, or after known-motif scanning to find additional motifs not represented</w:t>
      </w:r>
      <w:r>
        <w:t xml:space="preserve"> </w:t>
      </w:r>
      <w:r>
        <w:t xml:space="preserve">in the selected database.</w:t>
      </w:r>
    </w:p>
    <w:p>
      <w:pPr>
        <w:pStyle w:val="BodyText"/>
      </w:pPr>
      <w:r>
        <w:t xml:space="preserve">We therefore evaluated whether candidate-derived motifs add information beyond a fixed</w:t>
      </w:r>
      <w:r>
        <w:t xml:space="preserve"> </w:t>
      </w:r>
      <w:r>
        <w:t xml:space="preserve">database using a 3-vs-3 public ENCODE K562 versus HepG2 ATAC-seq comparison </w:t>
      </w:r>
      <w:r>
        <w:t xml:space="preserve">.</w:t>
      </w:r>
      <w:r>
        <w:t xml:space="preserve"> </w:t>
      </w:r>
      <w:r>
        <w:t xml:space="preserve">Candidate footprints were called from bias-corrected cut-site tracks,</w:t>
      </w:r>
      <w:r>
        <w:t xml:space="preserve"> </w:t>
      </w:r>
      <w:r>
        <w:t xml:space="preserve">condition-specific candidate FASTA files were exported with 75 bp flanks, and</w:t>
      </w:r>
      <w:r>
        <w:t xml:space="preserve"> </w:t>
      </w:r>
      <w:r>
        <w:t xml:space="preserve">STREME was run reciprocally with K562 candidates against HepG2 controls and</w:t>
      </w:r>
      <w:r>
        <w:t xml:space="preserve"> </w:t>
      </w:r>
      <w:r>
        <w:t xml:space="preserve">HepG2 candidates against K562 controls. These discovered motifs were then used</w:t>
      </w:r>
      <w:r>
        <w:t xml:space="preserve"> </w:t>
      </w:r>
      <w:r>
        <w:t xml:space="preserve">in two modes. In de novo-only mode, the candidate-derived motifs were tested as</w:t>
      </w:r>
      <w:r>
        <w:t xml:space="preserve"> </w:t>
      </w:r>
      <w:r>
        <w:t xml:space="preserve">their own motif set. In supplement mode, the same motifs were appended to a known</w:t>
      </w:r>
      <w:r>
        <w:t xml:space="preserve"> </w:t>
      </w:r>
      <w:r>
        <w:t xml:space="preserve">motif database before running the sample-quantile-normalized differential-footprint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The full JASPAR 2026 vertebrate non-redundant set contained 1019 motifs, while</w:t>
      </w:r>
      <w:r>
        <w:t xml:space="preserve"> </w:t>
      </w:r>
      <w:r>
        <w:t xml:space="preserve">the expanded reciprocal STREME runs contributed 500 candidate-derived motifs</w:t>
      </w:r>
      <w:r>
        <w:t xml:space="preserve"> </w:t>
      </w:r>
      <w:r>
        <w:t xml:space="preserve">from both ENCODE cell lines. We therefore interpret this run as a site-recovery</w:t>
      </w:r>
      <w:r>
        <w:t xml:space="preserve"> </w:t>
      </w:r>
      <w:r>
        <w:t xml:space="preserve">demonstration of how far de novo-only discovery can cover database-supported</w:t>
      </w:r>
      <w:r>
        <w:t xml:space="preserve"> </w:t>
      </w:r>
      <w:r>
        <w:t xml:space="preserve">footprints, rather than as an exhaustive replacement for a curated motif</w:t>
      </w:r>
      <w:r>
        <w:t xml:space="preserve"> </w:t>
      </w:r>
      <w:r>
        <w:t xml:space="preserve">database. In de novo-only mode, recovery was measured as base-pair overlap after</w:t>
      </w:r>
      <w:r>
        <w:t xml:space="preserve"> </w:t>
      </w:r>
      <w:r>
        <w:t xml:space="preserve">merging the bound-site windows produced by the de novo scan and the corresponding</w:t>
      </w:r>
      <w:r>
        <w:t xml:space="preserve"> </w:t>
      </w:r>
      <w:r>
        <w:t xml:space="preserve">JASPAR-supported scan. By this operational overlap metric, the discovered motifs</w:t>
      </w:r>
      <w:r>
        <w:t xml:space="preserve"> </w:t>
      </w:r>
      <w:r>
        <w:t xml:space="preserve">recovered 84.0% of merged JASPAR-supported bound-site-window base pairs across</w:t>
      </w:r>
      <w:r>
        <w:t xml:space="preserve"> </w:t>
      </w:r>
      <w:r>
        <w:t xml:space="preserve">the K562/HepG2 comparison, while 16.0% remained unique to the full JASPAR scan.</w:t>
      </w:r>
      <w:r>
        <w:t xml:space="preserve"> </w:t>
      </w:r>
      <w:r>
        <w:t xml:space="preserve">The de novo-only scan also introduced additional candidate-derived bound-site</w:t>
      </w:r>
      <w:r>
        <w:t xml:space="preserve"> </w:t>
      </w:r>
      <w:r>
        <w:t xml:space="preserve">windows, corresponding to 6.0% of the de novo-only merged window base pairs.</w:t>
      </w:r>
      <w:r>
        <w:t xml:space="preserve"> </w:t>
      </w:r>
      <w:r>
        <w:t xml:space="preserve">In supplement mode,</w:t>
      </w:r>
      <w:r>
        <w:t xml:space="preserve"> </w:t>
      </w:r>
      <w:r>
        <w:t xml:space="preserve">discovered motifs are appended to known motif sets before the same motif-aware</w:t>
      </w:r>
      <w:r>
        <w:t xml:space="preserve"> </w:t>
      </w:r>
      <w:r>
        <w:t xml:space="preserve">differential footprint analysis. To create a sensitivity test, we also</w:t>
      </w:r>
      <w:r>
        <w:t xml:space="preserve"> </w:t>
      </w:r>
      <w:r>
        <w:t xml:space="preserve">constructed a K562/HepG2-focused restricted JASPAR 2026 set with 867 motifs by</w:t>
      </w:r>
      <w:r>
        <w:t xml:space="preserve"> </w:t>
      </w:r>
      <w:r>
        <w:t xml:space="preserve">removing common erythroid/K562 and liver/HepG2 motif families, then reran the</w:t>
      </w:r>
      <w:r>
        <w:t xml:space="preserve"> </w:t>
      </w:r>
      <w:r>
        <w:t xml:space="preserve">comparison with and without the de novo motifs. In the interactive report, the</w:t>
      </w:r>
      <w:r>
        <w:t xml:space="preserve"> </w:t>
      </w:r>
      <w:r>
        <w:t xml:space="preserve">restricted database yielded 92 display-priority motif families according to the</w:t>
      </w:r>
      <w:r>
        <w:t xml:space="preserve"> </w:t>
      </w:r>
      <w:r>
        <w:rPr>
          <w:rStyle w:val="VerbatimChar"/>
        </w:rPr>
        <w:t xml:space="preserve">highlighted</w:t>
      </w:r>
      <w:r>
        <w:t xml:space="preserve"> </w:t>
      </w:r>
      <w:r>
        <w:t xml:space="preserve">report-selection flag; adding the 500 de novo motifs</w:t>
      </w:r>
      <w:r>
        <w:t xml:space="preserve"> </w:t>
      </w:r>
      <w:r>
        <w:t xml:space="preserve">increased this browsing set to 153 families, including 24 de novo-derived motifs.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highlighted</w:t>
      </w:r>
      <w:r>
        <w:t xml:space="preserve"> </w:t>
      </w:r>
      <w:r>
        <w:t xml:space="preserve">is not a multiple-testing-corrected significance</w:t>
      </w:r>
      <w:r>
        <w:t xml:space="preserve"> </w:t>
      </w:r>
      <w:r>
        <w:t xml:space="preserve">label, these counts are interpreted only as report-prioritization output, not as</w:t>
      </w:r>
      <w:r>
        <w:t xml:space="preserve"> </w:t>
      </w:r>
      <w:r>
        <w:t xml:space="preserve">formal evidence for additional significant motif families.</w:t>
      </w:r>
      <w:r>
        <w:t xml:space="preserve"> </w:t>
      </w:r>
      <w:r>
        <w:t xml:space="preserve">This sensitivity test illustrates the intended use case: when a chosen motif</w:t>
      </w:r>
      <w:r>
        <w:t xml:space="preserve"> </w:t>
      </w:r>
      <w:r>
        <w:t xml:space="preserve">database is incomplete or conservative, candidate-derived motifs can be evaluated</w:t>
      </w:r>
      <w:r>
        <w:t xml:space="preserve"> </w:t>
      </w:r>
      <w:r>
        <w:t xml:space="preserve">on their own and can also be carried forward into the same differential footprint</w:t>
      </w:r>
      <w:r>
        <w:t xml:space="preserve"> </w:t>
      </w:r>
      <w:r>
        <w:t xml:space="preserve">report as database-supported motifs (Figure </w:t>
      </w:r>
      <w:hyperlink w:anchor="fig:denovo_validation">
        <w:r>
          <w:rPr>
            <w:rStyle w:val="Hyperlink"/>
          </w:rPr>
          <w:t xml:space="preserve">2</w:t>
        </w:r>
      </w:hyperlink>
      <w:r>
        <w:t xml:space="preserve">).</w:t>
      </w:r>
    </w:p>
    <w:bookmarkStart w:id="30" w:name="fig:denovo_validation"/>
    <w:p>
      <w:pPr>
        <w:pStyle w:val="CaptionedFigure"/>
      </w:pPr>
      <w:r>
        <w:drawing>
          <wp:inline>
            <wp:extent cx="4660900" cy="48133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gures/Fig2.pdf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0900" cy="4813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De novo motif discovery and validation workflow.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Candidate footprint or BED intervals are converted into centered</w:t>
      </w:r>
      <w:r>
        <w:t xml:space="preserve"> </w:t>
      </w:r>
      <w:r>
        <w:t xml:space="preserve">FASTA sequences, analyzed with MEME/DREME/STREME, and summarized as motif tables</w:t>
      </w:r>
      <w:r>
        <w:t xml:space="preserve"> </w:t>
      </w:r>
      <w:r>
        <w:t xml:space="preserve">and reports. (</w:t>
      </w:r>
      <w:r>
        <w:rPr>
          <w:b/>
          <w:bCs/>
        </w:rPr>
        <w:t xml:space="preserve">B</w:t>
      </w:r>
      <w:r>
        <w:t xml:space="preserve">) Merged site-window coverage compares shared and</w:t>
      </w:r>
      <w:r>
        <w:t xml:space="preserve"> </w:t>
      </w:r>
      <w:r>
        <w:t xml:space="preserve">de novo-only motif-supported intervals in K562 and HepG2. (</w:t>
      </w:r>
      <w:r>
        <w:rPr>
          <w:b/>
          <w:bCs/>
        </w:rPr>
        <w:t xml:space="preserve">C,D</w:t>
      </w:r>
      <w:r>
        <w:t xml:space="preserve">)</w:t>
      </w:r>
      <w:r>
        <w:t xml:space="preserve"> </w:t>
      </w:r>
      <w:r>
        <w:t xml:space="preserve">Representative K562 and HepG2 de novo motifs show footprint-like normalized</w:t>
      </w:r>
      <w:r>
        <w:t xml:space="preserve"> </w:t>
      </w:r>
      <w:r>
        <w:t xml:space="preserve">cut-site aggregate profiles centered on motif instances.</w:t>
      </w:r>
      <w:r>
        <w:t xml:space="preserve"> </w:t>
      </w:r>
      <w:bookmarkStart w:id="29" w:name="fig:denovo_validation"/>
      <w:bookmarkEnd w:id="29"/>
    </w:p>
    <w:bookmarkEnd w:id="30"/>
    <w:p>
      <w:pPr>
        <w:pStyle w:val="BodyText"/>
      </w:pPr>
      <w:r>
        <w:t xml:space="preserve">A representative K562 versus HepG2 differential footprint report is shown in</w:t>
      </w:r>
      <w:r>
        <w:t xml:space="preserve"> </w:t>
      </w:r>
      <w:r>
        <w:t xml:space="preserve">Figure </w:t>
      </w:r>
      <w:hyperlink w:anchor="fig:differential_report">
        <w:r>
          <w:rPr>
            <w:rStyle w:val="Hyperlink"/>
          </w:rPr>
          <w:t xml:space="preserve">3</w:t>
        </w:r>
      </w:hyperlink>
      <w:r>
        <w:t xml:space="preserve">. The report combines selected motif logos,</w:t>
      </w:r>
      <w:r>
        <w:t xml:space="preserve"> </w:t>
      </w:r>
      <w:r>
        <w:t xml:space="preserve">top differential motif rankings, a volcano summary, and replicate-level aggregate</w:t>
      </w:r>
      <w:r>
        <w:t xml:space="preserve"> </w:t>
      </w:r>
      <w:r>
        <w:t xml:space="preserve">footprint profiles in one browser-review view.</w:t>
      </w:r>
    </w:p>
    <w:bookmarkStart w:id="35" w:name="fig:differential_report"/>
    <w:p>
      <w:pPr>
        <w:pStyle w:val="CaptionedFigure"/>
      </w:pPr>
      <w:r>
        <w:drawing>
          <wp:inline>
            <wp:extent cx="5334000" cy="932418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figures/Fig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3241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Interactive differential footprint report for K562 versus HepG2.</w:t>
      </w:r>
      <w:r>
        <w:t xml:space="preserve"> </w:t>
      </w:r>
      <w:r>
        <w:t xml:space="preserve">The browser report summarizes selected differential motifs, sample styling</w:t>
      </w:r>
      <w:r>
        <w:t xml:space="preserve"> </w:t>
      </w:r>
      <w:r>
        <w:t xml:space="preserve">controls, motif logos, top differential footprint-score bar plots, a volcano plot,</w:t>
      </w:r>
      <w:r>
        <w:t xml:space="preserve"> </w:t>
      </w:r>
      <w:r>
        <w:t xml:space="preserve">and replicate-level motif-centered aggregate profiles. Blue indicates</w:t>
      </w:r>
      <w:r>
        <w:t xml:space="preserve"> </w:t>
      </w:r>
      <w:r>
        <w:t xml:space="preserve">HepG2-biased footprint scores and red indicates K562-biased footprint scores.</w:t>
      </w:r>
      <w:r>
        <w:t xml:space="preserve"> </w:t>
      </w:r>
      <w:bookmarkStart w:id="34" w:name="fig:differential_report"/>
      <w:bookmarkEnd w:id="34"/>
    </w:p>
    <w:bookmarkEnd w:id="35"/>
    <w:bookmarkEnd w:id="36"/>
    <w:bookmarkStart w:id="37" w:name="X3d87f1cbe3b98d0199f75917ab8b41023e4a8ee"/>
    <w:p>
      <w:pPr>
        <w:pStyle w:val="Heading2"/>
      </w:pPr>
      <w:r>
        <w:t xml:space="preserve">Replicate-aware Differential Footprint Analysis and Normalization</w:t>
      </w:r>
    </w:p>
    <w:p>
      <w:pPr>
        <w:pStyle w:val="FirstParagraph"/>
      </w:pPr>
      <w:r>
        <w:t xml:space="preserve">The replicate-aware workflow summarizes differential footprint results with effect</w:t>
      </w:r>
      <w:r>
        <w:t xml:space="preserve"> </w:t>
      </w:r>
      <w:r>
        <w:t xml:space="preserve">sizes, replicate support, and uncertainty estimates while keeping the comparison</w:t>
      </w:r>
      <w:r>
        <w:t xml:space="preserve"> </w:t>
      </w:r>
      <w:r>
        <w:t xml:space="preserve">anchored to a common peak and motif-site universe. In the Buenrostro example,</w:t>
      </w:r>
      <w:r>
        <w:t xml:space="preserve"> </w:t>
      </w:r>
      <w:r>
        <w:t xml:space="preserve">B-cell and T-cell replicates are compared after motif scanning on the merged peak</w:t>
      </w:r>
      <w:r>
        <w:t xml:space="preserve"> </w:t>
      </w:r>
      <w:r>
        <w:t xml:space="preserve">set, so no additional peak alignment step is performed at the reporting stage.</w:t>
      </w:r>
    </w:p>
    <w:p>
      <w:pPr>
        <w:pStyle w:val="BodyText"/>
      </w:pPr>
      <w:r>
        <w:t xml:space="preserve">Replicate-aware differential footprint analysis adds an interpretable layer to</w:t>
      </w:r>
      <w:r>
        <w:t xml:space="preserve"> </w:t>
      </w:r>
      <w:r>
        <w:t xml:space="preserve">condition comparison: repeated condition names define biological replicate groups,</w:t>
      </w:r>
      <w:r>
        <w:t xml:space="preserve"> </w:t>
      </w:r>
      <w:r>
        <w:t xml:space="preserve">condition means are reported alongside individual replicate profiles, and</w:t>
      </w:r>
      <w:r>
        <w:t xml:space="preserve"> </w:t>
      </w:r>
      <w:r>
        <w:t xml:space="preserve">sample-level quantile normalization applies the same distribution-matching step</w:t>
      </w:r>
      <w:r>
        <w:t xml:space="preserve"> </w:t>
      </w:r>
      <w:r>
        <w:t xml:space="preserve">before replicate group averages are compared. The native distribution-comparison</w:t>
      </w:r>
      <w:r>
        <w:t xml:space="preserve"> </w:t>
      </w:r>
      <w:r>
        <w:t xml:space="preserve">view supports both single-sample contrasts and multi-sample groups; replicate</w:t>
      </w:r>
      <w:r>
        <w:t xml:space="preserve"> </w:t>
      </w:r>
      <w:r>
        <w:t xml:space="preserve">groups add condition SD, SE, and replicate-count summaries around the same</w:t>
      </w:r>
      <w:r>
        <w:t xml:space="preserve"> </w:t>
      </w:r>
      <w:r>
        <w:t xml:space="preserve">motif-background comparison. For replicate-supported matrix analyses, the</w:t>
      </w:r>
      <w:r>
        <w:t xml:space="preserve"> </w:t>
      </w:r>
      <w:r>
        <w:t xml:space="preserve">limma-like empirical-Bayes view provides a second report in which per-motif</w:t>
      </w:r>
      <w:r>
        <w:t xml:space="preserve"> </w:t>
      </w:r>
      <w:r>
        <w:t xml:space="preserve">replicate variation is moderated across the motif set before p-values and</w:t>
      </w:r>
      <w:r>
        <w:t xml:space="preserve"> </w:t>
      </w:r>
      <w:r>
        <w:t xml:space="preserve">q-values are assigned. The no-normalization mode retains the baseline comparison</w:t>
      </w:r>
      <w:r>
        <w:t xml:space="preserve"> </w:t>
      </w:r>
      <w:r>
        <w:t xml:space="preserve">without an additional sample-level distribution match, whereas the</w:t>
      </w:r>
      <w:r>
        <w:t xml:space="preserve"> </w:t>
      </w:r>
      <w:r>
        <w:t xml:space="preserve">sample-quantile mode applies distribution matching before condition-level</w:t>
      </w:r>
      <w:r>
        <w:t xml:space="preserve"> </w:t>
      </w:r>
      <w:r>
        <w:t xml:space="preserve">comparison and aggregate plotting.</w:t>
      </w:r>
    </w:p>
    <w:p>
      <w:pPr>
        <w:pStyle w:val="BodyText"/>
      </w:pPr>
      <w:r>
        <w:t xml:space="preserve">As a biological consistency check for the same 2-vs-2 Buenrostro replicate</w:t>
      </w:r>
      <w:r>
        <w:t xml:space="preserve"> </w:t>
      </w:r>
      <w:r>
        <w:t xml:space="preserve">comparison, we inspected aggregate corrected cut-site profiles for a small</w:t>
      </w:r>
      <w:r>
        <w:t xml:space="preserve"> </w:t>
      </w:r>
      <w:r>
        <w:t xml:space="preserve">illustrative set selected to show visible center depletion and known or plausible</w:t>
      </w:r>
      <w:r>
        <w:t xml:space="preserve"> </w:t>
      </w:r>
      <w:r>
        <w:t xml:space="preserve">immune-cell relevance. BACH2 showed a B/GM12878-biased pattern in this dataset while remaining biologically non-exclusive because</w:t>
      </w:r>
      <w:r>
        <w:t xml:space="preserve"> </w:t>
      </w:r>
      <w:r>
        <w:t xml:space="preserve">it is also reused in T-cell states. Conversely, JUNB and ATF7 showed stronger</w:t>
      </w:r>
      <w:r>
        <w:t xml:space="preserve"> </w:t>
      </w:r>
      <w:r>
        <w:t xml:space="preserve">T-cell aggregate depletion; JUNB is an AP-1 family regulator of T-cell</w:t>
      </w:r>
      <w:r>
        <w:t xml:space="preserve"> </w:t>
      </w:r>
      <w:r>
        <w:t xml:space="preserve">differentiation </w:t>
      </w:r>
      <w:r>
        <w:t xml:space="preserve">, and ATF7 is included here as a strong</w:t>
      </w:r>
      <w:r>
        <w:t xml:space="preserve"> </w:t>
      </w:r>
      <w:r>
        <w:t xml:space="preserve">T-cell-deeper aggregate example rather than a lineage-specific marker. We also</w:t>
      </w:r>
      <w:r>
        <w:t xml:space="preserve"> </w:t>
      </w:r>
      <w:r>
        <w:t xml:space="preserve">include IRF4 because TCR signaling can drive graded IRF4 expression in T cells </w:t>
      </w:r>
      <w:r>
        <w:t xml:space="preserve">,</w:t>
      </w:r>
      <w:r>
        <w:t xml:space="preserve"> </w:t>
      </w:r>
      <w:r>
        <w:t xml:space="preserve">although its aggregate depletion is modest in this dataset. We treat</w:t>
      </w:r>
      <w:r>
        <w:t xml:space="preserve"> </w:t>
      </w:r>
      <w:r>
        <w:t xml:space="preserve">these panels as an illustrative sanity check rather than a marker-classification</w:t>
      </w:r>
      <w:r>
        <w:t xml:space="preserve"> </w:t>
      </w:r>
      <w:r>
        <w:t xml:space="preserve">benchmark; a more negative center-versus-flank profile indicates stronger</w:t>
      </w:r>
      <w:r>
        <w:t xml:space="preserve"> </w:t>
      </w:r>
      <w:r>
        <w:t xml:space="preserve">footprint-like protection at motif centers.</w:t>
      </w:r>
    </w:p>
    <w:bookmarkEnd w:id="37"/>
    <w:bookmarkStart w:id="43" w:name="Xd36ec17224d6e40dccdc8d36c3d27f62612f49a"/>
    <w:p>
      <w:pPr>
        <w:pStyle w:val="Heading2"/>
      </w:pPr>
      <w:r>
        <w:t xml:space="preserve">Single-cell ATAC Fragments Support Pseudobulk Footprint Workflows</w:t>
      </w:r>
    </w:p>
    <w:p>
      <w:pPr>
        <w:pStyle w:val="FirstParagraph"/>
      </w:pPr>
      <w:r>
        <w:t xml:space="preserve">We evaluated pseudobulk aggregation using the public</w:t>
      </w:r>
      <w:r>
        <w:t xml:space="preserve"> </w:t>
      </w:r>
      <w:r>
        <w:t xml:space="preserve">10x Genomics PBMC granulocyte-depleted Multiome dataset </w:t>
      </w:r>
      <w:r>
        <w:t xml:space="preserve">. The</w:t>
      </w:r>
      <w:r>
        <w:t xml:space="preserve"> </w:t>
      </w:r>
      <w:r>
        <w:t xml:space="preserve">workflow used the official 10x ATAC fragments and GEX graph clusters, assigned</w:t>
      </w:r>
      <w:r>
        <w:t xml:space="preserve"> </w:t>
      </w:r>
      <w:r>
        <w:t xml:space="preserve">11,898 annotated cells to broad immune groups, and retained seven groups comprising</w:t>
      </w:r>
      <w:r>
        <w:t xml:space="preserve"> </w:t>
      </w:r>
      <w:r>
        <w:t xml:space="preserve">11,611 cells after requiring at least 300 cells and 50,000 fragments: B cells,</w:t>
      </w:r>
      <w:r>
        <w:t xml:space="preserve"> </w:t>
      </w:r>
      <w:r>
        <w:t xml:space="preserve">CD4 T cells, NK/cytotoxic T cells, CD14 monocytes, FCGR3A monocytes, dendritic</w:t>
      </w:r>
      <w:r>
        <w:t xml:space="preserve"> </w:t>
      </w:r>
      <w:r>
        <w:t xml:space="preserve">cells, and a mixed myeloid group. The</w:t>
      </w:r>
      <w:r>
        <w:t xml:space="preserve"> </w:t>
      </w:r>
      <w:r>
        <w:t xml:space="preserve">prepared figure inputs used chromosomes chr1–chr22 plus chrX. The kept</w:t>
      </w:r>
      <w:r>
        <w:t xml:space="preserve"> </w:t>
      </w:r>
      <w:r>
        <w:t xml:space="preserve">pseudobulks contained 13.6 to 144.0 million counted fragments per group and were</w:t>
      </w:r>
      <w:r>
        <w:t xml:space="preserve"> </w:t>
      </w:r>
      <w:r>
        <w:t xml:space="preserve">written as indexed fragment files plus CPM-normalized cut-site bigWigs. The full</w:t>
      </w:r>
      <w:r>
        <w:t xml:space="preserve"> </w:t>
      </w:r>
      <w:r>
        <w:rPr>
          <w:rStyle w:val="VerbatimChar"/>
        </w:rPr>
        <w:t xml:space="preserve">pseudobulk-footprints</w:t>
      </w:r>
      <w:r>
        <w:t xml:space="preserve"> </w:t>
      </w:r>
      <w:r>
        <w:t xml:space="preserve">route uses the same grouped fragments to emit</w:t>
      </w:r>
      <w:r>
        <w:t xml:space="preserve"> </w:t>
      </w:r>
      <w:r>
        <w:t xml:space="preserve">pseudo-paired BAMs, run</w:t>
      </w:r>
      <w:r>
        <w:t xml:space="preserve"> </w:t>
      </w:r>
      <w:r>
        <w:rPr>
          <w:rStyle w:val="VerbatimChar"/>
        </w:rPr>
        <w:t xml:space="preserve">atac-correct</w:t>
      </w:r>
      <w:r>
        <w:t xml:space="preserve"> </w:t>
      </w:r>
      <w:r>
        <w:t xml:space="preserve">with zero read shifting, score</w:t>
      </w:r>
      <w:r>
        <w:t xml:space="preserve"> </w:t>
      </w:r>
      <w:r>
        <w:t xml:space="preserve">corrected footprint tracks, and optionally run motif-aware</w:t>
      </w:r>
      <w:r>
        <w:t xml:space="preserve"> </w:t>
      </w:r>
      <w:r>
        <w:rPr>
          <w:rStyle w:val="VerbatimChar"/>
        </w:rPr>
        <w:t xml:space="preserve">diff-footprints</w:t>
      </w:r>
      <w:r>
        <w:t xml:space="preserve"> </w:t>
      </w:r>
      <w:r>
        <w:t xml:space="preserve">and aggregate plotting. Raw CPM cut-site tracks provide QC and chromatin-context</w:t>
      </w:r>
      <w:r>
        <w:t xml:space="preserve"> </w:t>
      </w:r>
      <w:r>
        <w:t xml:space="preserve">signal alongside corrected footprint scores. These outputs were readable by the</w:t>
      </w:r>
      <w:r>
        <w:t xml:space="preserve"> </w:t>
      </w:r>
      <w:r>
        <w:t xml:space="preserve">same aggregate-plotting code used for bulk ATAC data. This pseudobulk route is</w:t>
      </w:r>
      <w:r>
        <w:t xml:space="preserve"> </w:t>
      </w:r>
      <w:r>
        <w:t xml:space="preserve">complementary to established single-cell chromatin-accessibility ecosystems such</w:t>
      </w:r>
      <w:r>
        <w:t xml:space="preserve"> </w:t>
      </w:r>
      <w:r>
        <w:t xml:space="preserve">as ArchR and Signac and to motif-activity baselines such as</w:t>
      </w:r>
      <w:r>
        <w:t xml:space="preserve"> </w:t>
      </w:r>
      <w:r>
        <w:t xml:space="preserve">chromVAR </w:t>
      </w:r>
      <w:r>
        <w:t xml:space="preserve">.</w:t>
      </w:r>
    </w:p>
    <w:p>
      <w:pPr>
        <w:pStyle w:val="BodyText"/>
      </w:pPr>
      <w:r>
        <w:t xml:space="preserve">The pseudobulk footprint result table was also used to prioritize marker TFs for</w:t>
      </w:r>
      <w:r>
        <w:t xml:space="preserve"> </w:t>
      </w:r>
      <w:r>
        <w:t xml:space="preserve">cell-level visualization. We summarized the three broad-cell pairwise comparisons</w:t>
      </w:r>
      <w:r>
        <w:t xml:space="preserve"> </w:t>
      </w:r>
      <w:r>
        <w:t xml:space="preserve">as volcano plots and labeled only predeclared marker TFs from the two cell types</w:t>
      </w:r>
      <w:r>
        <w:t xml:space="preserve"> </w:t>
      </w:r>
      <w:r>
        <w:t xml:space="preserve">included in each comparison when the differential-footprint direction matched the</w:t>
      </w:r>
      <w:r>
        <w:t xml:space="preserve"> </w:t>
      </w:r>
      <w:r>
        <w:t xml:space="preserve">expected lineage direction. Third-lineage markers and opposite-direction markers</w:t>
      </w:r>
      <w:r>
        <w:t xml:space="preserve"> </w:t>
      </w:r>
      <w:r>
        <w:t xml:space="preserve">were not annotated.</w:t>
      </w:r>
    </w:p>
    <w:p>
      <w:pPr>
        <w:pStyle w:val="BodyText"/>
      </w:pPr>
      <w:r>
        <w:t xml:space="preserve">We also applied the per-cell KNN visualization layer to the public 10x Genomics</w:t>
      </w:r>
      <w:r>
        <w:t xml:space="preserve"> </w:t>
      </w:r>
      <w:r>
        <w:t xml:space="preserve">5k PBMC single-cell ATAC dataset </w:t>
      </w:r>
      <w:r>
        <w:t xml:space="preserve">. The demonstration</w:t>
      </w:r>
      <w:r>
        <w:t xml:space="preserve"> </w:t>
      </w:r>
      <w:r>
        <w:t xml:space="preserve">used the Cell Ranger ATAC 2.0.0 fragment dataset, broad B-cell, monocyte, and</w:t>
      </w:r>
      <w:r>
        <w:t xml:space="preserve"> </w:t>
      </w:r>
      <w:r>
        <w:t xml:space="preserve">T/NK annotations derived from the single-cell embedding, and motif-centered</w:t>
      </w:r>
      <w:r>
        <w:t xml:space="preserve"> </w:t>
      </w:r>
      <w:r>
        <w:t xml:space="preserve">marker scores for PAX5, CEBPB, TCF7, and four additional high-change marker TFs</w:t>
      </w:r>
      <w:r>
        <w:t xml:space="preserve"> </w:t>
      </w:r>
      <w:r>
        <w:t xml:space="preserve">from the pairwise pseudobulk screen: CEBPA, SPIB, ZBTB7B, and POU2F2. For each cell, the plotted value is a</w:t>
      </w:r>
      <w:r>
        <w:t xml:space="preserve"> </w:t>
      </w:r>
      <w:r>
        <w:t xml:space="preserve">KNN-smoothed footprint-signature score, not an independently bias-corrected</w:t>
      </w:r>
      <w:r>
        <w:t xml:space="preserve"> </w:t>
      </w:r>
      <w:r>
        <w:t xml:space="preserve">single-cell footprint call. We summarize these scores as a marker-by-cell-type</w:t>
      </w:r>
      <w:r>
        <w:t xml:space="preserve"> </w:t>
      </w:r>
      <w:r>
        <w:t xml:space="preserve">heatmap and as UMAP projections for one representative marker from each broad</w:t>
      </w:r>
      <w:r>
        <w:t xml:space="preserve"> </w:t>
      </w:r>
      <w:r>
        <w:t xml:space="preserve">cell type. This visualization highlights expected marker directions while avoiding</w:t>
      </w:r>
      <w:r>
        <w:t xml:space="preserve"> </w:t>
      </w:r>
      <w:r>
        <w:t xml:space="preserve">overinterpretation of sparse per-cell cut-site counts: PAX5 and POU2F2 show</w:t>
      </w:r>
      <w:r>
        <w:t xml:space="preserve"> </w:t>
      </w:r>
      <w:r>
        <w:t xml:space="preserve">B-cell-associated signal, CEBPB and CEBPA show monocyte-associated signal, and</w:t>
      </w:r>
      <w:r>
        <w:t xml:space="preserve"> </w:t>
      </w:r>
      <w:r>
        <w:t xml:space="preserve">TCF7 and ZBTB7B show T/NK-associated signal; SPIB is included as an additional</w:t>
      </w:r>
      <w:r>
        <w:t xml:space="preserve"> </w:t>
      </w:r>
      <w:r>
        <w:t xml:space="preserve">high-change B-cell marker from the pseudobulk screen</w:t>
      </w:r>
      <w:r>
        <w:t xml:space="preserve"> </w:t>
      </w:r>
      <w:r>
        <w:t xml:space="preserve">(Figure </w:t>
      </w:r>
      <w:hyperlink w:anchor="fig:single_cell_footprinting">
        <w:r>
          <w:rPr>
            <w:rStyle w:val="Hyperlink"/>
          </w:rPr>
          <w:t xml:space="preserve">4</w:t>
        </w:r>
      </w:hyperlink>
      <w:r>
        <w:t xml:space="preserve">).</w:t>
      </w:r>
    </w:p>
    <w:bookmarkStart w:id="42" w:name="fig:single_cell_footprinting"/>
    <w:p>
      <w:pPr>
        <w:pStyle w:val="CaptionedFigure"/>
      </w:pPr>
      <w:r>
        <w:drawing>
          <wp:inline>
            <wp:extent cx="5334000" cy="690282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gures/Fig4.pdf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02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Single-cell footprinting summary in public PBMC5k single-cell ATAC data.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KNN-smoothed per-cell footprint-signature heatmap for selected</w:t>
      </w:r>
      <w:r>
        <w:t xml:space="preserve"> </w:t>
      </w:r>
      <w:r>
        <w:t xml:space="preserve">marker TFs and top cell-type-specific motif signatures across B cells, monocytes,</w:t>
      </w:r>
      <w:r>
        <w:t xml:space="preserve"> </w:t>
      </w:r>
      <w:r>
        <w:t xml:space="preserve">and T/NK cells. (</w:t>
      </w:r>
      <w:r>
        <w:rPr>
          <w:b/>
          <w:bCs/>
        </w:rPr>
        <w:t xml:space="preserve">B</w:t>
      </w:r>
      <w:r>
        <w:t xml:space="preserve">) UMAP projections show broad cell-type annotations</w:t>
      </w:r>
      <w:r>
        <w:t xml:space="preserve"> </w:t>
      </w:r>
      <w:r>
        <w:t xml:space="preserve">and representative marker footprint-signature z-scores. Positive values indicate</w:t>
      </w:r>
      <w:r>
        <w:t xml:space="preserve"> </w:t>
      </w:r>
      <w:r>
        <w:t xml:space="preserve">the marker-oriented footprint-signature direction after per-TF standardization;</w:t>
      </w:r>
      <w:r>
        <w:t xml:space="preserve"> </w:t>
      </w:r>
      <w:r>
        <w:t xml:space="preserve">formal corrected footprint inference is performed at the pseudobulk level.</w:t>
      </w:r>
      <w:r>
        <w:t xml:space="preserve"> </w:t>
      </w:r>
      <w:bookmarkStart w:id="41" w:name="fig:single_cell_footprinting"/>
      <w:bookmarkEnd w:id="41"/>
    </w:p>
    <w:bookmarkEnd w:id="42"/>
    <w:bookmarkEnd w:id="43"/>
    <w:bookmarkStart w:id="54" w:name="benchmark-and-figure-reproducibility"/>
    <w:p>
      <w:pPr>
        <w:pStyle w:val="Heading2"/>
      </w:pPr>
      <w:r>
        <w:t xml:space="preserve">Benchmark and Figure Reproducibility</w:t>
      </w:r>
    </w:p>
    <w:p>
      <w:pPr>
        <w:pStyle w:val="FirstParagraph"/>
      </w:pPr>
      <w:r>
        <w:t xml:space="preserve">The tiered demonstration design (Table </w:t>
      </w:r>
      <w:hyperlink w:anchor="tab:tiers">
        <w:r>
          <w:rPr>
            <w:rStyle w:val="Hyperlink"/>
          </w:rPr>
          <w:t xml:space="preserve">[tab:tiers]</w:t>
        </w:r>
      </w:hyperlink>
      <w:r>
        <w:t xml:space="preserve">), manifest</w:t>
      </w:r>
      <w:r>
        <w:t xml:space="preserve"> </w:t>
      </w:r>
      <w:r>
        <w:t xml:space="preserve">builders, schema validator, engineering-runtime recorder, and figure-generation</w:t>
      </w:r>
      <w:r>
        <w:t xml:space="preserve"> </w:t>
      </w:r>
      <w:r>
        <w:t xml:space="preserve">scripts provide an executable path from public inputs to publication-ready</w:t>
      </w:r>
      <w:r>
        <w:t xml:space="preserve"> </w:t>
      </w:r>
      <w:r>
        <w:t xml:space="preserve">outputs. These resources serve three purposes. First, they verify that the</w:t>
      </w:r>
      <w:r>
        <w:t xml:space="preserve"> </w:t>
      </w:r>
      <w:r>
        <w:t xml:space="preserve">ATAC-seq footprinting workflow produces stable outputs on small fixtures and</w:t>
      </w:r>
      <w:r>
        <w:t xml:space="preserve"> </w:t>
      </w:r>
      <w:r>
        <w:t xml:space="preserve">public-data subsets. Second, they support the manuscript demonstrations for bulk</w:t>
      </w:r>
      <w:r>
        <w:t xml:space="preserve"> </w:t>
      </w:r>
      <w:r>
        <w:t xml:space="preserve">replicate processing, de novo motif preparation, pseudobulk aggregation,</w:t>
      </w:r>
      <w:r>
        <w:t xml:space="preserve"> </w:t>
      </w:r>
      <w:r>
        <w:t xml:space="preserve">replicate-aware normalization, and report generation. Third, they keep public</w:t>
      </w:r>
      <w:r>
        <w:t xml:space="preserve"> </w:t>
      </w:r>
      <w:r>
        <w:t xml:space="preserve">inputs, parameters, and generated figure sources auditable as the workflow is</w:t>
      </w:r>
      <w:r>
        <w:t xml:space="preserve"> </w:t>
      </w:r>
      <w:r>
        <w:t xml:space="preserve">rerun after code changes.</w:t>
      </w:r>
    </w:p>
    <w:p>
      <w:pPr>
        <w:pStyle w:val="BodyText"/>
      </w:pPr>
      <w:r>
        <w:t xml:space="preserve">The benchmark pipeline writes resolved manifests, software versions,</w:t>
      </w:r>
      <w:r>
        <w:t xml:space="preserve"> </w:t>
      </w:r>
      <w:r>
        <w:t xml:space="preserve">parameters, and plotting tables next to generated figures. This makes the</w:t>
      </w:r>
      <w:r>
        <w:t xml:space="preserve"> </w:t>
      </w:r>
      <w:r>
        <w:t xml:space="preserve">figures auditable: a reader can inspect which samples, motifs, regions, and signal</w:t>
      </w:r>
      <w:r>
        <w:t xml:space="preserve"> </w:t>
      </w:r>
      <w:r>
        <w:t xml:space="preserve">tracks were used, and the same tier can be rerun after code changes.</w:t>
      </w:r>
      <w:r>
        <w:t xml:space="preserve"> </w:t>
      </w:r>
      <w:r>
        <w:t xml:space="preserve">Representative local engineering measurements summarize runtime and peak memory</w:t>
      </w:r>
      <w:r>
        <w:t xml:space="preserve"> </w:t>
      </w:r>
      <w:r>
        <w:t xml:space="preserve">for one local workflow comparison using the same input bundle and command-level</w:t>
      </w:r>
      <w:r>
        <w:t xml:space="preserve"> </w:t>
      </w:r>
      <w:r>
        <w:t xml:space="preserve">outputs (Figure </w:t>
      </w:r>
      <w:hyperlink w:anchor="fig:engineering">
        <w:r>
          <w:rPr>
            <w:rStyle w:val="Hyperlink"/>
          </w:rPr>
          <w:t xml:space="preserve">5</w:t>
        </w:r>
      </w:hyperlink>
      <w:r>
        <w:t xml:space="preserve">). The browser GUI emphasizes the same</w:t>
      </w:r>
      <w:r>
        <w:t xml:space="preserve"> </w:t>
      </w:r>
      <w:r>
        <w:t xml:space="preserve">command-first workflow while making example loading, YAML review, run history,</w:t>
      </w:r>
      <w:r>
        <w:t xml:space="preserve"> </w:t>
      </w:r>
      <w:r>
        <w:t xml:space="preserve">and report inspection accessible to users who do not routinely work at the</w:t>
      </w:r>
      <w:r>
        <w:t xml:space="preserve"> </w:t>
      </w:r>
      <w:r>
        <w:t xml:space="preserve">command line (Figure </w:t>
      </w:r>
      <w:hyperlink w:anchor="fig:gui_interface">
        <w:r>
          <w:rPr>
            <w:rStyle w:val="Hyperlink"/>
          </w:rPr>
          <w:t xml:space="preserve">6</w:t>
        </w:r>
      </w:hyperlink>
      <w:r>
        <w:t xml:space="preserve">).</w:t>
      </w:r>
    </w:p>
    <w:bookmarkStart w:id="48" w:name="fig:engineering"/>
    <w:p>
      <w:pPr>
        <w:pStyle w:val="CaptionedFigure"/>
      </w:pPr>
      <w:r>
        <w:drawing>
          <wp:inline>
            <wp:extent cx="2987040" cy="1374717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gures/Fig5.pdf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7040" cy="13747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Representative local engineering comparison.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Runtime and (</w:t>
      </w:r>
      <w:r>
        <w:rPr>
          <w:b/>
          <w:bCs/>
        </w:rPr>
        <w:t xml:space="preserve">B</w:t>
      </w:r>
      <w:r>
        <w:t xml:space="preserve">) peak memory are summarized for one local</w:t>
      </w:r>
      <w:r>
        <w:t xml:space="preserve"> </w:t>
      </w:r>
      <w:r>
        <w:t xml:space="preserve">workflow run comparing TOBIAS and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on the same analysis bundle.</w:t>
      </w:r>
      <w:r>
        <w:t xml:space="preserve"> </w:t>
      </w:r>
      <w:r>
        <w:t xml:space="preserve">These measurements are included as an engineering check, not as an exhaustive</w:t>
      </w:r>
      <w:r>
        <w:t xml:space="preserve"> </w:t>
      </w:r>
      <w:r>
        <w:t xml:space="preserve">cross-tool benchmark.</w:t>
      </w:r>
      <w:r>
        <w:t xml:space="preserve"> </w:t>
      </w:r>
      <w:bookmarkStart w:id="47" w:name="fig:engineering"/>
      <w:bookmarkEnd w:id="47"/>
    </w:p>
    <w:bookmarkEnd w:id="48"/>
    <w:bookmarkStart w:id="53" w:name="fig:gui_interface"/>
    <w:p>
      <w:pPr>
        <w:pStyle w:val="CaptionedFigure"/>
      </w:pPr>
      <w:r>
        <w:drawing>
          <wp:inline>
            <wp:extent cx="5334000" cy="3227637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figures/Fig6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276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Browser GUI for command-compatible footprinting workflows.</w:t>
      </w:r>
      <w:r>
        <w:t xml:space="preserve"> </w:t>
      </w:r>
      <w:r>
        <w:t xml:space="preserve">The GUI provides sidebar access to core commands, guided configuration panels,</w:t>
      </w:r>
      <w:r>
        <w:t xml:space="preserve"> </w:t>
      </w:r>
      <w:r>
        <w:t xml:space="preserve">example loading, YAML preview, run-history review, and report/output inspection</w:t>
      </w:r>
      <w:r>
        <w:t xml:space="preserve"> </w:t>
      </w:r>
      <w:r>
        <w:t xml:space="preserve">while preserving CLI-compatible configuration files.</w:t>
      </w:r>
      <w:r>
        <w:t xml:space="preserve"> </w:t>
      </w:r>
      <w:bookmarkStart w:id="52" w:name="fig:gui_interface"/>
      <w:bookmarkEnd w:id="52"/>
    </w:p>
    <w:bookmarkEnd w:id="53"/>
    <w:bookmarkEnd w:id="54"/>
    <w:bookmarkEnd w:id="55"/>
    <w:bookmarkStart w:id="58" w:name="discussion"/>
    <w:p>
      <w:pPr>
        <w:pStyle w:val="Heading1"/>
      </w:pPr>
      <w:r>
        <w:t xml:space="preserve">Discussion</w:t>
      </w:r>
    </w:p>
    <w:p>
      <w:pPr>
        <w:pStyle w:val="FirstParagraph"/>
      </w:pPr>
      <w:r>
        <w:rPr>
          <w:rStyle w:val="VerbatimChar"/>
        </w:rPr>
        <w:t xml:space="preserve">fp-tools</w:t>
      </w:r>
      <w:r>
        <w:t xml:space="preserve"> </w:t>
      </w:r>
      <w:r>
        <w:t xml:space="preserve">contributes a reproducible platform for ATAC-seq footprinting</w:t>
      </w:r>
      <w:r>
        <w:t xml:space="preserve"> </w:t>
      </w:r>
      <w:r>
        <w:t xml:space="preserve">and motif-centered regulatory analysis. Its comparative strengths are</w:t>
      </w:r>
      <w:r>
        <w:t xml:space="preserve"> </w:t>
      </w:r>
      <w:r>
        <w:t xml:space="preserve">interface consistency across bias correction, footprint calling, differential</w:t>
      </w:r>
      <w:r>
        <w:t xml:space="preserve"> </w:t>
      </w:r>
      <w:r>
        <w:t xml:space="preserve">footprint analysis, and aggregate visualization; deterministic regression coverage; explicit</w:t>
      </w:r>
      <w:r>
        <w:t xml:space="preserve"> </w:t>
      </w:r>
      <w:r>
        <w:t xml:space="preserve">handling of replicate-aware summaries; and integrated support for de novo motif preparation and pseudobulk aggregation using the same region, motif, and signal conventions</w:t>
      </w:r>
      <w:r>
        <w:t xml:space="preserve"> </w:t>
      </w:r>
      <w:r>
        <w:t xml:space="preserve">(Table </w:t>
      </w:r>
      <w:hyperlink w:anchor="tab:features">
        <w:r>
          <w:rPr>
            <w:rStyle w:val="Hyperlink"/>
          </w:rPr>
          <w:t xml:space="preserve">1</w:t>
        </w:r>
      </w:hyperlink>
      <w:r>
        <w:t xml:space="preserve">). Together, these properties address the fragmentation that often separates footprint scoring, motif interpretation, and report generation.</w:t>
      </w:r>
    </w:p>
    <w:bookmarkStart w:id="56" w:name="tab:features"/>
    <w:p>
      <w:pPr>
        <w:pStyle w:val="TableCaption"/>
      </w:pPr>
      <w:r>
        <w:t xml:space="preserve">Qualitative scope comparison across widely used ATAC-seq regulatory-analysis tools.</w:t>
      </w:r>
      <w:r>
        <w:t xml:space="preserve"> </w:t>
      </w:r>
      <w:r>
        <w:t xml:space="preserve">, documented native support;</w:t>
      </w:r>
      <w:r>
        <w:t xml:space="preserve"> </w:t>
      </w:r>
      <m:oMath>
        <m:r>
          <m:rPr>
            <m:sty m:val="p"/>
          </m:rPr>
          <m:t>∘</m:t>
        </m:r>
      </m:oMath>
      <w:r>
        <w:t xml:space="preserve">, partial, indirect, or adjacent</w:t>
      </w:r>
      <w:r>
        <w:t xml:space="preserve"> </w:t>
      </w:r>
      <w:r>
        <w:t xml:space="preserve">support; NA, outside the tool’s primary scope. The table summarizes workflow</w:t>
      </w:r>
      <w:r>
        <w:t xml:space="preserve"> </w:t>
      </w:r>
      <w:r>
        <w:t xml:space="preserve">scope from public documentation and primary publications; it is not a performance</w:t>
      </w:r>
      <w:r>
        <w:t xml:space="preserve"> </w:t>
      </w:r>
      <w:r>
        <w:t xml:space="preserve">benchmark and should be read with the different goals of these tools in mind.</w:t>
      </w:r>
      <w:r>
        <w:t xml:space="preserve"> 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Qualitative scope comparison across widely used ATAC-seq regulatory-analysis tools. , documented native support; \circ, partial, indirect, or adjacent support; NA, outside the tool’s primary scope. The table summarizes workflow scope from public documentation and primary publications; it is not a performance benchmark and should be read with the different goals of these tools in mind. 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fp-tools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TOBIAS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scPrinter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BPNet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ATAC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Bulk ATAC footprinting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Tn5 bias correction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Footprint calling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Motif-aware differential analysis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novo motif preparation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scATAC/pseudobulk support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Replicate-aware 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Visualization/reporting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sty m:val="p"/>
                </m:rPr>
                <m:t>∘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YAML/batch execution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</w:t>
            </w:r>
          </w:p>
        </w:tc>
      </w:tr>
    </w:tbl>
    <w:bookmarkEnd w:id="56"/>
    <w:p>
      <w:pPr>
        <w:pStyle w:val="BodyText"/>
      </w:pPr>
      <w:r>
        <w:t xml:space="preserve">Deep sequence-to-profile models such as ChromBPNet provide powerful</w:t>
      </w:r>
      <w:r>
        <w:t xml:space="preserve"> </w:t>
      </w:r>
      <w:r>
        <w:t xml:space="preserve">sequence-driven occupancy and variant-effect analyses </w:t>
      </w:r>
      <w:r>
        <w:t xml:space="preserve">. Differential TF activity was also considered relative to orthogonal accessibility-based frameworks such as diffTF </w:t>
      </w:r>
      <w:r>
        <w:t xml:space="preserve">.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 </w:t>
      </w:r>
      <w:r>
        <w:t xml:space="preserve">addresses a complementary need: a lightweight, auditable</w:t>
      </w:r>
      <w:r>
        <w:t xml:space="preserve"> </w:t>
      </w:r>
      <w:r>
        <w:t xml:space="preserve">ATAC-seq footprinting workflow that uses a conventional motif-centered</w:t>
      </w:r>
      <w:r>
        <w:t xml:space="preserve"> </w:t>
      </w:r>
      <w:r>
        <w:t xml:space="preserve">footprinting model while integrating footprint calling, motif discovery,</w:t>
      </w:r>
      <w:r>
        <w:t xml:space="preserve"> </w:t>
      </w:r>
      <w:r>
        <w:t xml:space="preserve">differential analysis, and reporting within one reproducible ecosystem. The</w:t>
      </w:r>
      <w:r>
        <w:t xml:space="preserve"> </w:t>
      </w:r>
      <w:r>
        <w:t xml:space="preserve">replicate-aware summaries reported here use</w:t>
      </w:r>
      <w:r>
        <w:t xml:space="preserve"> </w:t>
      </w:r>
      <w:r>
        <w:t xml:space="preserve">condition-level and replicate-level score variation to aid interpretation of</w:t>
      </w:r>
      <w:r>
        <w:t xml:space="preserve"> </w:t>
      </w:r>
      <w:r>
        <w:t xml:space="preserve">differential footprint comparisons. The default distribution-comparison report is</w:t>
      </w:r>
      <w:r>
        <w:t xml:space="preserve"> </w:t>
      </w:r>
      <w:r>
        <w:t xml:space="preserve">available for single-sample or multi-sample condition groups, and the</w:t>
      </w:r>
      <w:r>
        <w:t xml:space="preserve"> </w:t>
      </w:r>
      <w:r>
        <w:t xml:space="preserve">empirical-Bayes matrix view provides a limma-like moderated replicate analysis</w:t>
      </w:r>
      <w:r>
        <w:t xml:space="preserve"> </w:t>
      </w:r>
      <w:r>
        <w:t xml:space="preserve">when a per-replicate motif-score matrix is available.</w:t>
      </w:r>
    </w:p>
    <w:bookmarkStart w:id="57" w:name="threats-to-validity-and-scope"/>
    <w:p>
      <w:pPr>
        <w:pStyle w:val="Heading2"/>
      </w:pPr>
      <w:r>
        <w:t xml:space="preserve">Threats to Validity and Scope</w:t>
      </w:r>
    </w:p>
    <w:p>
      <w:pPr>
        <w:pStyle w:val="FirstParagraph"/>
      </w:pPr>
      <w:r>
        <w:t xml:space="preserve">The present manuscript emphasizes reproducible workflow demonstrations, local</w:t>
      </w:r>
      <w:r>
        <w:t xml:space="preserve"> </w:t>
      </w:r>
      <w:r>
        <w:t xml:space="preserve">engineering checks, and public-data examples; it is not a comprehensive</w:t>
      </w:r>
      <w:r>
        <w:t xml:space="preserve"> </w:t>
      </w:r>
      <w:r>
        <w:t xml:space="preserve">cross-tool benchmark. Larger whole-genome transfer studies, including training on</w:t>
      </w:r>
      <w:r>
        <w:t xml:space="preserve"> </w:t>
      </w:r>
      <w:r>
        <w:t xml:space="preserve">some cell lines and testing on others, and direct head-to-head runs of external</w:t>
      </w:r>
      <w:r>
        <w:t xml:space="preserve"> </w:t>
      </w:r>
      <w:r>
        <w:t xml:space="preserve">tools such as TOBIAS, HINT-ATAC, PRINT/scPrinter, maxATAC, and ChromBPNet on</w:t>
      </w:r>
      <w:r>
        <w:t xml:space="preserve"> </w:t>
      </w:r>
      <w:r>
        <w:t xml:space="preserve">identical locus sets will require larger controlled benchmark runs with repeated</w:t>
      </w:r>
      <w:r>
        <w:t xml:space="preserve"> </w:t>
      </w:r>
      <w:r>
        <w:t xml:space="preserve">measurements, matched parameters, and explicit uncertainty. The runtime and</w:t>
      </w:r>
      <w:r>
        <w:t xml:space="preserve"> </w:t>
      </w:r>
      <w:r>
        <w:t xml:space="preserve">memory measurements in Figure </w:t>
      </w:r>
      <w:hyperlink w:anchor="fig:engineering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are representative local</w:t>
      </w:r>
      <w:r>
        <w:t xml:space="preserve"> </w:t>
      </w:r>
      <w:r>
        <w:t xml:space="preserve">engineering checks, not general performance claims.</w:t>
      </w:r>
    </w:p>
    <w:p>
      <w:pPr>
        <w:pStyle w:val="BodyText"/>
      </w:pPr>
      <w:r>
        <w:t xml:space="preserve">Several biological panels are illustrative by design. The de novo recovery</w:t>
      </w:r>
      <w:r>
        <w:t xml:space="preserve"> </w:t>
      </w:r>
      <w:r>
        <w:t xml:space="preserve">summary uses a merged-window overlap metric rather than an independent binding</w:t>
      </w:r>
      <w:r>
        <w:t xml:space="preserve"> </w:t>
      </w:r>
      <w:r>
        <w:t xml:space="preserve">truth set, and the restricted-database sensitivity analysis depends on a</w:t>
      </w:r>
      <w:r>
        <w:t xml:space="preserve"> </w:t>
      </w:r>
      <w:r>
        <w:t xml:space="preserve">specified motif-family removal list. The</w:t>
      </w:r>
      <w:r>
        <w:t xml:space="preserve"> </w:t>
      </w:r>
      <w:r>
        <w:rPr>
          <w:rStyle w:val="VerbatimChar"/>
        </w:rPr>
        <w:t xml:space="preserve">highlighted</w:t>
      </w:r>
      <w:r>
        <w:t xml:space="preserve"> </w:t>
      </w:r>
      <w:r>
        <w:t xml:space="preserve">column is a report</w:t>
      </w:r>
      <w:r>
        <w:t xml:space="preserve"> </w:t>
      </w:r>
      <w:r>
        <w:t xml:space="preserve">selection flag and should not be interpreted as statistical significance. The</w:t>
      </w:r>
      <w:r>
        <w:t xml:space="preserve"> </w:t>
      </w:r>
      <w:r>
        <w:t xml:space="preserve">PBMC marker labels and aggregate examples emphasize expected-direction markers to</w:t>
      </w:r>
      <w:r>
        <w:t xml:space="preserve"> </w:t>
      </w:r>
      <w:r>
        <w:t xml:space="preserve">show whether outputs are biologically plausible; full ranked tables are needed</w:t>
      </w:r>
      <w:r>
        <w:t xml:space="preserve"> </w:t>
      </w:r>
      <w:r>
        <w:t xml:space="preserve">for formal marker-discovery claims. Finally, KNN-smoothed single-cell</w:t>
      </w:r>
      <w:r>
        <w:t xml:space="preserve"> </w:t>
      </w:r>
      <w:r>
        <w:t xml:space="preserve">footprint-signature scores are visualization summaries over neighboring cells,</w:t>
      </w:r>
      <w:r>
        <w:t xml:space="preserve"> </w:t>
      </w:r>
      <w:r>
        <w:t xml:space="preserve">whereas formal bias-corrected footprint inference is performed on grouped</w:t>
      </w:r>
      <w:r>
        <w:t xml:space="preserve"> </w:t>
      </w:r>
      <w:r>
        <w:t xml:space="preserve">pseudobulk data.</w:t>
      </w:r>
    </w:p>
    <w:p>
      <w:pPr>
        <w:pStyle w:val="BodyText"/>
      </w:pPr>
      <w:r>
        <w:t xml:space="preserve">Large public-benchmark inputs depend on external data acquisition and are</w:t>
      </w:r>
      <w:r>
        <w:t xml:space="preserve"> </w:t>
      </w:r>
      <w:r>
        <w:t xml:space="preserve">therefore regenerated from committed manifests rather than stored directly in the</w:t>
      </w:r>
      <w:r>
        <w:t xml:space="preserve"> </w:t>
      </w:r>
      <w:r>
        <w:t xml:space="preserve">repository. Natural next steps include larger external-tool comparisons,</w:t>
      </w:r>
      <w:r>
        <w:t xml:space="preserve"> </w:t>
      </w:r>
      <w:r>
        <w:t xml:space="preserve">additional public validation datasets, expanded pseudobulk analyses across donors</w:t>
      </w:r>
      <w:r>
        <w:t xml:space="preserve"> </w:t>
      </w:r>
      <w:r>
        <w:t xml:space="preserve">and tissues, and richer hierarchical models for experiments with larger</w:t>
      </w:r>
      <w:r>
        <w:t xml:space="preserve"> </w:t>
      </w:r>
      <w:r>
        <w:t xml:space="preserve">replicate counts.</w:t>
      </w:r>
    </w:p>
    <w:bookmarkEnd w:id="57"/>
    <w:bookmarkEnd w:id="58"/>
    <w:bookmarkStart w:id="59" w:name="conclusions"/>
    <w:p>
      <w:pPr>
        <w:pStyle w:val="Heading1"/>
      </w:pPr>
      <w:r>
        <w:t xml:space="preserve">Conclusions</w:t>
      </w:r>
    </w:p>
    <w:p>
      <w:pPr>
        <w:pStyle w:val="FirstParagraph"/>
      </w:pPr>
      <w:r>
        <w:t xml:space="preserve">We presented</w:t>
      </w:r>
      <w:r>
        <w:t xml:space="preserve"> </w:t>
      </w:r>
      <w:r>
        <w:rPr>
          <w:rStyle w:val="VerbatimChar"/>
        </w:rPr>
        <w:t xml:space="preserve">fp-tools</w:t>
      </w:r>
      <w:r>
        <w:t xml:space="preserve">, a reproducible platform</w:t>
      </w:r>
      <w:r>
        <w:t xml:space="preserve"> </w:t>
      </w:r>
      <w:r>
        <w:t xml:space="preserve">that unifies ATAC-seq footprinting with motif-discovery preparation, pseudobulk aggregation, and replicate-aware reporting.</w:t>
      </w:r>
      <w:r>
        <w:t xml:space="preserve"> </w:t>
      </w:r>
      <w:r>
        <w:t xml:space="preserve">By pairing test-covered workflows with public-data manifests, source</w:t>
      </w:r>
      <w:r>
        <w:t xml:space="preserve"> </w:t>
      </w:r>
      <w:r>
        <w:t xml:space="preserve">tables, and reproducible figure generation, the package supports standardized and</w:t>
      </w:r>
      <w:r>
        <w:t xml:space="preserve"> </w:t>
      </w:r>
      <w:r>
        <w:t xml:space="preserve">auditable regulatory-genomics analysis. Future work will add larger whole-genome transfer studies, direct external-tool</w:t>
      </w:r>
      <w:r>
        <w:t xml:space="preserve"> </w:t>
      </w:r>
      <w:r>
        <w:t xml:space="preserve">comparisons, multiscale and nucleosome-aware validation, and stronger hierarchical</w:t>
      </w:r>
      <w:r>
        <w:t xml:space="preserve"> </w:t>
      </w:r>
      <w:r>
        <w:t xml:space="preserve">differential-binding validation.</w:t>
      </w:r>
    </w:p>
    <w:bookmarkEnd w:id="59"/>
    <w:bookmarkStart w:id="62" w:name="appendix"/>
    <w:p>
      <w:pPr>
        <w:pStyle w:val="Heading1"/>
      </w:pPr>
      <w:r>
        <w:t xml:space="preserve">Appendix</w:t>
      </w:r>
    </w:p>
    <w:bookmarkStart w:id="60" w:name="tab:supp_analysis_parameters"/>
    <w:p>
      <w:pPr>
        <w:pStyle w:val="TableCaption"/>
      </w:pPr>
      <w:r>
        <w:t xml:space="preserve">Primary analysis parameters used for the public ATAC and pseudobulk workflows. The complete source table is provided in the Supplementary Materials as</w:t>
      </w:r>
      <w:r>
        <w:t xml:space="preserve"> </w:t>
      </w:r>
      <w:r>
        <w:t xml:space="preserve">“Primary analysis parameters”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Primary analysis parameters used for the public ATAC and pseudobulk workflows. The complete source table is provided in the Supplementary Materials as “Primary analysis parameters”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jc w:val="left"/>
            </w:pPr>
          </w:p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Parameters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Public input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Bulk ATAC analyses use Buenrostro B-cell/T-cell FASTQs and ENCODE K562/HepG2 replicate tracks. Pseudobulk examples use public granulocyte-depleted 10x PBMC Multiome and PBMC5k scATAC fragment datasets. Motif analyses use JASPAR 2026 CORE vertebrate non-redundant motifs.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FASTQ preprocessing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Paired-end adapter detection and trimming with</w:t>
            </w:r>
            <w:r>
              <w:t xml:space="preserve"> </w:t>
            </w:r>
            <w:r>
              <w:rPr>
                <w:rStyle w:val="VerbatimChar"/>
              </w:rPr>
              <w:t xml:space="preserve">fastp</w:t>
            </w:r>
            <w:r>
              <w:t xml:space="preserve">; HTML and JSON QC reports written for each sample.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Alignment and BAM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aligned to hg38 with</w:t>
            </w:r>
            <w:r>
              <w:t xml:space="preserve"> </w:t>
            </w:r>
            <w:r>
              <w:rPr>
                <w:rStyle w:val="VerbatimChar"/>
              </w:rPr>
              <w:t xml:space="preserve">bowtie2 --very-sensitive -X 2000</w:t>
            </w:r>
            <w:r>
              <w:t xml:space="preserve">; proper pairs retained with</w:t>
            </w:r>
            <w:r>
              <w:t xml:space="preserve"> </w:t>
            </w:r>
            <w:r>
              <w:rPr>
                <w:rStyle w:val="VerbatimChar"/>
              </w:rPr>
              <w:t xml:space="preserve">samtools view -f 2 -F 2828 -q 30</w:t>
            </w:r>
            <w:r>
              <w:t xml:space="preserve">; BAMs sorted, fixed with</w:t>
            </w:r>
            <w:r>
              <w:t xml:space="preserve"> </w:t>
            </w:r>
            <w:r>
              <w:rPr>
                <w:rStyle w:val="VerbatimChar"/>
              </w:rPr>
              <w:t xml:space="preserve">fixmate -m</w:t>
            </w:r>
            <w:r>
              <w:t xml:space="preserve">, duplicate-marked with</w:t>
            </w:r>
            <w:r>
              <w:t xml:space="preserve"> </w:t>
            </w:r>
            <w:r>
              <w:rPr>
                <w:rStyle w:val="VerbatimChar"/>
              </w:rPr>
              <w:t xml:space="preserve">markdup -r</w:t>
            </w:r>
            <w:r>
              <w:t xml:space="preserve">, indexed, and summarized with flagstat/idxstats.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Blacklist and peak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Mitochondrial and nonstandard contigs excluded; hg38 blacklist v2 regions subtracted; MACS3 paired-end peaks called at q-value 0.01 and merged across replicates into one analysis peak set.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Bias correction and footprint scores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atac-correct</w:t>
            </w:r>
            <w:r>
              <w:t xml:space="preserve"> </w:t>
            </w:r>
            <w:r>
              <w:t xml:space="preserve">run on filtered BAMs with merged peaks and blacklist regions using default Tn5-bias settings;</w:t>
            </w:r>
            <w:r>
              <w:t xml:space="preserve"> </w:t>
            </w:r>
            <w:r>
              <w:rPr>
                <w:rStyle w:val="VerbatimChar"/>
              </w:rPr>
              <w:t xml:space="preserve">call-footprints --score footprint</w:t>
            </w:r>
            <w:r>
              <w:t xml:space="preserve"> </w:t>
            </w:r>
            <w:r>
              <w:t xml:space="preserve">run on corrected cut-site bigWigs with default footprint and flank windows.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Differential footprint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Buenrostro and ENCODE replicate footprint tracks analyzed with repeated condition labels, JASPAR 2026 motifs, and replicate reporting enabled. Runs include no-normalization and sample-quantile-normalized distribution-comparison settings where indicated; replicate-supported motif-score matrix reviews additionally use the limma-like empirical-Bayes view.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De novo motif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ENCODE K562/HepG2 candidate footprints exported as condition-level FASTA files with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75</m:t>
              </m:r>
            </m:oMath>
            <w:r>
              <w:t xml:space="preserve"> </w:t>
            </w:r>
            <w:r>
              <w:t xml:space="preserve">bp flanks; reciprocal STREME 5.5.9 runs used</w:t>
            </w:r>
            <w:r>
              <w:t xml:space="preserve"> </w:t>
            </w:r>
            <w:r>
              <w:rPr>
                <w:rStyle w:val="VerbatimChar"/>
              </w:rPr>
              <w:t xml:space="preserve">--dna --nmotifs 250</w:t>
            </w:r>
            <w:r>
              <w:t xml:space="preserve">; Tomtom 5.5.9 matched discovered motifs to JASPAR 2026; de novo motifs were evaluated alone and as additions to known motif sets.</w:t>
            </w:r>
          </w:p>
        </w:tc>
      </w:tr>
      <w:tr>
        <w:tc>
          <w:tcPr/>
          <w:p>
            <w:pPr>
              <w:jc w:val="left"/>
            </w:pPr>
          </w:p>
          <w:p>
            <w:pPr>
              <w:jc w:val="left"/>
            </w:pPr>
            <w:r>
              <w:t xml:space="preserve">Pseudobulk PBMC workflow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10x PBMC fragments grouped by broad immune labels, retaining groups with at least 300 cells and 50,000 fragments. The full</w:t>
            </w:r>
            <w:r>
              <w:t xml:space="preserve"> </w:t>
            </w:r>
            <w:r>
              <w:rPr>
                <w:rStyle w:val="VerbatimChar"/>
              </w:rPr>
              <w:t xml:space="preserve">pseudobulk-footprints</w:t>
            </w:r>
            <w:r>
              <w:t xml:space="preserve"> </w:t>
            </w:r>
            <w:r>
              <w:t xml:space="preserve">route writes pseudo-BAMs, runs ATAC correction with zero read shifting for fragment-derived pseudobulk BAMs, and emits footprint-score tracks, motif-aware differential results, and aggregate plots. The PBMC5k demonstration uses broad B-cell/monocyte/T–NK labels, marker sites, pairwise volcano plots, and KNN-smoothed footprint-signature UMAPs.</w:t>
            </w:r>
          </w:p>
        </w:tc>
      </w:tr>
    </w:tbl>
    <w:bookmarkEnd w:id="60"/>
    <w:bookmarkStart w:id="61" w:name="tab:supp_software_versions"/>
    <w:p>
      <w:pPr>
        <w:pStyle w:val="TableCaption"/>
      </w:pPr>
      <w:r>
        <w:t xml:space="preserve">Software and resource versions used for manuscript analyses. The complete source table is provided in the Supplementary Materials as</w:t>
      </w:r>
      <w:r>
        <w:t xml:space="preserve"> </w:t>
      </w:r>
      <w:r>
        <w:t xml:space="preserve">“Software and resource versions”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Software and resource versions used for manuscript analyses. The complete source table is provided in the Supplementary Materials as “Software and resource versions”.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Tool or resource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bedtools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sorting, merging, and blacklist subtraction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Biopython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Sequence and motif-related utilities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bowtie2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hg38 read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Ranger ARC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processing for the public 10x PBMC Multiome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Ranger ATAC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processing for the public 10x PBMC5k scATAC dataset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Paired-end FASTQ adapter detection, trimming, and QC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fp-tools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ATAC correction, footprint calling, motif matching, differential footprint analysis, pseudobulk utilities, and plotting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hg38 blacklist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Artifact-region filtering for processed bulk ATAC alignments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hg38 reference genome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GRCh38/hg38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alignment and sequence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htslib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SAM/BAM/VCF I/O backend used by</w:t>
            </w:r>
            <w:r>
              <w:t xml:space="preserve"> </w:t>
            </w:r>
            <w:r>
              <w:rPr>
                <w:rStyle w:val="VerbatimChar"/>
              </w:rPr>
              <w:t xml:space="preserve">samtools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JASPAR CORE vertebrates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non-redundant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 motif database for differential footprint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MACS3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ATAC-seq peak calling in paired-end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matplotlib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Manuscript figure rendering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MEME Suite, STREME, and Tomtom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novo motif discovery and discovered-motif matching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Numerical arrays and benchmark/figure calculations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pandas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Tabular processing for benchmark, manifest, and figure builders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pyBigWig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bigWig signal reading and writing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 and genomic interval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Runtime for analyses, figure builders, and provenance extraction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samtools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BAM filtering, sorting, fixmate, duplicate marking, indexing, and QC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SciPy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Statistical and interpolation utilities</w:t>
            </w:r>
          </w:p>
        </w:tc>
      </w:tr>
    </w:tbl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df" /><Relationship Type="http://schemas.openxmlformats.org/officeDocument/2006/relationships/image" Id="rId26" Target="media/rId26.pdf" /><Relationship Type="http://schemas.openxmlformats.org/officeDocument/2006/relationships/image" Id="rId31" Target="media/rId31.png" /><Relationship Type="http://schemas.openxmlformats.org/officeDocument/2006/relationships/image" Id="rId38" Target="media/rId38.pdf" /><Relationship Type="http://schemas.openxmlformats.org/officeDocument/2006/relationships/image" Id="rId44" Target="media/rId44.pdf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2026-06-22T18:20:55Z</dcterms:created>
  <dcterms:modified xsi:type="dcterms:W3CDTF">2026-06-22T18:20:55Z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ddress">
    <vt:lpwstr> ^{1} Department of Oncology, Lombardi Comprehensive Cancer Center, Georgetown University Medical Center, Georgetown University, Washington, DC, USA; yl814@georgetown.edu (Y.L.); cy232@georgetown.edu (C.Y.)</vt:lpwstr>
  </property>
  <property fmtid="{D5CDD505-2E9C-101B-9397-08002B2CF9AE}" pid="3" name="bibliography">
    <vt:lpwstr>references.bib</vt:lpwstr>
  </property>
</Properties>
</file>