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fp-tools:</w:t>
      </w:r>
      <w:r>
        <w:t xml:space="preserve"> </w:t>
      </w:r>
      <w:r>
        <w:t xml:space="preserve">A</w:t>
      </w:r>
      <w:r>
        <w:t xml:space="preserve"> </w:t>
      </w:r>
      <w:r>
        <w:t xml:space="preserve">Reproducible</w:t>
      </w:r>
      <w:r>
        <w:t xml:space="preserve"> </w:t>
      </w:r>
      <w:r>
        <w:t xml:space="preserve">Platform</w:t>
      </w:r>
      <w:r>
        <w:t xml:space="preserve"> </w:t>
      </w:r>
      <w:r>
        <w:t xml:space="preserve">for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and</w:t>
      </w:r>
      <w:r>
        <w:t xml:space="preserve"> </w:t>
      </w:r>
      <w:r>
        <w:t xml:space="preserve">Regulatory</w:t>
      </w:r>
      <w:r>
        <w:t xml:space="preserve"> </w:t>
      </w:r>
      <w:r>
        <w:t xml:space="preserve">Motif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Yaoxiang</w:t>
      </w:r>
      <w:r>
        <w:t xml:space="preserve"> </w:t>
      </w:r>
      <w:r>
        <w:t xml:space="preserve">Li</w:t>
      </w:r>
      <w:r>
        <w:t xml:space="preserve"> </w:t>
      </w:r>
      <w:r>
        <w:t xml:space="preserve">and</w:t>
      </w:r>
      <w:r>
        <w:t xml:space="preserve"> </w:t>
      </w:r>
      <w:r>
        <w:t xml:space="preserve">Chunling</w:t>
      </w:r>
      <w:r>
        <w:t xml:space="preserve"> </w:t>
      </w:r>
      <w:r>
        <w:t xml:space="preserve">Yi</w:t>
      </w:r>
      <w:r>
        <w:br/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Oncology,</w:t>
      </w:r>
      <w:r>
        <w:t xml:space="preserve"> </w:t>
      </w:r>
      <w:r>
        <w:t xml:space="preserve">Lombardi</w:t>
      </w:r>
      <w:r>
        <w:t xml:space="preserve"> </w:t>
      </w:r>
      <w:r>
        <w:t xml:space="preserve">Comprehensive</w:t>
      </w:r>
      <w:r>
        <w:t xml:space="preserve"> </w:t>
      </w:r>
      <w:r>
        <w:t xml:space="preserve">Cancer</w:t>
      </w:r>
      <w:r>
        <w:t xml:space="preserve"> </w:t>
      </w:r>
      <w:r>
        <w:t xml:space="preserve">Center,</w:t>
      </w:r>
      <w:r>
        <w:t xml:space="preserve"> </w:t>
      </w:r>
      <w:r>
        <w:t xml:space="preserve">Georgetown</w:t>
      </w:r>
      <w:r>
        <w:t xml:space="preserve"> </w:t>
      </w:r>
      <w:r>
        <w:t xml:space="preserve">University</w:t>
      </w:r>
      <w:r>
        <w:t xml:space="preserve"> </w:t>
      </w:r>
      <w:r>
        <w:t xml:space="preserve">Medical</w:t>
      </w:r>
      <w:r>
        <w:t xml:space="preserve"> </w:t>
      </w:r>
      <w:r>
        <w:t xml:space="preserve">Center,</w:t>
      </w:r>
      <w:r>
        <w:t xml:space="preserve"> </w:t>
      </w:r>
      <w:r>
        <w:t xml:space="preserve">Georgetown</w:t>
      </w:r>
      <w:r>
        <w:t xml:space="preserve"> </w:t>
      </w:r>
      <w:r>
        <w:t xml:space="preserve">University,</w:t>
      </w:r>
      <w:r>
        <w:t xml:space="preserve"> </w:t>
      </w:r>
      <w:r>
        <w:t xml:space="preserve">Washington,</w:t>
      </w:r>
      <w:r>
        <w:t xml:space="preserve"> </w:t>
      </w:r>
      <w:r>
        <w:t xml:space="preserve">DC,</w:t>
      </w:r>
      <w:r>
        <w:t xml:space="preserve"> </w:t>
      </w:r>
      <w:r>
        <w:t xml:space="preserve">USA;</w:t>
      </w:r>
      <w:r>
        <w:t xml:space="preserve"> </w:t>
      </w:r>
      <w:r>
        <w:t xml:space="preserve">yl814@georgetown.edu</w:t>
      </w:r>
      <w:r>
        <w:t xml:space="preserve"> </w:t>
      </w:r>
      <w:r>
        <w:t xml:space="preserve">(Y.L.);</w:t>
      </w:r>
      <w:r>
        <w:t xml:space="preserve"> </w:t>
      </w:r>
      <w:r>
        <w:t xml:space="preserve">cy232@georgetown.edu</w:t>
      </w:r>
      <w:r>
        <w:t xml:space="preserve"> </w:t>
      </w:r>
      <w:r>
        <w:t xml:space="preserve">(C.Y.)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enables</w:t>
      </w:r>
      <w:r>
        <w:t xml:space="preserve"> </w:t>
      </w:r>
      <w:r>
        <w:t xml:space="preserve">near-base-resolution</w:t>
      </w:r>
      <w:r>
        <w:t xml:space="preserve"> </w:t>
      </w:r>
      <w:r>
        <w:t xml:space="preserve">inference</w:t>
      </w:r>
      <w:r>
        <w:t xml:space="preserve"> </w:t>
      </w:r>
      <w:r>
        <w:t xml:space="preserve">of</w:t>
      </w:r>
      <w:r>
        <w:t xml:space="preserve"> </w:t>
      </w:r>
      <w:r>
        <w:t xml:space="preserve">transcription-factor</w:t>
      </w:r>
      <w:r>
        <w:t xml:space="preserve"> </w:t>
      </w:r>
      <w:r>
        <w:t xml:space="preserve">(TF)</w:t>
      </w:r>
      <w:r>
        <w:t xml:space="preserve"> </w:t>
      </w:r>
      <w:r>
        <w:t xml:space="preserve">occupancy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genome.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field</w:t>
      </w:r>
      <w:r>
        <w:t xml:space="preserve"> </w:t>
      </w:r>
      <w:r>
        <w:t xml:space="preserve">lacks</w:t>
      </w:r>
      <w:r>
        <w:t xml:space="preserve"> </w:t>
      </w:r>
      <w:r>
        <w:t xml:space="preserve">a</w:t>
      </w:r>
      <w:r>
        <w:t xml:space="preserve"> </w:t>
      </w:r>
      <w:r>
        <w:t xml:space="preserve">computationally</w:t>
      </w:r>
      <w:r>
        <w:t xml:space="preserve"> </w:t>
      </w:r>
      <w:r>
        <w:t xml:space="preserve">efficient,</w:t>
      </w:r>
      <w:r>
        <w:t xml:space="preserve"> </w:t>
      </w:r>
      <w:r>
        <w:t xml:space="preserve">user-friendly,</w:t>
      </w:r>
      <w:r>
        <w:t xml:space="preserve"> </w:t>
      </w:r>
      <w:r>
        <w:t xml:space="preserve">and</w:t>
      </w:r>
      <w:r>
        <w:t xml:space="preserve"> </w:t>
      </w:r>
      <w:r>
        <w:t xml:space="preserve">integrated</w:t>
      </w:r>
      <w:r>
        <w:t xml:space="preserve"> </w:t>
      </w:r>
      <w:r>
        <w:t xml:space="preserve">platform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t xml:space="preserve">both</w:t>
      </w:r>
      <w:r>
        <w:t xml:space="preserve"> </w:t>
      </w:r>
      <w:r>
        <w:t xml:space="preserve">bulk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data,</w:t>
      </w:r>
      <w:r>
        <w:t xml:space="preserve"> </w:t>
      </w:r>
      <w:r>
        <w:t xml:space="preserve">supports</w:t>
      </w:r>
      <w:r>
        <w:t xml:space="preserve"> </w:t>
      </w:r>
      <w:r>
        <w:t xml:space="preserve">both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motif</w:t>
      </w:r>
      <w:r>
        <w:t xml:space="preserve"> </w:t>
      </w:r>
      <w:r>
        <w:t xml:space="preserve">discovery</w:t>
      </w:r>
      <w:r>
        <w:t xml:space="preserve"> </w:t>
      </w:r>
      <w: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t xml:space="preserve">to</w:t>
      </w:r>
      <w:r>
        <w:t xml:space="preserve"> </w:t>
      </w:r>
      <w:r>
        <w:t xml:space="preserve">public</w:t>
      </w:r>
      <w:r>
        <w:t xml:space="preserve"> </w:t>
      </w:r>
      <w:r>
        <w:t xml:space="preserve">motif</w:t>
      </w:r>
      <w:r>
        <w:t xml:space="preserve"> </w:t>
      </w:r>
      <w:r>
        <w:t xml:space="preserve">databases,</w:t>
      </w:r>
      <w:r>
        <w:t xml:space="preserve"> </w:t>
      </w:r>
      <w:r>
        <w:t xml:space="preserve">and</w:t>
      </w:r>
      <w:r>
        <w:t xml:space="preserve"> </w:t>
      </w:r>
      <w:r>
        <w:t xml:space="preserve">generates</w:t>
      </w:r>
      <w:r>
        <w:t xml:space="preserve"> </w:t>
      </w:r>
      <w:r>
        <w:t xml:space="preserve">interactive</w:t>
      </w:r>
      <w:r>
        <w:t xml:space="preserve"> </w:t>
      </w:r>
      <w:r>
        <w:t xml:space="preserve">and</w:t>
      </w:r>
      <w:r>
        <w:t xml:space="preserve"> </w:t>
      </w:r>
      <w:r>
        <w:t xml:space="preserve">publication-ready</w:t>
      </w:r>
      <w:r>
        <w:t xml:space="preserve"> </w:t>
      </w:r>
      <w:r>
        <w:t xml:space="preserve">visual</w:t>
      </w:r>
      <w:r>
        <w:t xml:space="preserve"> </w:t>
      </w:r>
      <w:r>
        <w:t xml:space="preserve">outputs.</w:t>
      </w:r>
      <w:r>
        <w:t xml:space="preserve"> </w:t>
      </w:r>
      <w:r>
        <w:t xml:space="preserve">Here,</w:t>
      </w:r>
      <w:r>
        <w:t xml:space="preserve"> </w:t>
      </w:r>
      <w:r>
        <w:t xml:space="preserve">we</w:t>
      </w:r>
      <w:r>
        <w:t xml:space="preserve"> </w:t>
      </w:r>
      <w:r>
        <w:t xml:space="preserve">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Python</w:t>
      </w:r>
      <w:r>
        <w:t xml:space="preserve"> </w:t>
      </w:r>
      <w:r>
        <w:t xml:space="preserve">package</w:t>
      </w:r>
      <w:r>
        <w:t xml:space="preserve"> </w:t>
      </w:r>
      <w:r>
        <w:t xml:space="preserve">that</w:t>
      </w:r>
      <w:r>
        <w:t xml:space="preserve"> </w:t>
      </w:r>
      <w:r>
        <w:t xml:space="preserve">builds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widely</w:t>
      </w:r>
      <w:r>
        <w:t xml:space="preserve"> </w:t>
      </w:r>
      <w:r>
        <w:t xml:space="preserve">used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framework</w:t>
      </w:r>
      <w:r>
        <w:t xml:space="preserve"> </w:t>
      </w:r>
      <w:r>
        <w:t xml:space="preserve">TOBIAS.</w:t>
      </w:r>
      <w:r>
        <w:t xml:space="preserve"> </w:t>
      </w:r>
      <w:r>
        <w:t xml:space="preserve">We</w:t>
      </w:r>
      <w:r>
        <w:t xml:space="preserve"> </w:t>
      </w:r>
      <w:r>
        <w:t xml:space="preserve">substantially</w:t>
      </w:r>
      <w:r>
        <w:t xml:space="preserve"> </w:t>
      </w:r>
      <w:r>
        <w:t xml:space="preserve">improve</w:t>
      </w:r>
      <w:r>
        <w:t xml:space="preserve"> </w:t>
      </w:r>
      <w:r>
        <w:t xml:space="preserve">computational</w:t>
      </w:r>
      <w:r>
        <w:t xml:space="preserve"> </w:t>
      </w:r>
      <w:r>
        <w:t xml:space="preserve">efficiency</w:t>
      </w:r>
      <w:r>
        <w:t xml:space="preserve"> </w:t>
      </w:r>
      <w:r>
        <w:t xml:space="preserve">across</w:t>
      </w:r>
      <w:r>
        <w:t xml:space="preserve"> </w:t>
      </w:r>
      <w:r>
        <w:t xml:space="preserve">key</w:t>
      </w:r>
      <w:r>
        <w:t xml:space="preserve"> </w:t>
      </w:r>
      <w:r>
        <w:t xml:space="preserve">steps,</w:t>
      </w:r>
      <w:r>
        <w:t xml:space="preserve"> </w:t>
      </w:r>
      <w:r>
        <w:t xml:space="preserve">including</w:t>
      </w:r>
      <w:r>
        <w:t xml:space="preserve"> </w:t>
      </w:r>
      <w:r>
        <w:t xml:space="preserve">Tn5</w:t>
      </w:r>
      <w:r>
        <w:t xml:space="preserve"> </w:t>
      </w:r>
      <w:r>
        <w:t xml:space="preserve">bias</w:t>
      </w:r>
      <w:r>
        <w:t xml:space="preserve"> </w:t>
      </w:r>
      <w:r>
        <w:t xml:space="preserve">correction,</w:t>
      </w:r>
      <w:r>
        <w:t xml:space="preserve"> </w:t>
      </w:r>
      <w:r>
        <w:t xml:space="preserve">footprint</w:t>
      </w:r>
      <w:r>
        <w:t xml:space="preserve"> </w:t>
      </w:r>
      <w:r>
        <w:t xml:space="preserve">calling,</w:t>
      </w:r>
      <w:r>
        <w:t xml:space="preserve"> </w:t>
      </w:r>
      <w:r>
        <w:t xml:space="preserve">and</w:t>
      </w:r>
      <w:r>
        <w:t xml:space="preserve"> </w:t>
      </w:r>
      <w:r>
        <w:t xml:space="preserve">motif</w:t>
      </w:r>
      <w:r>
        <w:t xml:space="preserve"> </w:t>
      </w:r>
      <w:r>
        <w:t xml:space="preserve">matching.</w:t>
      </w:r>
      <w:r>
        <w:t xml:space="preserve"> </w:t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motif</w:t>
      </w:r>
      <w:r>
        <w:t xml:space="preserve"> </w:t>
      </w:r>
      <w:r>
        <w:t xml:space="preserve">discovery,</w:t>
      </w:r>
      <w:r>
        <w:t xml:space="preserve"> </w:t>
      </w:r>
      <w:r>
        <w:t xml:space="preserve">replicate-aware</w:t>
      </w:r>
      <w:r>
        <w:t xml:space="preserve"> </w:t>
      </w:r>
      <w:r>
        <w:t xml:space="preserve">differential</w:t>
      </w:r>
      <w:r>
        <w:t xml:space="preserve"> </w:t>
      </w:r>
      <w:r>
        <w:t xml:space="preserve">footprinting,</w:t>
      </w:r>
      <w:r>
        <w:t xml:space="preserve"> </w:t>
      </w:r>
      <w:r>
        <w:t xml:space="preserve">and</w:t>
      </w:r>
      <w:r>
        <w:t xml:space="preserve"> </w:t>
      </w:r>
      <w:r>
        <w:t xml:space="preserve">scaled</w:t>
      </w:r>
      <w:r>
        <w:t xml:space="preserve"> </w:t>
      </w:r>
      <w:r>
        <w:t xml:space="preserve">motif</w:t>
      </w:r>
      <w:r>
        <w:t xml:space="preserve"> </w:t>
      </w:r>
      <w:r>
        <w:t xml:space="preserve">aggregation,</w:t>
      </w:r>
      <w:r>
        <w:t xml:space="preserve"> </w:t>
      </w:r>
      <w:r>
        <w:t xml:space="preserve">all</w:t>
      </w:r>
      <w:r>
        <w:t xml:space="preserve"> </w:t>
      </w:r>
      <w:r>
        <w:t xml:space="preserve">features</w:t>
      </w:r>
      <w:r>
        <w:t xml:space="preserve"> </w:t>
      </w:r>
      <w:r>
        <w:t xml:space="preserve">not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TOBIAS.</w:t>
      </w:r>
      <w:r>
        <w:t xml:space="preserve"> </w:t>
      </w:r>
      <w:r>
        <w:t xml:space="preserve">We</w:t>
      </w:r>
      <w:r>
        <w:t xml:space="preserve"> </w:t>
      </w:r>
      <w:r>
        <w:t xml:space="preserve">further</w:t>
      </w:r>
      <w:r>
        <w:t xml:space="preserve"> </w:t>
      </w:r>
      <w:r>
        <w:t xml:space="preserve">streamline</w:t>
      </w:r>
      <w:r>
        <w:t xml:space="preserve"> </w:t>
      </w:r>
      <w:r>
        <w:t xml:space="preserve">a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workflow,</w:t>
      </w:r>
      <w:r>
        <w:t xml:space="preserve"> </w:t>
      </w:r>
      <w:r>
        <w:t xml:space="preserve">provide</w:t>
      </w:r>
      <w:r>
        <w:t xml:space="preserve"> </w:t>
      </w:r>
      <w:r>
        <w:t xml:space="preserve">interactive</w:t>
      </w:r>
      <w:r>
        <w:t xml:space="preserve"> </w:t>
      </w:r>
      <w:r>
        <w:t xml:space="preserve">visualization</w:t>
      </w:r>
      <w:r>
        <w:t xml:space="preserve"> </w:t>
      </w:r>
      <w:r>
        <w:t xml:space="preserve">of</w:t>
      </w:r>
      <w:r>
        <w:t xml:space="preserve"> </w:t>
      </w:r>
      <w:r>
        <w:t xml:space="preserve">analysis</w:t>
      </w:r>
      <w:r>
        <w:t xml:space="preserve"> </w:t>
      </w:r>
      <w:r>
        <w:t xml:space="preserve">results,</w:t>
      </w:r>
      <w:r>
        <w:t xml:space="preserve"> </w:t>
      </w:r>
      <w:r>
        <w:t xml:space="preserve">and</w:t>
      </w:r>
      <w:r>
        <w:t xml:space="preserve"> </w:t>
      </w:r>
      <w:r>
        <w:t xml:space="preserve">implement</w:t>
      </w:r>
      <w:r>
        <w:t xml:space="preserve"> </w:t>
      </w:r>
      <w:r>
        <w:t xml:space="preserve">a</w:t>
      </w:r>
      <w:r>
        <w:t xml:space="preserve"> </w:t>
      </w:r>
      <w:r>
        <w:t xml:space="preserve">graphical</w:t>
      </w:r>
      <w:r>
        <w:t xml:space="preserve"> </w:t>
      </w:r>
      <w:r>
        <w:t xml:space="preserve">user</w:t>
      </w:r>
      <w:r>
        <w:t xml:space="preserve"> </w:t>
      </w:r>
      <w:r>
        <w:t xml:space="preserve">interface</w:t>
      </w:r>
      <w:r>
        <w:t xml:space="preserve"> </w:t>
      </w:r>
      <w:r>
        <w:t xml:space="preserve">(GUI)</w:t>
      </w:r>
      <w:r>
        <w:t xml:space="preserve"> </w:t>
      </w:r>
      <w:r>
        <w:t xml:space="preserve">that</w:t>
      </w:r>
      <w:r>
        <w:t xml:space="preserve"> </w:t>
      </w:r>
      <w:r>
        <w:t xml:space="preserve">enables</w:t>
      </w:r>
      <w:r>
        <w:t xml:space="preserve"> </w:t>
      </w:r>
      <w:r>
        <w:t xml:space="preserve">code-free</w:t>
      </w:r>
      <w:r>
        <w:t xml:space="preserve"> </w:t>
      </w:r>
      <w:r>
        <w:t xml:space="preserve">execution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package</w:t>
      </w:r>
      <w:r>
        <w:t xml:space="preserve"> </w:t>
      </w:r>
      <w:r>
        <w:t xml:space="preserve">commands.</w:t>
      </w:r>
      <w:r>
        <w:t xml:space="preserve"> </w:t>
      </w:r>
      <w:r>
        <w:t xml:space="preserve">Using</w:t>
      </w:r>
      <w:r>
        <w:t xml:space="preserve"> </w:t>
      </w:r>
      <w:r>
        <w:t xml:space="preserve">public</w:t>
      </w:r>
      <w:r>
        <w:t xml:space="preserve"> </w:t>
      </w:r>
      <w:r>
        <w:t xml:space="preserve">bulk</w:t>
      </w:r>
      <w:r>
        <w:t xml:space="preserve"> </w:t>
      </w:r>
      <w:r>
        <w:t xml:space="preserve">ATAC-seq</w:t>
      </w:r>
      <w:r>
        <w:t xml:space="preserve"> </w:t>
      </w:r>
      <w:r>
        <w:t xml:space="preserve">replicates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datasets,</w:t>
      </w:r>
      <w:r>
        <w:t xml:space="preserve"> </w:t>
      </w:r>
      <w:r>
        <w:t xml:space="preserve">we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</w:t>
      </w:r>
      <w:r>
        <w:t xml:space="preserve"> </w:t>
      </w:r>
      <w:r>
        <w:t xml:space="preserve">recovers</w:t>
      </w:r>
      <w:r>
        <w:t xml:space="preserve"> </w:t>
      </w:r>
      <w:r>
        <w:t xml:space="preserve">cell-type-specific</w:t>
      </w:r>
      <w:r>
        <w:t xml:space="preserve"> </w:t>
      </w:r>
      <w:r>
        <w:t xml:space="preserve">TF-binding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identifies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binding</w:t>
      </w:r>
      <w:r>
        <w:t xml:space="preserve"> </w:t>
      </w:r>
      <w:r>
        <w:t xml:space="preserve">motifs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captured</w:t>
      </w:r>
      <w:r>
        <w:t xml:space="preserve"> </w:t>
      </w:r>
      <w:r>
        <w:t xml:space="preserve">by</w:t>
      </w:r>
      <w:r>
        <w:t xml:space="preserve"> </w:t>
      </w:r>
      <w:r>
        <w:t xml:space="preserve">existing</w:t>
      </w:r>
      <w:r>
        <w:t xml:space="preserve"> </w:t>
      </w:r>
      <w:r>
        <w:t xml:space="preserve">public</w:t>
      </w:r>
      <w:r>
        <w:t xml:space="preserve"> </w:t>
      </w:r>
      <w:r>
        <w:t xml:space="preserve">motif</w:t>
      </w:r>
      <w:r>
        <w:t xml:space="preserve"> </w:t>
      </w:r>
      <w:r>
        <w:t xml:space="preserve">databases.</w:t>
      </w:r>
      <w:r>
        <w:t xml:space="preserve"> </w:t>
      </w:r>
      <w:r>
        <w:t xml:space="preserve">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a</w:t>
      </w:r>
      <w:r>
        <w:t xml:space="preserve"> </w:t>
      </w:r>
      <w:r>
        <w:t xml:space="preserve">highly</w:t>
      </w:r>
      <w:r>
        <w:t xml:space="preserve"> </w:t>
      </w:r>
      <w:r>
        <w:t xml:space="preserve">efficient,</w:t>
      </w:r>
      <w:r>
        <w:t xml:space="preserve"> </w:t>
      </w:r>
      <w:r>
        <w:t xml:space="preserve">accessible,</w:t>
      </w:r>
      <w:r>
        <w:t xml:space="preserve"> </w:t>
      </w:r>
      <w:r>
        <w:t xml:space="preserve">and</w:t>
      </w:r>
      <w:r>
        <w:t xml:space="preserve"> </w:t>
      </w:r>
      <w:r>
        <w:t xml:space="preserve">comprehensive</w:t>
      </w:r>
      <w:r>
        <w:t xml:space="preserve"> </w:t>
      </w:r>
      <w:r>
        <w:t xml:space="preserve">platform</w:t>
      </w:r>
      <w:r>
        <w:t xml:space="preserve"> </w:t>
      </w:r>
      <w:r>
        <w:t xml:space="preserve">for</w:t>
      </w:r>
      <w:r>
        <w:t xml:space="preserve"> </w:t>
      </w:r>
      <w:r>
        <w:t xml:space="preserve">TF</w:t>
      </w:r>
      <w:r>
        <w:t xml:space="preserve"> </w:t>
      </w:r>
      <w:r>
        <w:t xml:space="preserve">footprint</w:t>
      </w:r>
      <w:r>
        <w:t xml:space="preserve"> </w:t>
      </w:r>
      <w:r>
        <w:t xml:space="preserve">analysis</w:t>
      </w:r>
      <w:r>
        <w:t xml:space="preserve"> </w:t>
      </w:r>
      <w:r>
        <w:t xml:space="preserve">across</w:t>
      </w:r>
      <w:r>
        <w:t xml:space="preserve"> </w:t>
      </w:r>
      <w:r>
        <w:t xml:space="preserve">bulk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studies.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replicate-aware differential footprinting; de novo motif</w:t>
      </w:r>
      <w:r>
        <w:t xml:space="preserve"> </w:t>
      </w:r>
      <w:r>
        <w:t xml:space="preserve">discovery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Assay for Transposase-Accessible Chromatin using Sequencing (ATAC-seq) has</w:t>
      </w:r>
      <w:r>
        <w:t xml:space="preserve"> </w:t>
      </w:r>
      <w:r>
        <w:t xml:space="preserve">become a standard tool in epigenetic and transcriptional studies </w:t>
      </w:r>
      <w:r>
        <w:t xml:space="preserve">(</w:t>
      </w:r>
      <w:hyperlink w:anchor="ref-buenrostro2013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By using a hyperactive Tn5 transposase to insert sequencing adapters into</w:t>
      </w:r>
      <w:r>
        <w:t xml:space="preserve"> </w:t>
      </w:r>
      <w:r>
        <w:t xml:space="preserve">accessible regions of DNA, ATAC-seq enables rapid and sensitive identification</w:t>
      </w:r>
      <w:r>
        <w:t xml:space="preserve"> </w:t>
      </w:r>
      <w:r>
        <w:t xml:space="preserve">of regulatory elements such as promoters, enhancers, and insulators. With the</w:t>
      </w:r>
      <w:r>
        <w:t xml:space="preserve"> </w:t>
      </w:r>
      <w:r>
        <w:t xml:space="preserve">development of single-cell ATAC-seq (scATAC-seq), this approach has further</w:t>
      </w:r>
      <w:r>
        <w:t xml:space="preserve"> </w:t>
      </w:r>
      <w:r>
        <w:t xml:space="preserve">enabled the characterization of cell-type-specific regulatory programs within</w:t>
      </w:r>
      <w:r>
        <w:t xml:space="preserve"> </w:t>
      </w:r>
      <w:r>
        <w:t xml:space="preserve">complex tissues </w:t>
      </w:r>
      <w:r>
        <w:t xml:space="preserve">(</w:t>
      </w:r>
      <w:hyperlink w:anchor="ref-buenrostro2015scatac">
        <w:r>
          <w:rPr>
            <w:rStyle w:val="Hyperlink"/>
          </w:rPr>
          <w:t xml:space="preserve">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Less widely recognized is that deeper analysis of the local depletion of Tn5 cut</w:t>
      </w:r>
      <w:r>
        <w:t xml:space="preserve"> </w:t>
      </w:r>
      <w:r>
        <w:t xml:space="preserve">sites within accessible chromatin can reveal transcription factor (TF) occupancy</w:t>
      </w:r>
      <w:r>
        <w:t xml:space="preserve"> </w:t>
      </w:r>
      <w:r>
        <w:t xml:space="preserve">at near base-pair resolution, producing characteristic protected regions known as</w:t>
      </w:r>
      <w:r>
        <w:t xml:space="preserve"> </w:t>
      </w:r>
      <w:r>
        <w:t xml:space="preserve">“</w:t>
      </w:r>
      <w:r>
        <w:t xml:space="preserve">footprints.</w:t>
      </w:r>
      <w:r>
        <w:t xml:space="preserve">”</w:t>
      </w:r>
      <w:r>
        <w:t xml:space="preserve"> </w:t>
      </w:r>
      <w:r>
        <w:t xml:space="preserve">Compared with standard motif enrichment analysis, which evaluates</w:t>
      </w:r>
      <w:r>
        <w:t xml:space="preserve"> </w:t>
      </w:r>
      <w:r>
        <w:t xml:space="preserve">only the frequencies of TF motifs within accessible regions, footprinting</w:t>
      </w:r>
      <w:r>
        <w:t xml:space="preserve"> </w:t>
      </w:r>
      <w:r>
        <w:t xml:space="preserve">provides more direct evidence of TF binding and quantitative information about</w:t>
      </w:r>
      <w:r>
        <w:t xml:space="preserve"> </w:t>
      </w:r>
      <w:r>
        <w:t xml:space="preserve">binding strength by measuring the difference in accessibility between the</w:t>
      </w:r>
      <w:r>
        <w:t xml:space="preserve"> </w:t>
      </w:r>
      <w:r>
        <w:t xml:space="preserve">protected footprint center and its flanking regions. However, the requirement for</w:t>
      </w:r>
      <w:r>
        <w:t xml:space="preserve"> </w:t>
      </w:r>
      <w:r>
        <w:t xml:space="preserve">additional computational processing, careful correction for Tn5 insertion bias,</w:t>
      </w:r>
      <w:r>
        <w:t xml:space="preserve"> </w:t>
      </w:r>
      <w:r>
        <w:t xml:space="preserve">and specialized analytical tools has limited its broader adoption.</w:t>
      </w:r>
    </w:p>
    <w:p>
      <w:pPr>
        <w:pStyle w:val="BodyText"/>
      </w:pPr>
      <w:r>
        <w:t xml:space="preserve">Earlier footprinting methods, including CENTIPEDE, Wellington, PIQ, DeFCoM, and</w:t>
      </w:r>
      <w:r>
        <w:t xml:space="preserve"> </w:t>
      </w:r>
      <w:r>
        <w:t xml:space="preserve">HINT, established important frameworks for detecting TF occupancy from chromatin</w:t>
      </w:r>
      <w:r>
        <w:t xml:space="preserve"> </w:t>
      </w:r>
      <w:r>
        <w:t xml:space="preserve">accessibility data </w:t>
      </w:r>
      <w:r>
        <w:t xml:space="preserve">(</w:t>
      </w:r>
      <w:hyperlink w:anchor="ref-pique2011centipede">
        <w:r>
          <w:rPr>
            <w:rStyle w:val="Hyperlink"/>
          </w:rPr>
          <w:t xml:space="preserve">3</w:t>
        </w:r>
      </w:hyperlink>
      <w:r>
        <w:t xml:space="preserve">–</w:t>
      </w:r>
      <w:hyperlink w:anchor="ref-li2019hint">
        <w:r>
          <w:rPr>
            <w:rStyle w:val="Hyperlink"/>
          </w:rPr>
          <w:t xml:space="preserve">7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Several of these methods were developed primarily around DNase-seq and did not</w:t>
      </w:r>
      <w:r>
        <w:t xml:space="preserve"> </w:t>
      </w:r>
      <w:r>
        <w:t xml:space="preserve">directly address the strong sequence preferences of Tn5 transposase in ATAC-seq.</w:t>
      </w:r>
      <w:r>
        <w:t xml:space="preserve"> </w:t>
      </w:r>
      <w:r>
        <w:t xml:space="preserve">HINT-ATAC incorporated Tn5 bias into footprint detection by modeling</w:t>
      </w:r>
      <w:r>
        <w:t xml:space="preserve"> </w:t>
      </w:r>
      <w:r>
        <w:t xml:space="preserve">position-dependent cleavage patterns </w:t>
      </w:r>
      <w:r>
        <w:t xml:space="preserve">(</w:t>
      </w:r>
      <w:hyperlink w:anchor="ref-li2019hint">
        <w:r>
          <w:rPr>
            <w:rStyle w:val="Hyperlink"/>
          </w:rPr>
          <w:t xml:space="preserve">7</w:t>
        </w:r>
      </w:hyperlink>
      <w:r>
        <w:t xml:space="preserve">)</w:t>
      </w:r>
      <w:r>
        <w:t xml:space="preserve">, whereas TOBIAS further</w:t>
      </w:r>
      <w:r>
        <w:t xml:space="preserve"> </w:t>
      </w:r>
      <w:r>
        <w:t xml:space="preserve">refined Tn5 correction by first estimating expected insertion bias from local</w:t>
      </w:r>
      <w:r>
        <w:t xml:space="preserve"> </w:t>
      </w:r>
      <w:r>
        <w:t xml:space="preserve">sequence context and adjusting the observed cut-site signal before footprint</w:t>
      </w:r>
      <w:r>
        <w:t xml:space="preserve"> </w:t>
      </w:r>
      <w:r>
        <w:t xml:space="preserve">scoring </w:t>
      </w:r>
      <w:r>
        <w:t xml:space="preserve">(</w:t>
      </w:r>
      <w:hyperlink w:anchor="ref-bentsen2020">
        <w:r>
          <w:rPr>
            <w:rStyle w:val="Hyperlink"/>
          </w:rPr>
          <w:t xml:space="preserve">8</w:t>
        </w:r>
      </w:hyperlink>
      <w:r>
        <w:t xml:space="preserve">)</w:t>
      </w:r>
      <w:r>
        <w:t xml:space="preserve">. This explicit correction reduces the likelihood that</w:t>
      </w:r>
      <w:r>
        <w:t xml:space="preserve"> </w:t>
      </w:r>
      <w:r>
        <w:t xml:space="preserve">sequence-driven Tn5 insertion preferences are misinterpreted as TF-associated</w:t>
      </w:r>
      <w:r>
        <w:t xml:space="preserve"> </w:t>
      </w:r>
      <w:r>
        <w:t xml:space="preserve">protection, thereby improving the reliability of ATAC-seq footprint inference.</w:t>
      </w:r>
    </w:p>
    <w:p>
      <w:pPr>
        <w:pStyle w:val="BodyText"/>
      </w:pPr>
      <w:r>
        <w:t xml:space="preserve">More recently, PRINT/scPrinter, maxATAC, and ChromBPNet have advanced</w:t>
      </w:r>
      <w:r>
        <w:t xml:space="preserve"> </w:t>
      </w:r>
      <w:r>
        <w:t xml:space="preserve">ATAC-seq-based TF binding inference through multiscale footprinting and</w:t>
      </w:r>
      <w:r>
        <w:t xml:space="preserve"> </w:t>
      </w:r>
      <w:r>
        <w:t xml:space="preserve">deep-learning models </w:t>
      </w:r>
      <w:r>
        <w:t xml:space="preserve">(</w:t>
      </w:r>
      <w:hyperlink w:anchor="ref-hu2024print">
        <w:r>
          <w:rPr>
            <w:rStyle w:val="Hyperlink"/>
          </w:rPr>
          <w:t xml:space="preserve">9</w:t>
        </w:r>
      </w:hyperlink>
      <w:r>
        <w:t xml:space="preserve">–</w:t>
      </w:r>
      <w:hyperlink w:anchor="ref-chrombpnet2024">
        <w:r>
          <w:rPr>
            <w:rStyle w:val="Hyperlink"/>
          </w:rPr>
          <w:t xml:space="preserve">11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Although powerful, these approaches remain challenging for broad adoption by</w:t>
      </w:r>
      <w:r>
        <w:t xml:space="preserve"> </w:t>
      </w:r>
      <w:r>
        <w:t xml:space="preserve">experimental researchers because they often require complex software setup,</w:t>
      </w:r>
      <w:r>
        <w:t xml:space="preserve"> </w:t>
      </w:r>
      <w:r>
        <w:t xml:space="preserve">large training or reference datasets, GPU-oriented computation, or less</w:t>
      </w:r>
      <w:r>
        <w:t xml:space="preserve"> </w:t>
      </w:r>
      <w:r>
        <w:t xml:space="preserve">transparent model interpretation. In contrast, TOBIAS provides a more accessible</w:t>
      </w:r>
      <w:r>
        <w:t xml:space="preserve"> </w:t>
      </w:r>
      <w:r>
        <w:t xml:space="preserve">ATAC-seq footprinting framework with explicit Tn5 bias correction and</w:t>
      </w:r>
      <w:r>
        <w:t xml:space="preserve"> </w:t>
      </w:r>
      <w:r>
        <w:t xml:space="preserve">interpretable footprint scores </w:t>
      </w:r>
      <w:r>
        <w:t xml:space="preserve">(</w:t>
      </w:r>
      <w:hyperlink w:anchor="ref-bentsen2020">
        <w:r>
          <w:rPr>
            <w:rStyle w:val="Hyperlink"/>
          </w:rPr>
          <w:t xml:space="preserve">8</w:t>
        </w:r>
      </w:hyperlink>
      <w:r>
        <w:t xml:space="preserve">)</w:t>
      </w:r>
      <w:r>
        <w:t xml:space="preserve">. However, TOBIAS remains</w:t>
      </w:r>
      <w:r>
        <w:t xml:space="preserve"> </w:t>
      </w:r>
      <w:r>
        <w:t xml:space="preserve">primarily command-line based and does not natively support de novo motif</w:t>
      </w:r>
      <w:r>
        <w:t xml:space="preserve"> </w:t>
      </w:r>
      <w:r>
        <w:t xml:space="preserve">discovery, replicate-aware statistics, or streamlined single-cell ATAC-seq</w:t>
      </w:r>
      <w:r>
        <w:t xml:space="preserve"> </w:t>
      </w:r>
      <w:r>
        <w:t xml:space="preserve">footprinting workflows.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these unmet needs. The package</w:t>
      </w:r>
      <w:r>
        <w:t xml:space="preserve"> </w:t>
      </w:r>
      <w:r>
        <w:t xml:space="preserve">preserves the interpretable, motif-centered footprinting logic of TOBIAS while</w:t>
      </w:r>
      <w:r>
        <w:t xml:space="preserve"> </w:t>
      </w:r>
      <w:r>
        <w:t xml:space="preserve">improving the speed, usability, and scope of the core analysis. Compared with</w:t>
      </w:r>
      <w:r>
        <w:t xml:space="preserve"> </w:t>
      </w:r>
      <w:r>
        <w:t xml:space="preserve">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 discovery with database matching,</w:t>
      </w:r>
      <w:r>
        <w:t xml:space="preserve"> </w:t>
      </w:r>
      <w:r>
        <w:t xml:space="preserve">replicate-aware differential footprint analysis, scaled motif aggregation,</w:t>
      </w:r>
      <w:r>
        <w:t xml:space="preserve"> </w:t>
      </w:r>
      <w:r>
        <w:t xml:space="preserve">streamlined single-cell ATAC-seq footprinting, interactive HTML reports, editable</w:t>
      </w:r>
      <w:r>
        <w:t xml:space="preserve"> </w:t>
      </w:r>
      <w:r>
        <w:t xml:space="preserve">SVG outputs, and a graphical user interface (GUI) for code-free execution of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By connecting common TF-footprinting tasks into a unified, auditable workflow</w:t>
      </w:r>
      <w:r>
        <w:t xml:space="preserve"> </w:t>
      </w:r>
      <w:r>
        <w:t xml:space="preserve">that can be run from the command line, saved YAML configuration files, or the</w:t>
      </w:r>
      <w:r>
        <w:t xml:space="preserve"> </w:t>
      </w:r>
      <w:r>
        <w:t xml:space="preserve">GUI,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makes footprinting more accessible to both computational</w:t>
      </w:r>
      <w:r>
        <w:t xml:space="preserve"> </w:t>
      </w:r>
      <w:r>
        <w:t xml:space="preserve">and experimental researchers. Here, we describe the implementation of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and evaluate its performance using public bulk ATAC-seq</w:t>
      </w:r>
      <w:r>
        <w:t xml:space="preserve"> </w:t>
      </w:r>
      <w:r>
        <w:t xml:space="preserve">replicate datasets and single-cell ATAC-seq datasets, demonstrating its potential</w:t>
      </w:r>
      <w:r>
        <w:t xml:space="preserve"> </w:t>
      </w:r>
      <w:r>
        <w:t xml:space="preserve">to expand the routine use of footprinting in regulatory genomics studies.</w:t>
      </w:r>
    </w:p>
    <w:bookmarkEnd w:id="20"/>
    <w:bookmarkStart w:id="29" w:name="materials-and-methods"/>
    <w:p>
      <w:pPr>
        <w:pStyle w:val="Heading1"/>
      </w:pPr>
      <w:r>
        <w:t xml:space="preserve">Materials and Methods</w:t>
      </w:r>
    </w:p>
    <w:bookmarkStart w:id="21" w:name="core-signal-model-and-footprint-scoring"/>
    <w:p>
      <w:pPr>
        <w:pStyle w:val="Heading2"/>
      </w:pPr>
      <w:r>
        <w:t xml:space="preserve">Core Signal Model and Footprint Scoring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uses a command-oriented workflow in which corrected cut-site</w:t>
      </w:r>
      <w:r>
        <w:t xml:space="preserve"> </w:t>
      </w:r>
      <w:r>
        <w:t xml:space="preserve">tracks, genomic regions, motif annotations, sample labels, and output files</w:t>
      </w:r>
      <w:r>
        <w:t xml:space="preserve"> </w:t>
      </w:r>
      <w:r>
        <w:t xml:space="preserve">follow consistent conventions. This allows bias-correction outputs to be used</w:t>
      </w:r>
      <w:r>
        <w:t xml:space="preserve"> </w:t>
      </w:r>
      <w:r>
        <w:t xml:space="preserve">directly for footprint scoring, motif-anchored differential analysis, and</w:t>
      </w:r>
      <w:r>
        <w:t xml:space="preserve"> </w:t>
      </w:r>
      <w:r>
        <w:t xml:space="preserve">aggregate visualization around transcription factor binding sites (TFBSs) or</w:t>
      </w:r>
      <w:r>
        <w:t xml:space="preserve"> </w:t>
      </w:r>
      <w:r>
        <w:t xml:space="preserve">user-defined genomic regions. YAML configuration files record input files and</w:t>
      </w:r>
      <w:r>
        <w:t xml:space="preserve"> </w:t>
      </w:r>
      <w:r>
        <w:t xml:space="preserve">analysis parameters so the same workflow can be rerun without modifying the</w:t>
      </w:r>
      <w:r>
        <w:t xml:space="preserve"> </w:t>
      </w:r>
      <w:r>
        <w:t xml:space="preserve">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</w:t>
      </w:r>
      <w:hyperlink w:anchor="ref-bentsen2020">
        <w:r>
          <w:rPr>
            <w:rStyle w:val="Hyperlink"/>
          </w:rPr>
          <w:t xml:space="preserve">8</w:t>
        </w:r>
      </w:hyperlink>
      <w:r>
        <w:t xml:space="preserve">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Tn5 cut-site profiles</w:t>
      </w:r>
      <w:r>
        <w:t xml:space="preserve"> </w:t>
      </w:r>
      <w:r>
        <w:t xml:space="preserve">as the primary signal for footprint analysis. This design preserves the standard</w:t>
      </w:r>
      <w:r>
        <w:t xml:space="preserve"> </w:t>
      </w:r>
      <w:r>
        <w:t xml:space="preserve">bulk ATAC-seq footprinting interpretation, in which putative TF occupancy is</w:t>
      </w:r>
      <w:r>
        <w:t xml:space="preserve"> </w:t>
      </w:r>
      <w:r>
        <w:t xml:space="preserve">inferred from a local depletion of corrected cut sites at a motif or candidate</w:t>
      </w:r>
      <w:r>
        <w:t xml:space="preserve"> </w:t>
      </w:r>
      <w:r>
        <w:t xml:space="preserve">binding site relative to the surrounding accessible flanks. Bias correction</w:t>
      </w:r>
      <w:r>
        <w:t xml:space="preserve"> </w:t>
      </w:r>
      <w:r>
        <w:t xml:space="preserve">estimates the sequence-driven component of Tn5 insertion and produces corrected</w:t>
      </w:r>
      <w:r>
        <w:t xml:space="preserve"> </w:t>
      </w:r>
      <w:r>
        <w:t xml:space="preserve">cut-site tracks in which local depletion and enrichment are less likely to</w:t>
      </w:r>
      <w:r>
        <w:t xml:space="preserve"> </w:t>
      </w:r>
      <w:r>
        <w:t xml:space="preserve">reflect transposase sequence preference alone. After bias correction,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optionally rescale corrected cut-site tracks before</w:t>
      </w:r>
      <w:r>
        <w:t xml:space="preserve"> </w:t>
      </w:r>
      <w:r>
        <w:t xml:space="preserve">footprint scoring. When this option is enabled, a single multiplicative scale</w:t>
      </w:r>
      <w:r>
        <w:t xml:space="preserve"> </w:t>
      </w:r>
      <w:r>
        <w:t xml:space="preserve">factor is estimated for each sample from shared background regions. If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0.95</m:t>
            </m:r>
          </m:sub>
        </m:sSub>
      </m:oMath>
      <w:r>
        <w:t xml:space="preserve"> </w:t>
      </w:r>
      <w:r>
        <w:t xml:space="preserve">denotes the 95th percentile of corrected signal for sample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 shared background regions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0.95</m:t>
            </m:r>
          </m:sub>
        </m:sSub>
      </m:oMath>
      <w:r>
        <w:t xml:space="preserve"> </w:t>
      </w:r>
      <w:r>
        <w:t xml:space="preserve">denotes the across-sample</w:t>
      </w:r>
      <w:r>
        <w:t xml:space="preserve"> </w:t>
      </w:r>
      <w:r>
        <w:t xml:space="preserve">target, typically the median of the sample-level 95th percentiles, the rescaled</w:t>
      </w:r>
      <w:r>
        <w:t xml:space="preserve"> </w:t>
      </w:r>
      <w:r>
        <w:t xml:space="preserve">signal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sSub>
            <m:e>
              <m:r>
                <m:rPr>
                  <m:sty m:val="p"/>
                </m:rPr>
                <m:t>′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f>
            <m:fPr>
              <m:type m:val="bar"/>
            </m:fPr>
            <m:num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0.95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0.95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robust q95 scaling reduces sample-to-sample differences in overall signal</w:t>
      </w:r>
      <w:r>
        <w:t xml:space="preserve"> </w:t>
      </w:r>
      <w:r>
        <w:t xml:space="preserve">magnitude while preserving the shape of each sample’s corrected signal profile,</w:t>
      </w:r>
      <w:r>
        <w:t xml:space="preserve"> </w:t>
      </w:r>
      <w:r>
        <w:t xml:space="preserve">without forcing the complete empirical signal distributions to be identical.</w:t>
      </w:r>
    </w:p>
    <w:p>
      <w:pPr>
        <w:pStyle w:val="BodyText"/>
      </w:pPr>
      <w:r>
        <w:t xml:space="preserve">For footprint scoring,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the corrected Tn5 cut-site signal at</w:t>
      </w:r>
      <w:r>
        <w:t xml:space="preserve"> </w:t>
      </w:r>
      <w:r>
        <w:t xml:space="preserve">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around a candidate footprint position</w:t>
      </w:r>
      <w:r>
        <w:t xml:space="preserve"> </w:t>
      </w:r>
      <m:oMath>
        <m:r>
          <m:t>p</m:t>
        </m:r>
      </m:oMath>
      <w:r>
        <w:t xml:space="preserve">, after optional q95</w:t>
      </w:r>
      <w:r>
        <w:t xml:space="preserve"> </w:t>
      </w:r>
      <w:r>
        <w:t xml:space="preserve">scaling when enabled. The default footprint score is calculated as a</w:t>
      </w:r>
      <w:r>
        <w:t xml:space="preserve"> </w:t>
      </w:r>
      <w:r>
        <w:t xml:space="preserve">center-versus-flank 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C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denotes the protected center window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the left</w:t>
      </w:r>
      <w:r>
        <w:t xml:space="preserve"> </w:t>
      </w:r>
      <w:r>
        <w:t xml:space="preserve">and right flanking windows. Window sizes are user-configurable and are recorded</w:t>
      </w:r>
      <w:r>
        <w:t xml:space="preserve"> </w:t>
      </w:r>
      <w:r>
        <w:t xml:space="preserve">with the analysis parameters. Larger values indicate lower corrected cut-site</w:t>
      </w:r>
      <w:r>
        <w:t xml:space="preserve"> </w:t>
      </w:r>
      <w:r>
        <w:t xml:space="preserve">signal in the center than in the surrounding flanks, corresponding to the</w:t>
      </w:r>
      <w:r>
        <w:t xml:space="preserve"> </w:t>
      </w:r>
      <w:r>
        <w:t xml:space="preserve">expected footprint pattern of reduced Tn5 cleavage at a putative bound site and</w:t>
      </w:r>
      <w:r>
        <w:t xml:space="preserve"> </w:t>
      </w:r>
      <w:r>
        <w:t xml:space="preserve">higher cleavage in nearby accessible DNA.</w:t>
      </w:r>
    </w:p>
    <w:bookmarkEnd w:id="21"/>
    <w:bookmarkStart w:id="22" w:name="X791084c4198f11bc2231895ae22bb1bb4812a63"/>
    <w:p>
      <w:pPr>
        <w:pStyle w:val="Heading2"/>
      </w:pPr>
      <w:r>
        <w:t xml:space="preserve">Known-motif Scanning and Motif-site Definition</w:t>
      </w:r>
    </w:p>
    <w:p>
      <w:pPr>
        <w:pStyle w:val="FirstParagraph"/>
      </w:pPr>
      <w:r>
        <w:t xml:space="preserve">For motif-anchored footprint analysis,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scans candidate</w:t>
      </w:r>
      <w:r>
        <w:t xml:space="preserve"> </w:t>
      </w:r>
      <w:r>
        <w:t xml:space="preserve">accessible regions for transcription factor motif matches using position weight</w:t>
      </w:r>
      <w:r>
        <w:t xml:space="preserve"> </w:t>
      </w:r>
      <w:r>
        <w:t xml:space="preserve">matrices from a user-supplied motif database, such as JASPAR 2026 CORE</w:t>
      </w:r>
      <w:r>
        <w:t xml:space="preserve"> </w:t>
      </w:r>
      <w:r>
        <w:t xml:space="preserve">vertebrates non-redundant motifs </w:t>
      </w:r>
      <w:r>
        <w:t xml:space="preserve">(</w:t>
      </w:r>
      <w:hyperlink w:anchor="ref-jaspar2026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. The GC content of the</w:t>
      </w:r>
      <w:r>
        <w:t xml:space="preserve"> </w:t>
      </w:r>
      <w:r>
        <w:t xml:space="preserve">accessible-region sequence set is used as the background nucleotide distribution</w:t>
      </w:r>
      <w:r>
        <w:t xml:space="preserve"> </w:t>
      </w:r>
      <w:r>
        <w:t xml:space="preserve">for log-odds motif scoring, and motif-specific score thresholds are derived from</w:t>
      </w:r>
      <w:r>
        <w:t xml:space="preserve"> </w:t>
      </w:r>
      <w:r>
        <w:t xml:space="preserve">the configured motif-match p-value cutoff. Both strands are scanned. For each</w:t>
      </w:r>
      <w:r>
        <w:t xml:space="preserve"> </w:t>
      </w:r>
      <w:r>
        <w:t xml:space="preserve">motif, overlapping candidate matches for that motif are resolved by retaining</w:t>
      </w:r>
      <w:r>
        <w:t xml:space="preserve"> </w:t>
      </w:r>
      <w:r>
        <w:t xml:space="preserve">the higher-scoring match, so each motif contributes a non-overlapping site set</w:t>
      </w:r>
      <w:r>
        <w:t xml:space="preserve"> </w:t>
      </w:r>
      <w:r>
        <w:t xml:space="preserve">for downstream analysis.</w:t>
      </w:r>
    </w:p>
    <w:p>
      <w:pPr>
        <w:pStyle w:val="BodyText"/>
      </w:pPr>
      <w:r>
        <w:t xml:space="preserve">Each motif site is represented by its genomic interval, motif identifier, strand,</w:t>
      </w:r>
      <w:r>
        <w:t xml:space="preserve"> </w:t>
      </w:r>
      <w:r>
        <w:t xml:space="preserve">motif score, associated peak or region annotation, and the footprint score</w:t>
      </w:r>
      <w:r>
        <w:t xml:space="preserve"> </w:t>
      </w:r>
      <w:r>
        <w:t xml:space="preserve">measured from each input signal track. For motif</w:t>
      </w:r>
      <w:r>
        <w:t xml:space="preserve"> </w:t>
      </w:r>
      <m:oMath>
        <m:r>
          <m:t>m</m:t>
        </m:r>
      </m:oMath>
      <w:r>
        <w:t xml:space="preserve">, let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r>
        <w:t xml:space="preserve">candidate sites assigned to that motif within the common accessible-region</w:t>
      </w:r>
      <w:r>
        <w:t xml:space="preserve"> </w:t>
      </w:r>
      <w:r>
        <w:t xml:space="preserve">universe. Background positions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sampled from the same accessible-region</w:t>
      </w:r>
      <w:r>
        <w:t xml:space="preserve"> </w:t>
      </w:r>
      <w:r>
        <w:t xml:space="preserve">universe and are used to estimate the expected distribution of footprint-score</w:t>
      </w:r>
      <w:r>
        <w:t xml:space="preserve"> </w:t>
      </w:r>
      <w:r>
        <w:t xml:space="preserve">changes not specifically associated with scanned motif sites. This shared</w:t>
      </w:r>
      <w:r>
        <w:t xml:space="preserve"> </w:t>
      </w:r>
      <w:r>
        <w:t xml:space="preserve">motif-site and background-position representation allows single-sample,</w:t>
      </w:r>
      <w:r>
        <w:t xml:space="preserve"> </w:t>
      </w:r>
      <w:r>
        <w:t xml:space="preserve">replicate-supported, and de novo-augmented analyses to use the same downstream</w:t>
      </w:r>
      <w:r>
        <w:t xml:space="preserve"> </w:t>
      </w:r>
      <w:r>
        <w:t xml:space="preserve">differential footprinting framework.</w:t>
      </w:r>
    </w:p>
    <w:p>
      <w:pPr>
        <w:pStyle w:val="BodyText"/>
      </w:pPr>
      <w:r>
        <w:t xml:space="preserve">When de novo motifs are discovered and matched to known motifs, the discovered</w:t>
      </w:r>
      <w:r>
        <w:t xml:space="preserve"> </w:t>
      </w:r>
      <w:r>
        <w:t xml:space="preserve">motif set can be analyzed independently or appended to the known motif database</w:t>
      </w:r>
      <w:r>
        <w:t xml:space="preserve"> </w:t>
      </w:r>
      <w:r>
        <w:t xml:space="preserve">and scanned using the same motif-site conventions.</w:t>
      </w:r>
    </w:p>
    <w:bookmarkEnd w:id="22"/>
    <w:bookmarkStart w:id="23" w:name="de-novo-motif-discovery"/>
    <w:p>
      <w:pPr>
        <w:pStyle w:val="Heading2"/>
      </w:pPr>
      <w:r>
        <w:t xml:space="preserve">De Novo Motif Discovery</w:t>
      </w:r>
    </w:p>
    <w:p>
      <w:pPr>
        <w:pStyle w:val="FirstParagraph"/>
      </w:pPr>
      <w:r>
        <w:t xml:space="preserve">The de novo motif discovery module begins from candidate footprint intervals,</w:t>
      </w:r>
      <w:r>
        <w:t xml:space="preserve"> </w:t>
      </w:r>
      <w:r>
        <w:t xml:space="preserve">which may be produced by footprint calling or provided as input.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BED-like strand annotation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</w:t>
      </w:r>
      <w:r>
        <w:t xml:space="preserve"> </w:t>
      </w:r>
      <w:r>
        <w:t xml:space="preserve">flank size</w:t>
      </w:r>
      <w:r>
        <w:t xml:space="preserve"> </w:t>
      </w:r>
      <m:oMath>
        <m:r>
          <m:t>h</m:t>
        </m:r>
      </m:oMath>
      <w:r>
        <w:t xml:space="preserve">, it extracts a candidate-centered sequence from the reference</w:t>
      </w:r>
      <w:r>
        <w:t xml:space="preserve"> </w:t>
      </w:r>
      <w:r>
        <w:t xml:space="preserve">genome. Using one-based inclusive notation for clarity, this sequence has length</w:t>
      </w:r>
      <w:r>
        <w:t xml:space="preserve"> </w:t>
      </w:r>
      <m:oMath>
        <m:r>
          <m:t>2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is written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G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nor/>
                        <m:sty m:val="p"/>
                        <m:scr m:val="monospace"/>
                      </m:rPr>
                      <m:t>+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  <m:scr m:val="monospace"/>
                      </m:rPr>
                      <m:t>.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{</m:t>
                    </m:r>
                    <m:r>
                      <m:t>G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  <m:scr m:val="monospace"/>
                      </m:rPr>
                      <m:t>-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Thus, positive-strand and unstranded candidate intervals are exported in the</w:t>
      </w:r>
      <w:r>
        <w:t xml:space="preserve"> </w:t>
      </w:r>
      <w:r>
        <w:t xml:space="preserve">reference-genome orientation, whereas negative-strand intervals are</w:t>
      </w:r>
      <w:r>
        <w:t xml:space="preserve"> </w:t>
      </w:r>
      <w:r>
        <w:t xml:space="preserve">reverse-complemented before motif discovery.</w:t>
      </w:r>
      <w:r>
        <w:t xml:space="preserve"> </w:t>
      </w:r>
      <w:r>
        <w:t xml:space="preserve">When half-open BED-style coordinates are used internally, interval endpoints are</w:t>
      </w:r>
      <w:r>
        <w:t xml:space="preserve"> </w:t>
      </w:r>
      <w:r>
        <w:t xml:space="preserve">converted before sequence extraction so that the exported FASTA sequence remains</w:t>
      </w:r>
      <w:r>
        <w:t xml:space="preserve"> </w:t>
      </w:r>
      <w:r>
        <w:t xml:space="preserve">centered on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 The module records the input intervals, genome build, flank</w:t>
      </w:r>
      <w:r>
        <w:t xml:space="preserve"> </w:t>
      </w:r>
      <w:r>
        <w:t xml:space="preserve">width, software versions, and the parameters passed to MEME, DREME, or</w:t>
      </w:r>
      <w:r>
        <w:t xml:space="preserve"> </w:t>
      </w:r>
      <w:r>
        <w:t xml:space="preserve">STREME </w:t>
      </w:r>
      <w:r>
        <w:t xml:space="preserve">(</w:t>
      </w:r>
      <w:hyperlink w:anchor="ref-bailey2015meme">
        <w:r>
          <w:rPr>
            <w:rStyle w:val="Hyperlink"/>
          </w:rPr>
          <w:t xml:space="preserve">13</w:t>
        </w:r>
      </w:hyperlink>
      <w:r>
        <w:t xml:space="preserve">–</w:t>
      </w:r>
      <w:hyperlink w:anchor="ref-Bailey2021_STREME">
        <w:r>
          <w:rPr>
            <w:rStyle w:val="Hyperlink"/>
          </w:rPr>
          <w:t xml:space="preserve">15</w:t>
        </w:r>
      </w:hyperlink>
      <w:r>
        <w:t xml:space="preserve">)</w:t>
      </w:r>
      <w:r>
        <w:t xml:space="preserve"> </w:t>
      </w:r>
      <w:r>
        <w:t xml:space="preserve">for motif</w:t>
      </w:r>
      <w:r>
        <w:t xml:space="preserve"> </w:t>
      </w:r>
      <w:r>
        <w:t xml:space="preserve">discovery. When database comparison is requested, the corresponding</w:t>
      </w:r>
      <w:r>
        <w:t xml:space="preserve"> </w:t>
      </w:r>
      <w:r>
        <w:t xml:space="preserve">Tomtom </w:t>
      </w:r>
      <w:r>
        <w:t xml:space="preserve">(</w:t>
      </w:r>
      <w:hyperlink w:anchor="ref-gupta2007tomtom">
        <w:r>
          <w:rPr>
            <w:rStyle w:val="Hyperlink"/>
          </w:rPr>
          <w:t xml:space="preserve">16</w:t>
        </w:r>
      </w:hyperlink>
      <w:r>
        <w:t xml:space="preserve">)</w:t>
      </w:r>
      <w:r>
        <w:t xml:space="preserve"> </w:t>
      </w:r>
      <w:r>
        <w:t xml:space="preserve">settings are also recorded. STREME was designed</w:t>
      </w:r>
      <w:r>
        <w:t xml:space="preserve"> </w:t>
      </w:r>
      <w:r>
        <w:t xml:space="preserve">for accurate motif discovery from enriched sequence sets </w:t>
      </w:r>
      <w:r>
        <w:t xml:space="preserve">(</w:t>
      </w:r>
      <w:hyperlink w:anchor="ref-Bailey2021_STREME">
        <w:r>
          <w:rPr>
            <w:rStyle w:val="Hyperlink"/>
          </w:rPr>
          <w:t xml:space="preserve">15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Discovered motifs can be analyzed as an independent motif set or matched to a</w:t>
      </w:r>
      <w:r>
        <w:t xml:space="preserve"> </w:t>
      </w:r>
      <w:r>
        <w:t xml:space="preserve">known database such as JASPAR 2026 </w:t>
      </w:r>
      <w:r>
        <w:t xml:space="preserve">(</w:t>
      </w:r>
      <w:hyperlink w:anchor="ref-jaspar2026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 </w:t>
      </w:r>
      <w:r>
        <w:t xml:space="preserve">and appended to the known</w:t>
      </w:r>
      <w:r>
        <w:t xml:space="preserve"> </w:t>
      </w:r>
      <w:r>
        <w:t xml:space="preserve">motif set for downstream differential footprint analysis. In this design,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become part of the recorded footprint analysis.</w:t>
      </w:r>
    </w:p>
    <w:bookmarkEnd w:id="23"/>
    <w:bookmarkStart w:id="24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 Thus, the</w:t>
      </w:r>
      <w:r>
        <w:t xml:space="preserve"> </w:t>
      </w:r>
      <w:r>
        <w:t xml:space="preserve">pseudobulk profile represents the sum of fragments from cells assigned to a</w:t>
      </w:r>
      <w:r>
        <w:t xml:space="preserve"> </w:t>
      </w:r>
      <w:r>
        <w:t xml:space="preserve">group, rather than a binarized representation of accessible regions. Groups that</w:t>
      </w:r>
      <w:r>
        <w:t xml:space="preserve"> </w:t>
      </w:r>
      <w:r>
        <w:t xml:space="preserve">pass specified cell-count and fragment-count filters are written as bulk-like</w:t>
      </w:r>
      <w:r>
        <w:t xml:space="preserve"> </w:t>
      </w:r>
      <w:r>
        <w:t xml:space="preserve">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counts per million cut sites (CPM)-normalized</w:t>
      </w:r>
      <w:r>
        <w:t xml:space="preserve"> </w:t>
      </w:r>
      <w:r>
        <w:t xml:space="preserve">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support motif-centered aggregate profiles matched to the bulk ATAC-seq</w:t>
      </w:r>
      <w:r>
        <w:t xml:space="preserve"> </w:t>
      </w:r>
      <w:r>
        <w:t xml:space="preserve">analysis path. The full pseudobulk route writes pseudo-paired BAMs from grouped</w:t>
      </w:r>
      <w:r>
        <w:t xml:space="preserve"> </w:t>
      </w:r>
      <w:r>
        <w:t xml:space="preserve">fragment endpoints and then runs correction, scoring, motif-aware comparison, and</w:t>
      </w:r>
      <w:r>
        <w:t xml:space="preserve"> </w:t>
      </w:r>
      <w:r>
        <w:t xml:space="preserve">plotting with the same conventions used for bulk ATAC-seq.</w:t>
      </w:r>
    </w:p>
    <w:bookmarkEnd w:id="24"/>
    <w:bookmarkStart w:id="25" w:name="Xb8ff63a024fc834a18a6b562127ef1596c2556b"/>
    <w:p>
      <w:pPr>
        <w:pStyle w:val="Heading2"/>
      </w:pPr>
      <w:r>
        <w:t xml:space="preserve">Cell-level Footprint-signature Visualization</w:t>
      </w:r>
    </w:p>
    <w:p>
      <w:pPr>
        <w:pStyle w:val="FirstParagraph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cut-site profiles across its 75 nearest neighbors in the</w:t>
      </w:r>
      <w:r>
        <w:t xml:space="preserve"> </w:t>
      </w:r>
      <w:r>
        <w:t xml:space="preserve">single-cell embedding, and a flank-minus-center footprint-signature score is</w:t>
      </w:r>
      <w:r>
        <w:t xml:space="preserve"> </w:t>
      </w:r>
      <w:r>
        <w:t xml:space="preserve">computed from that neighborhood profile. Marker TFs are selected from the</w:t>
      </w:r>
      <w:r>
        <w:t xml:space="preserve"> </w:t>
      </w:r>
      <w:r>
        <w:t xml:space="preserve">pseudobulk differential-footprint results and biological prior marker sets before</w:t>
      </w:r>
      <w:r>
        <w:t xml:space="preserve"> </w:t>
      </w:r>
      <w:r>
        <w:t xml:space="preserve">display orientation is applied. For visualization only, signatures are oriented</w:t>
      </w:r>
      <w:r>
        <w:t xml:space="preserve"> </w:t>
      </w:r>
      <w:r>
        <w:t xml:space="preserve">so that higher values correspond to the marker-associated cell population and are</w:t>
      </w:r>
      <w:r>
        <w:t xml:space="preserve"> </w:t>
      </w:r>
      <w:r>
        <w:t xml:space="preserve">then standardized per TF for UMAP display. These KNN-smoothed signatures are</w:t>
      </w:r>
      <w:r>
        <w:t xml:space="preserve"> </w:t>
      </w:r>
      <w:r>
        <w:t xml:space="preserve">used for cell-level visualization of motif-centered cut-site patterns, whereas</w:t>
      </w:r>
      <w:r>
        <w:t xml:space="preserve"> </w:t>
      </w:r>
      <w:r>
        <w:t xml:space="preserve">full bias-corrected footprint tracks and statistical comparisons are computed</w:t>
      </w:r>
      <w:r>
        <w:t xml:space="preserve"> </w:t>
      </w:r>
      <w:r>
        <w:t xml:space="preserve">from grouped pseudobulk profiles.</w:t>
      </w:r>
    </w:p>
    <w:bookmarkEnd w:id="25"/>
    <w:bookmarkStart w:id="26" w:name="X935fb5b71ac4c123c30722e29ae08f48dec577d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and replicate-aware testing.</w:t>
      </w:r>
      <w:r>
        <w:t xml:space="preserve"> </w:t>
      </w:r>
      <w:r>
        <w:t xml:space="preserve">Repeated condition names, such as</w:t>
      </w:r>
      <w:r>
        <w:t xml:space="preserve"> </w:t>
      </w:r>
      <w:r>
        <w:rPr>
          <w:rStyle w:val="VerbatimChar"/>
        </w:rPr>
        <w:t xml:space="preserve">–cond-names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For single-sample versus single-sample contrasts,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uses</w:t>
      </w:r>
      <w:r>
        <w:t xml:space="preserve"> </w:t>
      </w:r>
      <w:r>
        <w:t xml:space="preserve">the motif-site versus background-distribution comparison of the standard</w:t>
      </w:r>
      <w:r>
        <w:t xml:space="preserve"> </w:t>
      </w:r>
      <w:r>
        <w:t xml:space="preserve">TOBIAS-style report. Candidate sites are grouped by motif, site-level changes at</w:t>
      </w:r>
      <w:r>
        <w:t xml:space="preserve"> </w:t>
      </w:r>
      <w:r>
        <w:t xml:space="preserve">motif sites are compared with changes at sampled background positions, and</w:t>
      </w:r>
      <w:r>
        <w:t xml:space="preserve"> </w:t>
      </w:r>
      <w:r>
        <w:t xml:space="preserve">p-values are adjusted across motifs within each contrast.</w:t>
      </w:r>
    </w:p>
    <w:p>
      <w:pPr>
        <w:pStyle w:val="BodyText"/>
      </w:pPr>
      <w:r>
        <w:t xml:space="preserve">For replicate-supported comparisons,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generalizes this</w:t>
      </w:r>
      <w:r>
        <w:t xml:space="preserve"> </w:t>
      </w:r>
      <w:r>
        <w:t xml:space="preserve">comparison to multiple samples per condition. Footprint scores are computed for</w:t>
      </w:r>
      <w:r>
        <w:t xml:space="preserve"> </w:t>
      </w:r>
      <w:r>
        <w:t xml:space="preserve">each replicate on the same peak and motif-site universe. Replicate scores are</w:t>
      </w:r>
      <w:r>
        <w:t xml:space="preserve"> </w:t>
      </w:r>
      <w:r>
        <w:t xml:space="preserve">then summarized within each condition,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motif</w:t>
      </w:r>
      <w:r>
        <w:t xml:space="preserve"> </w:t>
      </w:r>
      <m:oMath>
        <m:r>
          <m:t>m</m:t>
        </m:r>
      </m:oMath>
      <w:r>
        <w:t xml:space="preserve">, let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denote its candidate motif sites and 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denote the</w:t>
      </w:r>
      <w:r>
        <w:t xml:space="preserve"> </w:t>
      </w:r>
      <w:r>
        <w:t xml:space="preserve">sampled background positions from the same accessible-region universe. The</w:t>
      </w:r>
      <w:r>
        <w:t xml:space="preserve"> </w:t>
      </w:r>
      <w:r>
        <w:t xml:space="preserve">replicate-aware motif-background effect is reported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B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report also includes replicate counts, condition means, SDs, and SE</w:t>
      </w:r>
      <w:r>
        <w:t xml:space="preserve"> </w:t>
      </w:r>
      <w:r>
        <w:t xml:space="preserve">summaries, so the additional samples contribute to a more stable estimate rather</w:t>
      </w:r>
      <w:r>
        <w:t xml:space="preserve"> </w:t>
      </w:r>
      <w:r>
        <w:t xml:space="preserve">than being collapsed outside the analysis.</w:t>
      </w:r>
    </w:p>
    <w:p>
      <w:pPr>
        <w:pStyle w:val="BodyText"/>
      </w:pPr>
      <w:r>
        <w:t xml:space="preserve">Quantile-based score scaling remains an optional comparison-stage adjustment. In</w:t>
      </w:r>
      <w:r>
        <w:t xml:space="preserve"> </w:t>
      </w:r>
      <w:r>
        <w:t xml:space="preserve">single-sample contrasts, sample-level quantile scaling provides the conventional</w:t>
      </w:r>
      <w:r>
        <w:t xml:space="preserve"> </w:t>
      </w:r>
      <w:r>
        <w:t xml:space="preserve">two-sample score-distribution matching. In replicate-supported comparisons,</w:t>
      </w:r>
      <w:r>
        <w:t xml:space="preserve"> </w:t>
      </w:r>
      <w:r>
        <w:t xml:space="preserve">condition-level background quantile scaling fits a quantile-based normalization</w:t>
      </w:r>
      <w:r>
        <w:t xml:space="preserve"> </w:t>
      </w:r>
      <w:r>
        <w:t xml:space="preserve">curve from positive background-score quantiles for each condition and applies the</w:t>
      </w:r>
      <w:r>
        <w:t xml:space="preserve"> </w:t>
      </w:r>
      <w:r>
        <w:t xml:space="preserve">corresponding condition curve before condition summaries are computed. This</w:t>
      </w:r>
      <w:r>
        <w:t xml:space="preserve"> </w:t>
      </w:r>
      <w:r>
        <w:t xml:space="preserve">option is used as a sensitivity adjustment; the main replicate-aware extension is</w:t>
      </w:r>
      <w:r>
        <w:t xml:space="preserve"> </w:t>
      </w:r>
      <w:r>
        <w:t xml:space="preserve">the explicit use of replicate-level motif scores.</w:t>
      </w:r>
    </w:p>
    <w:p>
      <w:pPr>
        <w:pStyle w:val="BodyText"/>
      </w:pPr>
      <w:r>
        <w:t xml:space="preserve">When per-sample motif-score matrices are available,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further</w:t>
      </w:r>
      <w:r>
        <w:t xml:space="preserve"> </w:t>
      </w:r>
      <w:r>
        <w:t xml:space="preserve">applies empirical-Bayes variance moderation across motifs, following the</w:t>
      </w:r>
      <w:r>
        <w:t xml:space="preserve"> </w:t>
      </w:r>
      <w:r>
        <w:t xml:space="preserve">moderated testing framework of Smyth </w:t>
      </w:r>
      <w:r>
        <w:t xml:space="preserve">(</w:t>
      </w:r>
      <w:hyperlink w:anchor="ref-smyth2004">
        <w:r>
          <w:rPr>
            <w:rStyle w:val="Hyperlink"/>
          </w:rPr>
          <w:t xml:space="preserve">17</w:t>
        </w:r>
      </w:hyperlink>
      <w:r>
        <w:t xml:space="preserve">)</w:t>
      </w:r>
      <w:r>
        <w:t xml:space="preserve">. This</w:t>
      </w:r>
      <w:r>
        <w:t xml:space="preserve"> </w:t>
      </w:r>
      <w:r>
        <w:t xml:space="preserve">replicate-supported matrix view estimates condition effects from per-sample</w:t>
      </w:r>
      <w:r>
        <w:t xml:space="preserve"> </w:t>
      </w:r>
      <w:r>
        <w:t xml:space="preserve">motif-site scores and is reported alongside, rather than replacing, the native</w:t>
      </w:r>
      <w:r>
        <w:t xml:space="preserve"> </w:t>
      </w:r>
      <w:r>
        <w:t xml:space="preserve">motif-background columns.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is the per-sample motif-site score, the contrast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E</m:t>
              </m:r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n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n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d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E</m:t>
            </m:r>
            <m:r>
              <m:t>B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moderated across motifs. P-values from this</w:t>
      </w:r>
      <w:r>
        <w:t xml:space="preserve"> </w:t>
      </w:r>
      <w:r>
        <w:t xml:space="preserve">matrix view are adjusted across motifs within each contrast using</w:t>
      </w:r>
      <w:r>
        <w:t xml:space="preserve"> </w:t>
      </w:r>
      <w:r>
        <w:t xml:space="preserve">Benjamini–Hochberg correction and reported alongside the native</w:t>
      </w:r>
      <w:r>
        <w:t xml:space="preserve"> </w:t>
      </w:r>
      <w:r>
        <w:t xml:space="preserve">motif-background statistics. The native report preserves the</w:t>
      </w:r>
      <w:r>
        <w:t xml:space="preserve"> </w:t>
      </w:r>
      <w:r>
        <w:t xml:space="preserve">motif-versus-background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, whereas the matrix view provides a</w:t>
      </w:r>
      <w:r>
        <w:t xml:space="preserve"> </w:t>
      </w:r>
      <w:r>
        <w:t xml:space="preserve">replicate-supported audit of motif-site score changes across biological samples.</w:t>
      </w:r>
    </w:p>
    <w:bookmarkEnd w:id="26"/>
    <w:bookmarkStart w:id="27" w:name="public-data-processing-and-evaluation"/>
    <w:p>
      <w:pPr>
        <w:pStyle w:val="Heading2"/>
      </w:pPr>
      <w:r>
        <w:t xml:space="preserve">Public Data Processing and Evaluation</w:t>
      </w:r>
    </w:p>
    <w:p>
      <w:pPr>
        <w:pStyle w:val="FirstParagraph"/>
      </w:pPr>
      <w:r>
        <w:t xml:space="preserve">The bulk replicate demonstration uses a 3-vs-3 public ENCODE ATAC-seq</w:t>
      </w:r>
      <w:r>
        <w:t xml:space="preserve"> </w:t>
      </w:r>
      <w:r>
        <w:t xml:space="preserve">comparison between K562 and HepG2, with three released GRCh38 alignment BAMs per</w:t>
      </w:r>
      <w:r>
        <w:t xml:space="preserve"> </w:t>
      </w:r>
      <w:r>
        <w:t xml:space="preserve">cell line. Problematic genomic regions were filtered using the ENCODE</w:t>
      </w:r>
      <w:r>
        <w:t xml:space="preserve"> </w:t>
      </w:r>
      <w:r>
        <w:t xml:space="preserve">blacklist </w:t>
      </w:r>
      <w:r>
        <w:t xml:space="preserve">(</w:t>
      </w:r>
      <w:hyperlink w:anchor="ref-Amemiya2019_Blacklist">
        <w:r>
          <w:rPr>
            <w:rStyle w:val="Hyperlink"/>
          </w:rPr>
          <w:t xml:space="preserve">18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Replicate peak intervals were merged into a common peak universe, bias-corrected,</w:t>
      </w:r>
      <w:r>
        <w:t xml:space="preserve"> </w:t>
      </w:r>
      <w:r>
        <w:t xml:space="preserve">q95-scaled over shared background regions, footprint-called, and analyzed by</w:t>
      </w:r>
      <w:r>
        <w:t xml:space="preserve"> </w:t>
      </w:r>
      <w:r>
        <w:t xml:space="preserve">replicate-aware differential footprint comparison. The analysis used JASPAR 2026</w:t>
      </w:r>
      <w:r>
        <w:t xml:space="preserve"> </w:t>
      </w:r>
      <w:r>
        <w:t xml:space="preserve">CORE vertebrates non-redundant motifs </w:t>
      </w:r>
      <w:r>
        <w:t xml:space="preserve">(</w:t>
      </w:r>
      <w:hyperlink w:anchor="ref-jaspar2026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 </w:t>
      </w:r>
      <w:r>
        <w:t xml:space="preserve">for known-motif</w:t>
      </w:r>
      <w:r>
        <w:t xml:space="preserve"> </w:t>
      </w:r>
      <w:r>
        <w:t xml:space="preserve">scanning. Exact command-line parameters and software versions are recorded in</w:t>
      </w:r>
      <w:r>
        <w:t xml:space="preserve"> </w:t>
      </w:r>
      <w:r>
        <w:t xml:space="preserve">source TSV 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are summarized in</w:t>
      </w:r>
      <w:r>
        <w:t xml:space="preserve"> </w:t>
      </w:r>
      <w:r>
        <w:t xml:space="preserve">Tables S1 and</w:t>
      </w:r>
      <w:r>
        <w:t xml:space="preserve"> </w:t>
      </w:r>
      <w:r>
        <w:t xml:space="preserve">S2.</w:t>
      </w:r>
    </w:p>
    <w:p>
      <w:pPr>
        <w:pStyle w:val="BodyText"/>
      </w:pPr>
      <w:r>
        <w:t xml:space="preserve">Public inputs are organized as versioned TSV manifests that record source URLs,</w:t>
      </w:r>
      <w:r>
        <w:t xml:space="preserve"> </w:t>
      </w:r>
      <w:r>
        <w:t xml:space="preserve">accessions, assemblies, checksums, local paths, and analysis labels. Discovery</w:t>
      </w:r>
      <w:r>
        <w:t xml:space="preserve"> </w:t>
      </w:r>
      <w:r>
        <w:t xml:space="preserve">and download scripts query public repositories such as ENCODE </w:t>
      </w:r>
      <w:r>
        <w:t xml:space="preserve">(</w:t>
      </w:r>
      <w:hyperlink w:anchor="ref-encode2012">
        <w:r>
          <w:rPr>
            <w:rStyle w:val="Hyperlink"/>
          </w:rPr>
          <w:t xml:space="preserve">19</w:t>
        </w:r>
      </w:hyperlink>
      <w:r>
        <w:t xml:space="preserve">)</w:t>
      </w:r>
      <w:r>
        <w:t xml:space="preserve"> </w:t>
      </w:r>
      <w:r>
        <w:t xml:space="preserve">for released human GRCh38 ATAC-seq records and write resumable download reports.</w:t>
      </w:r>
      <w:r>
        <w:t xml:space="preserve"> </w:t>
      </w:r>
      <w:r>
        <w:t xml:space="preserve">The manuscript evaluation combines compact software-regression test inputs,</w:t>
      </w:r>
      <w:r>
        <w:t xml:space="preserve"> </w:t>
      </w:r>
      <w:r>
        <w:t xml:space="preserve">public bulk ATAC replicates, de novo motif discovery examples, and public PBMC</w:t>
      </w:r>
      <w:r>
        <w:t xml:space="preserve"> </w:t>
      </w:r>
      <w:r>
        <w:t xml:space="preserve">single-cell ATAC examples. For each analysis, command-line parameters, software</w:t>
      </w:r>
      <w:r>
        <w:t xml:space="preserve"> </w:t>
      </w:r>
      <w:r>
        <w:t xml:space="preserve">versions, resolved input manifests, source tables, and generated figure inputs</w:t>
      </w:r>
      <w:r>
        <w:t xml:space="preserve"> </w:t>
      </w:r>
      <w:r>
        <w:t xml:space="preserve">are kept with the manuscript resources so the reported examples can be rerun and</w:t>
      </w:r>
      <w:r>
        <w:t xml:space="preserve"> </w:t>
      </w:r>
      <w:r>
        <w:t xml:space="preserve">audited.</w:t>
      </w:r>
    </w:p>
    <w:bookmarkEnd w:id="27"/>
    <w:bookmarkStart w:id="28" w:name="software-testing-and-reproducibility"/>
    <w:p>
      <w:pPr>
        <w:pStyle w:val="Heading2"/>
      </w:pPr>
      <w:r>
        <w:t xml:space="preserve">Software Testing and Reproducibility</w:t>
      </w:r>
    </w:p>
    <w:p>
      <w:pPr>
        <w:pStyle w:val="FirstParagraph"/>
      </w:pPr>
      <w:r>
        <w:t xml:space="preserve">The package includes unit tests for numerical helpers and CLI behavior, plus</w:t>
      </w:r>
      <w:r>
        <w:t xml:space="preserve"> </w:t>
      </w:r>
      <w:r>
        <w:t xml:space="preserve">automated output checks for footprint calling, differential footprint analysis,</w:t>
      </w:r>
      <w:r>
        <w:t xml:space="preserve"> </w:t>
      </w:r>
      <w:r>
        <w:t xml:space="preserve">and aggregate plotting, with an opt-in slow check for bias correction.</w:t>
      </w:r>
      <w:r>
        <w:t xml:space="preserve"> </w:t>
      </w:r>
      <w:r>
        <w:t xml:space="preserve">Continuous integration runs the suite on compact reference inputs, builds source</w:t>
      </w:r>
      <w:r>
        <w:t xml:space="preserve"> </w:t>
      </w:r>
      <w:r>
        <w:t xml:space="preserve">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</w:t>
      </w:r>
      <w:hyperlink w:anchor="ref-Wilkinson2016_FAIR">
        <w:r>
          <w:rPr>
            <w:rStyle w:val="Hyperlink"/>
          </w:rPr>
          <w:t xml:space="preserve">20</w:t>
        </w:r>
      </w:hyperlink>
      <w:r>
        <w:t xml:space="preserve">–</w:t>
      </w:r>
      <w:hyperlink w:anchor="ref-Ewels2020_nfcore">
        <w:r>
          <w:rPr>
            <w:rStyle w:val="Hyperlink"/>
          </w:rPr>
          <w:t xml:space="preserve">22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Analysis 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with the manuscript resources for auditability.</w:t>
      </w:r>
    </w:p>
    <w:bookmarkEnd w:id="28"/>
    <w:bookmarkEnd w:id="29"/>
    <w:bookmarkStart w:id="53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using public bulk and single-cell ATAC-seq</w:t>
      </w:r>
      <w:r>
        <w:t xml:space="preserve"> </w:t>
      </w:r>
      <w:r>
        <w:t xml:space="preserve">datasets to assess workflow reproducibility, biological interpretability, and</w:t>
      </w:r>
      <w:r>
        <w:t xml:space="preserve"> </w:t>
      </w:r>
      <w:r>
        <w:t xml:space="preserve">practical usability. We first examined the integrated footprinting workflow,</w:t>
      </w:r>
      <w:r>
        <w:t xml:space="preserve"> </w:t>
      </w:r>
      <w:r>
        <w:t xml:space="preserve">then evaluated de novo motif discovery, replicate-aware differential footprint</w:t>
      </w:r>
      <w:r>
        <w:t xml:space="preserve"> </w:t>
      </w:r>
      <w:r>
        <w:t xml:space="preserve">analysis, pseudobulk single-cell ATAC footprinting, and the reproducibility,</w:t>
      </w:r>
      <w:r>
        <w:t xml:space="preserve"> </w:t>
      </w:r>
      <w:r>
        <w:t xml:space="preserve">runtime, and graphical review features of the package.</w:t>
      </w:r>
    </w:p>
    <w:bookmarkStart w:id="33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major steps of ATAC-seq footprint analysis</w:t>
      </w:r>
      <w:r>
        <w:t xml:space="preserve"> </w:t>
      </w:r>
      <w:r>
        <w:t xml:space="preserve">into a command-compatible workflow. Bias correction, footprint calling,</w:t>
      </w:r>
      <w:r>
        <w:t xml:space="preserve"> </w:t>
      </w:r>
      <w:r>
        <w:t xml:space="preserve">known-motif scanning, de novo motif discovery, differential footprint analysis,</w:t>
      </w:r>
      <w:r>
        <w:t xml:space="preserve"> </w:t>
      </w:r>
      <w:r>
        <w:t xml:space="preserve">aggregate visualization, and pseudobulk single-cell analysis share consistent</w:t>
      </w:r>
      <w:r>
        <w:t xml:space="preserve"> </w:t>
      </w:r>
      <w:r>
        <w:t xml:space="preserve">conventions for genomic regions, signal tracks, motif annotations, sample labels,</w:t>
      </w:r>
      <w:r>
        <w:t xml:space="preserve"> </w:t>
      </w:r>
      <w:r>
        <w:t xml:space="preserve">and output files. This reduces the need for manual file conversion or custom</w:t>
      </w:r>
      <w:r>
        <w:t xml:space="preserve"> </w:t>
      </w:r>
      <w:r>
        <w:t xml:space="preserve">bridging scripts between analysis steps. YAML configuration files record the same</w:t>
      </w:r>
      <w:r>
        <w:t xml:space="preserve"> </w:t>
      </w:r>
      <w:r>
        <w:t xml:space="preserve">analysis in a machine-readable form, allowing workflows to be rerun, reviewed,</w:t>
      </w:r>
      <w:r>
        <w:t xml:space="preserve"> </w:t>
      </w:r>
      <w:r>
        <w:t xml:space="preserve">and adapted for batch processing (Figure 1).</w:t>
      </w:r>
    </w:p>
    <w:p>
      <w:pPr>
        <w:pStyle w:val="BodyText"/>
      </w:pPr>
      <w:r>
        <w:t xml:space="preserve">This design keeps the interpretable TOBIAS-style footprinting model, in which</w:t>
      </w:r>
      <w:r>
        <w:t xml:space="preserve"> </w:t>
      </w:r>
      <w:r>
        <w:t xml:space="preserve">bias-corrected cut-site signal is summarized by motif-centered</w:t>
      </w:r>
      <w:r>
        <w:t xml:space="preserve"> </w:t>
      </w:r>
      <w:r>
        <w:t xml:space="preserve">center-versus-flank depletion, while extending the workflow to include de novo</w:t>
      </w:r>
      <w:r>
        <w:t xml:space="preserve"> </w:t>
      </w:r>
      <w:r>
        <w:t xml:space="preserve">motif discovery, replicate-aware reporting, pseudobulk single-cell analysis,</w:t>
      </w:r>
      <w:r>
        <w:t xml:space="preserve"> </w:t>
      </w:r>
      <w:r>
        <w:t xml:space="preserve">interactive HTML reports, editable figure outputs, and a browser-based GUI.</w:t>
      </w:r>
    </w:p>
    <w:p>
      <w:pPr>
        <w:pStyle w:val="CaptionedFigure"/>
      </w:pPr>
      <w:r>
        <w:drawing>
          <wp:inline>
            <wp:extent cx="2743200" cy="495098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docx_build/figures/Fig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950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</w:p>
    <w:bookmarkEnd w:id="33"/>
    <w:bookmarkStart w:id="37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 discovery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sequence patterns in candidate intervals, or after</w:t>
      </w:r>
      <w:r>
        <w:t xml:space="preserve"> </w:t>
      </w:r>
      <w:r>
        <w:t xml:space="preserve">known-motif scanning to identify motifs that are absent from the selected</w:t>
      </w:r>
      <w:r>
        <w:t xml:space="preserve"> </w:t>
      </w:r>
      <w:r>
        <w:t xml:space="preserve">database.</w:t>
      </w:r>
    </w:p>
    <w:p>
      <w:pPr>
        <w:pStyle w:val="BodyText"/>
      </w:pPr>
      <w:r>
        <w:t xml:space="preserve">We used public ENCODE K562 and HepG2 ATAC-seq data as two examples to evaluate</w:t>
      </w:r>
      <w:r>
        <w:t xml:space="preserve"> </w:t>
      </w:r>
      <w:r>
        <w:t xml:space="preserve">whether candidate footprint intervals contain recurring sequence motifs beyond a</w:t>
      </w:r>
      <w:r>
        <w:t xml:space="preserve"> </w:t>
      </w:r>
      <w:r>
        <w:t xml:space="preserve">curated database.</w:t>
      </w:r>
      <w:r>
        <w:t xml:space="preserve"> </w:t>
      </w:r>
      <w:r>
        <w:t xml:space="preserve">Candidate footprints were called from bias-corrected cut-site tracks, candidate</w:t>
      </w:r>
      <w:r>
        <w:t xml:space="preserve"> </w:t>
      </w:r>
      <w:r>
        <w:t xml:space="preserve">FASTA files were exported with 75 bp flanks, and reciprocal STREME runs were</w:t>
      </w:r>
      <w:r>
        <w:t xml:space="preserve"> </w:t>
      </w:r>
      <w:r>
        <w:t xml:space="preserve">performed using one cell line as the enriched sequence set and the other as the</w:t>
      </w:r>
      <w:r>
        <w:t xml:space="preserve"> </w:t>
      </w:r>
      <w:r>
        <w:t xml:space="preserve">sequence-control set. Discovered motifs were then summarized, compared with</w:t>
      </w:r>
      <w:r>
        <w:t xml:space="preserve"> </w:t>
      </w:r>
      <w:r>
        <w:t xml:space="preserve">JASPAR by Tomtom, and scanned back into candidate intervals for aggregate</w:t>
      </w:r>
      <w:r>
        <w:t xml:space="preserve"> </w:t>
      </w:r>
      <w:r>
        <w:t xml:space="preserve">footprint review.</w:t>
      </w:r>
    </w:p>
    <w:p>
      <w:pPr>
        <w:pStyle w:val="BodyText"/>
      </w:pPr>
      <w:r>
        <w:t xml:space="preserve">The known-motif scan used JASPAR 2026 vertebrate non-redundant motifs, and</w:t>
      </w:r>
      <w:r>
        <w:t xml:space="preserve"> </w:t>
      </w:r>
      <w:r>
        <w:t xml:space="preserve">reciprocal STREME runs contributed candidate-derived motifs from both ENCODE cell</w:t>
      </w:r>
      <w:r>
        <w:t xml:space="preserve"> </w:t>
      </w:r>
      <w:r>
        <w:t xml:space="preserve">lines. Figure 2B summarizes the merged de novo</w:t>
      </w:r>
      <w:r>
        <w:t xml:space="preserve"> </w:t>
      </w:r>
      <w:r>
        <w:t xml:space="preserve">motif-supported windows as either shared with the JASPAR-supported scan or</w:t>
      </w:r>
      <w:r>
        <w:t xml:space="preserve"> </w:t>
      </w:r>
      <w:r>
        <w:t xml:space="preserve">detected only by the de novo scan. The shared component dominated both K562 and</w:t>
      </w:r>
      <w:r>
        <w:t xml:space="preserve"> </w:t>
      </w:r>
      <w:r>
        <w:t xml:space="preserve">HepG2, while de novo-only windows accounted for 6.0% of the total</w:t>
      </w:r>
      <w:r>
        <w:t xml:space="preserve"> </w:t>
      </w:r>
      <w:r>
        <w:t xml:space="preserve">de novo-supported merged window base pairs.</w:t>
      </w:r>
    </w:p>
    <w:p>
      <w:pPr>
        <w:pStyle w:val="BodyText"/>
      </w:pPr>
      <w:r>
        <w:t xml:space="preserve">Representative discovered motifs showed clear motif-centered aggregate</w:t>
      </w:r>
      <w:r>
        <w:t xml:space="preserve"> </w:t>
      </w:r>
      <w:r>
        <w:t xml:space="preserve">footprint profiles in K562 and HepG2 (Figure 2C,D),</w:t>
      </w:r>
      <w:r>
        <w:t xml:space="preserve"> </w:t>
      </w:r>
      <w:r>
        <w:t xml:space="preserve">indicating that the de novo sequence patterns correspond to footprinted cut-site</w:t>
      </w:r>
      <w:r>
        <w:t xml:space="preserve"> </w:t>
      </w:r>
      <w:r>
        <w:t xml:space="preserve">structure in the candidate intervals. Together with the recorded FASTA export,</w:t>
      </w:r>
      <w:r>
        <w:t xml:space="preserve"> </w:t>
      </w:r>
      <w:r>
        <w:t xml:space="preserve">motif discovery, and motif-comparison workflow</w:t>
      </w:r>
      <w:r>
        <w:t xml:space="preserve"> </w:t>
      </w:r>
      <w:r>
        <w:t xml:space="preserve">(Figure 2A), these results support using de novo</w:t>
      </w:r>
      <w:r>
        <w:t xml:space="preserve"> </w:t>
      </w:r>
      <w:r>
        <w:t xml:space="preserve">motif discovery as a complement to database-based motif matching when the chosen</w:t>
      </w:r>
      <w:r>
        <w:t xml:space="preserve"> </w:t>
      </w:r>
      <w:r>
        <w:t xml:space="preserve">motif collection is incomplete or conservative.</w:t>
      </w:r>
    </w:p>
    <w:p>
      <w:pPr>
        <w:pStyle w:val="CaptionedFigure"/>
      </w:pPr>
      <w:r>
        <w:drawing>
          <wp:inline>
            <wp:extent cx="5334000" cy="545344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docx_build/figures/Fig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3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 novo motif discovery and validation summary.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Cs/>
          <w:b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Cs/>
          <w:b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</w:p>
    <w:bookmarkEnd w:id="37"/>
    <w:bookmarkStart w:id="41" w:name="X6fd1541ebd3a65c9c24d211c98ffcdd00236d4e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We next evaluated replicate-aware differential footprint analysis using a 3-vs-3</w:t>
      </w:r>
      <w:r>
        <w:t xml:space="preserve"> </w:t>
      </w:r>
      <w:r>
        <w:t xml:space="preserve">public ENCODE ATAC-seq comparison between K562 and HepG2. All six replicates</w:t>
      </w:r>
      <w:r>
        <w:t xml:space="preserve"> </w:t>
      </w:r>
      <w:r>
        <w:t xml:space="preserve">were scanned on the same merged peak and motif-site universe before comparison,</w:t>
      </w:r>
      <w:r>
        <w:t xml:space="preserve"> </w:t>
      </w:r>
      <w:r>
        <w:t xml:space="preserve">so condition summaries, replicate-level variation, and motif rankings were</w:t>
      </w:r>
      <w:r>
        <w:t xml:space="preserve"> </w:t>
      </w:r>
      <w:r>
        <w:t xml:space="preserve">reported in a common coordinate framework.</w:t>
      </w:r>
    </w:p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3. In this 3-vs-3 comparison, the report</w:t>
      </w:r>
      <w:r>
        <w:t xml:space="preserve"> </w:t>
      </w:r>
      <w:r>
        <w:t xml:space="preserve">ranked HNF4A, ONECUT2, and HNF4G motifs among the HepG2-biased signatures and</w:t>
      </w:r>
      <w:r>
        <w:t xml:space="preserve"> </w:t>
      </w:r>
      <w:r>
        <w:t xml:space="preserve">GATA2, TRPS1, and SP9 motifs among the K562-biased signatures. The bar plot and</w:t>
      </w:r>
      <w:r>
        <w:t xml:space="preserve"> </w:t>
      </w:r>
      <w:r>
        <w:t xml:space="preserve">volcano panel show the same directional separation, with HepG2-biased motifs on</w:t>
      </w:r>
      <w:r>
        <w:t xml:space="preserve"> </w:t>
      </w:r>
      <w:r>
        <w:t xml:space="preserve">the negative side of the differential footprint-score axis and K562-biased</w:t>
      </w:r>
      <w:r>
        <w:t xml:space="preserve"> </w:t>
      </w:r>
      <w:r>
        <w:t xml:space="preserve">motifs on the positive side. The replicate-level aggregate profiles provide a</w:t>
      </w:r>
      <w:r>
        <w:t xml:space="preserve"> </w:t>
      </w:r>
      <w:r>
        <w:t xml:space="preserve">second check on these rankings: for each selected motif, the three K562 and</w:t>
      </w:r>
      <w:r>
        <w:t xml:space="preserve"> </w:t>
      </w:r>
      <w:r>
        <w:t xml:space="preserve">three HepG2 traces are displayed separately, making replicate consistency and</w:t>
      </w:r>
      <w:r>
        <w:t xml:space="preserve"> </w:t>
      </w:r>
      <w:r>
        <w:t xml:space="preserve">motif-centered cut-site structure visible in the same report.</w:t>
      </w:r>
    </w:p>
    <w:p>
      <w:pPr>
        <w:pStyle w:val="CaptionedFigure"/>
      </w:pPr>
      <w:r>
        <w:drawing>
          <wp:inline>
            <wp:extent cx="4297680" cy="7512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docx_build/figures/Fig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51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Interactive differential footprint report for K562 versus HepG2.</w:t>
      </w:r>
      <w:r>
        <w:t xml:space="preserve"> </w:t>
      </w:r>
      <w:r>
        <w:t xml:space="preserve">The report summarizes selected differential motifs, motif logos, top</w:t>
      </w:r>
      <w:r>
        <w:t xml:space="preserve"> </w:t>
      </w:r>
      <w:r>
        <w:t xml:space="preserve">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</w:p>
    <w:bookmarkEnd w:id="41"/>
    <w:bookmarkStart w:id="45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5k PBMC</w:t>
      </w:r>
      <w:r>
        <w:t xml:space="preserve"> </w:t>
      </w:r>
      <w:r>
        <w:t xml:space="preserve">single-cell ATAC dataset </w:t>
      </w:r>
      <w:r>
        <w:t xml:space="preserve">(</w:t>
      </w:r>
      <w:hyperlink w:anchor="ref-tenxpbmc5katac2021">
        <w:r>
          <w:rPr>
            <w:rStyle w:val="Hyperlink"/>
          </w:rPr>
          <w:t xml:space="preserve">23</w:t>
        </w:r>
      </w:hyperlink>
      <w:r>
        <w:t xml:space="preserve">)</w:t>
      </w:r>
      <w:r>
        <w:t xml:space="preserve">. The demonstration used the</w:t>
      </w:r>
      <w:r>
        <w:t xml:space="preserve"> </w:t>
      </w:r>
      <w:r>
        <w:t xml:space="preserve">Cell Ranger ATAC 2.0.0 fragment file for</w:t>
      </w:r>
      <w:r>
        <w:t xml:space="preserve"> </w:t>
      </w:r>
      <w:r>
        <w:rPr>
          <w:rStyle w:val="VerbatimChar"/>
        </w:rPr>
        <w:t xml:space="preserve">atac_pbmc_5k_nextgem</w:t>
      </w:r>
      <w:r>
        <w:t xml:space="preserve"> </w:t>
      </w:r>
      <w:r>
        <w:t xml:space="preserve">and</w:t>
      </w:r>
      <w:r>
        <w:t xml:space="preserve"> </w:t>
      </w:r>
      <w:r>
        <w:t xml:space="preserve">broad cell annotations from the PBMC5k single-cell embedding. After filtering,</w:t>
      </w:r>
      <w:r>
        <w:t xml:space="preserve"> </w:t>
      </w:r>
      <w:r>
        <w:t xml:space="preserve">4,437 annotated cells were grouped into B cells (422 cells), monocytes (1,702</w:t>
      </w:r>
      <w:r>
        <w:t xml:space="preserve"> </w:t>
      </w:r>
      <w:r>
        <w:t xml:space="preserve">cells), and T/NK cells (2,313 cells). All three groups passed the pseudobulk</w:t>
      </w:r>
      <w:r>
        <w:t xml:space="preserve"> </w:t>
      </w:r>
      <w:r>
        <w:t xml:space="preserve">filters and contained 2.1, 10.8, and 13.3 million counted fragments,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The marker-by-cell heatmap in Figure 4A shows</w:t>
      </w:r>
      <w:r>
        <w:t xml:space="preserve"> </w:t>
      </w:r>
      <w:r>
        <w:t xml:space="preserve">that KNN-smoothed footprint-signature scores separate the three broad PBMC</w:t>
      </w:r>
      <w:r>
        <w:t xml:space="preserve"> </w:t>
      </w:r>
      <w:r>
        <w:t xml:space="preserve">groups. B-cell-associated rows include STAT6 and FOSB; monocyte-associated rows</w:t>
      </w:r>
      <w:r>
        <w:t xml:space="preserve"> </w:t>
      </w:r>
      <w:r>
        <w:t xml:space="preserve">include CEBPA, IRF8, and RELA; and T/NK-associated rows include ZNF683, NR4A1,</w:t>
      </w:r>
      <w:r>
        <w:t xml:space="preserve"> </w:t>
      </w:r>
      <w:r>
        <w:t xml:space="preserve">and SMAD3. These row-level patterns show that motif-centered footprint</w:t>
      </w:r>
      <w:r>
        <w:t xml:space="preserve"> </w:t>
      </w:r>
      <w:r>
        <w:t xml:space="preserve">signatures derived from grouped single-cell fragments remain visible at the</w:t>
      </w:r>
      <w:r>
        <w:t xml:space="preserve"> </w:t>
      </w:r>
      <w:r>
        <w:t xml:space="preserve">cell-label level.</w:t>
      </w:r>
    </w:p>
    <w:p>
      <w:pPr>
        <w:pStyle w:val="BodyText"/>
      </w:pPr>
      <w:r>
        <w:t xml:space="preserve">The UMAP panels in Figure 4B show the same</w:t>
      </w:r>
      <w:r>
        <w:t xml:space="preserve"> </w:t>
      </w:r>
      <w:r>
        <w:t xml:space="preserve">regulatory programs in the single-cell embedding. The broad-cell reference panel</w:t>
      </w:r>
      <w:r>
        <w:t xml:space="preserve"> </w:t>
      </w:r>
      <w:r>
        <w:t xml:space="preserve">separates B cells, monocytes, and T/NK cells. STAT6 and FOSB localize primarily</w:t>
      </w:r>
      <w:r>
        <w:t xml:space="preserve"> </w:t>
      </w:r>
      <w:r>
        <w:t xml:space="preserve">to the B-cell region, consistent with IL-4-responsive and AP-1-associated</w:t>
      </w:r>
      <w:r>
        <w:t xml:space="preserve"> </w:t>
      </w:r>
      <w:r>
        <w:t xml:space="preserve">activation programs. CEBPA, IRF8, and RELA localize to the monocyte region,</w:t>
      </w:r>
      <w:r>
        <w:t xml:space="preserve"> </w:t>
      </w:r>
      <w:r>
        <w:t xml:space="preserve">consistent with myeloid differentiation, interferon-regulatory, and</w:t>
      </w:r>
      <w:r>
        <w:t xml:space="preserve"> </w:t>
      </w:r>
      <w:r>
        <w:t xml:space="preserve">NF-</w:t>
      </w:r>
      <m:oMath>
        <m:r>
          <m:t>κ</m:t>
        </m:r>
      </m:oMath>
      <w:r>
        <w:t xml:space="preserve">B inflammatory programs. ZNF683, NR4A1, and SMAD3 localize within</w:t>
      </w:r>
      <w:r>
        <w:t xml:space="preserve"> </w:t>
      </w:r>
      <w:r>
        <w:t xml:space="preserve">the T/NK region, consistent with cytotoxic or resident-like, TCR-response or</w:t>
      </w:r>
      <w:r>
        <w:t xml:space="preserve"> </w:t>
      </w:r>
      <w:r>
        <w:t xml:space="preserve">tolerance-like, and TGF-</w:t>
      </w:r>
      <m:oMath>
        <m:r>
          <m:t>β</m:t>
        </m:r>
      </m:oMath>
      <w:r>
        <w:t xml:space="preserve">-associated regulatory-state programs.</w:t>
      </w:r>
    </w:p>
    <w:p>
      <w:pPr>
        <w:pStyle w:val="CaptionedFigure"/>
      </w:pPr>
      <w:r>
        <w:drawing>
          <wp:inline>
            <wp:extent cx="5334000" cy="690101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docx_build/figures/Fig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Single-cell footprinting summary in public PBMC5k single-cell ATAC data.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KNN-smoothed per-cell footprint-signature heatmap for top</w:t>
      </w:r>
      <w:r>
        <w:t xml:space="preserve"> </w:t>
      </w:r>
      <w:r>
        <w:t xml:space="preserve">cell-type-specific motif signatures across B cells, monocytes, and</w:t>
      </w:r>
      <w:r>
        <w:t xml:space="preserve"> </w:t>
      </w:r>
      <w:r>
        <w:t xml:space="preserve">T/NK cells;</w:t>
      </w:r>
      <w:r>
        <w:t xml:space="preserve"> </w:t>
      </w:r>
      <w:r>
        <w:t xml:space="preserve">the TF rows used for Panel B are labelled on the left. (</w:t>
      </w:r>
      <w:r>
        <w:rPr>
          <w:bCs/>
          <w:b/>
        </w:rPr>
        <w:t xml:space="preserve">B</w:t>
      </w:r>
      <w:r>
        <w:t xml:space="preserve">) UMAP</w:t>
      </w:r>
      <w:r>
        <w:t xml:space="preserve"> </w:t>
      </w:r>
      <w:r>
        <w:t xml:space="preserve">projections show broad cell-type annotations and representative motif-associated</w:t>
      </w:r>
      <w:r>
        <w:t xml:space="preserve"> </w:t>
      </w:r>
      <w:r>
        <w:t xml:space="preserve">footprint-signature z-scores. B-cell-associated signatures include STAT6,</w:t>
      </w:r>
      <w:r>
        <w:t xml:space="preserve"> </w:t>
      </w:r>
      <w:r>
        <w:t xml:space="preserve">consistent with IL-4-responsive humoral and class-switch-related signaling, and</w:t>
      </w:r>
      <w:r>
        <w:t xml:space="preserve"> </w:t>
      </w:r>
      <w:r>
        <w:t xml:space="preserve">FOSB/AP-1, consistent with an activation-responsive immediate-early regulatory</w:t>
      </w:r>
      <w:r>
        <w:t xml:space="preserve"> </w:t>
      </w:r>
      <w:r>
        <w:t xml:space="preserve">program. Monocyte-associated signatures include CEBPA, consistent with a</w:t>
      </w:r>
      <w:r>
        <w:t xml:space="preserve"> </w:t>
      </w:r>
      <w:r>
        <w:t xml:space="preserve">C/EBP-family myeloid differentiation program; IRF8, consistent with</w:t>
      </w:r>
      <w:r>
        <w:t xml:space="preserve"> </w:t>
      </w:r>
      <w:r>
        <w:t xml:space="preserve">monocyte/dendritic-cell and interferon-regulatory activity; and RELA, consistent</w:t>
      </w:r>
      <w:r>
        <w:t xml:space="preserve"> </w:t>
      </w:r>
      <w:r>
        <w:t xml:space="preserve">with NF-</w:t>
      </w:r>
      <m:oMath>
        <m:r>
          <m:t>κ</m:t>
        </m:r>
      </m:oMath>
      <w:r>
        <w:t xml:space="preserve">B-mediated inflammatory activation. T/NK-associated</w:t>
      </w:r>
      <w:r>
        <w:t xml:space="preserve"> </w:t>
      </w:r>
      <w:r>
        <w:t xml:space="preserve">regulatory-state signatures include ZNF683/Hobit, consistent with a cytotoxic or</w:t>
      </w:r>
      <w:r>
        <w:t xml:space="preserve"> </w:t>
      </w:r>
      <w:r>
        <w:t xml:space="preserve">resident-like program; NR4A1/Nur77, consistent with TCR-response and</w:t>
      </w:r>
      <w:r>
        <w:t xml:space="preserve"> </w:t>
      </w:r>
      <w:r>
        <w:t xml:space="preserve">tolerance-like regulation; and SMAD3, consistent with TGF-</w:t>
      </w:r>
      <m:oMath>
        <m:r>
          <m:t>β</m:t>
        </m:r>
      </m:oMath>
      <w:r>
        <w:t xml:space="preserve"> </w:t>
      </w:r>
      <w:r>
        <w:t xml:space="preserve">regulatory</w:t>
      </w:r>
      <w:r>
        <w:t xml:space="preserve"> </w:t>
      </w:r>
      <w:r>
        <w:t xml:space="preserve">signaling. TF labels indicate motif-associated footprint signatures rather than</w:t>
      </w:r>
      <w:r>
        <w:t xml:space="preserve"> </w:t>
      </w:r>
      <w:r>
        <w:t xml:space="preserve">direct TF-specific occupancy.</w:t>
      </w:r>
      <w:r>
        <w:t xml:space="preserve"> </w:t>
      </w:r>
    </w:p>
    <w:bookmarkEnd w:id="45"/>
    <w:bookmarkStart w:id="52" w:name="X66b3e025b5d0b505ae63013361713b7babe7aa8"/>
    <w:p>
      <w:pPr>
        <w:pStyle w:val="Heading2"/>
      </w:pPr>
      <w:r>
        <w:t xml:space="preserve">Workflow Reproducibility, Benchmarking, and GUI Access</w:t>
      </w:r>
    </w:p>
    <w:p>
      <w:pPr>
        <w:pStyle w:val="FirstParagraph"/>
      </w:pPr>
      <w:r>
        <w:t xml:space="preserve">The manuscript analyses are reproducible from public input manifests, recorded</w:t>
      </w:r>
      <w:r>
        <w:t xml:space="preserve"> </w:t>
      </w:r>
      <w:r>
        <w:t xml:space="preserve">command settings, and figure-generation scripts. Each analysis writes the</w:t>
      </w:r>
      <w:r>
        <w:t xml:space="preserve"> </w:t>
      </w:r>
      <w:r>
        <w:t xml:space="preserve">resolved input files, software versions, parameters, and plotting tables beside</w:t>
      </w:r>
      <w:r>
        <w:t xml:space="preserve"> </w:t>
      </w:r>
      <w:r>
        <w:t xml:space="preserve">the generated outputs. These records connect the bulk, de novo, pseudobulk,</w:t>
      </w:r>
      <w:r>
        <w:t xml:space="preserve"> </w:t>
      </w:r>
      <w:r>
        <w:t xml:space="preserve">replicate-aware, and report examples back to the exact sample, motif, region, and</w:t>
      </w:r>
      <w:r>
        <w:t xml:space="preserve"> </w:t>
      </w:r>
      <w:r>
        <w:t xml:space="preserve">signal-track choices used for each figure.</w:t>
      </w:r>
    </w:p>
    <w:p>
      <w:pPr>
        <w:pStyle w:val="BodyText"/>
      </w:pPr>
      <w:r>
        <w:t xml:space="preserve">The package includes automated checks that run core commands on compact</w:t>
      </w:r>
      <w:r>
        <w:t xml:space="preserve"> </w:t>
      </w:r>
      <w:r>
        <w:t xml:space="preserve">reference inputs and compare key summary outputs for footprint calling,</w:t>
      </w:r>
      <w:r>
        <w:t xml:space="preserve"> </w:t>
      </w:r>
      <w:r>
        <w:t xml:space="preserve">differential footprint analysis, and aggregate plotting. Additional checks</w:t>
      </w:r>
      <w:r>
        <w:t xml:space="preserve"> </w:t>
      </w:r>
      <w:r>
        <w:t xml:space="preserve">exercise public command-line entry points and saved YAML configurations. These</w:t>
      </w:r>
      <w:r>
        <w:t xml:space="preserve"> </w:t>
      </w:r>
      <w:r>
        <w:t xml:space="preserve">tests help ensure that updates preserve expected workflow behavior and shared</w:t>
      </w:r>
      <w:r>
        <w:t xml:space="preserve"> </w:t>
      </w:r>
      <w:r>
        <w:t xml:space="preserve">input/output conventions.</w:t>
      </w:r>
    </w:p>
    <w:p>
      <w:pPr>
        <w:pStyle w:val="BodyText"/>
      </w:pPr>
      <w:r>
        <w:t xml:space="preserve">We also benchmarked runtime and peak memory for the example workflow using the</w:t>
      </w:r>
      <w:r>
        <w:t xml:space="preserve"> </w:t>
      </w:r>
      <w:r>
        <w:t xml:space="preserve">same input bundle and matched command outputs for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completed the evaluated workflow in 16.7 min, compared with</w:t>
      </w:r>
      <w:r>
        <w:t xml:space="preserve"> </w:t>
      </w:r>
      <w:r>
        <w:t xml:space="preserve">30.3 min for TOBIAS (Figure 5A), and reduced peak memory</w:t>
      </w:r>
      <w:r>
        <w:t xml:space="preserve"> </w:t>
      </w:r>
      <w:r>
        <w:t xml:space="preserve">from 4.8 GB to 2.7 GB (Figure 5B). These measurements</w:t>
      </w:r>
      <w:r>
        <w:t xml:space="preserve"> </w:t>
      </w:r>
      <w:r>
        <w:t xml:space="preserve">support improved practical efficiency on the evaluated example dataset, while</w:t>
      </w:r>
      <w:r>
        <w:t xml:space="preserve"> </w:t>
      </w:r>
      <w:r>
        <w:t xml:space="preserve">remaining a single-machine benchmark rather than an exhaustive cross-tool</w:t>
      </w:r>
      <w:r>
        <w:t xml:space="preserve"> </w:t>
      </w:r>
      <w:r>
        <w:t xml:space="preserve">performance study.</w:t>
      </w:r>
    </w:p>
    <w:p>
      <w:pPr>
        <w:pStyle w:val="CaptionedFigure"/>
      </w:pPr>
      <w:r>
        <w:drawing>
          <wp:inline>
            <wp:extent cx="2926080" cy="144120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docx_build/figures/Fig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441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Single-machine runtime and memory benchmark.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Runtime and (</w:t>
      </w:r>
      <w:r>
        <w:rPr>
          <w:bCs/>
          <w:b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Lower values indicate faster execution and lower memory use.</w:t>
      </w:r>
      <w:r>
        <w:t xml:space="preserve"> </w:t>
      </w:r>
    </w:p>
    <w:p>
      <w:pPr>
        <w:pStyle w:val="BodyText"/>
      </w:pPr>
      <w:r>
        <w:t xml:space="preserve">In addition to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a browser GUI</w:t>
      </w:r>
      <w:r>
        <w:t xml:space="preserve"> </w:t>
      </w:r>
      <w:r>
        <w:t xml:space="preserve">for configuring and running complete footprinting workflows. The GUI exposes the</w:t>
      </w:r>
      <w:r>
        <w:t xml:space="preserve"> </w:t>
      </w:r>
      <w:r>
        <w:t xml:space="preserve">major commands in the sidebar, including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call-footprints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match-motifs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,</w:t>
      </w:r>
      <w:r>
        <w:t xml:space="preserve"> </w:t>
      </w:r>
      <w:r>
        <w:t xml:space="preserve">aggregate plotting, and pseudobulk single-cell ATAC workflows. Users can choose</w:t>
      </w:r>
      <w:r>
        <w:t xml:space="preserve"> </w:t>
      </w:r>
      <w:r>
        <w:t xml:space="preserve">a command, load an example, fill in input paths and parameters, review the YAML</w:t>
      </w:r>
      <w:r>
        <w:t xml:space="preserve"> </w:t>
      </w:r>
      <w:r>
        <w:t xml:space="preserve">configuration, launch the run, and then inspect logs, tables, bigWigs, and HTML</w:t>
      </w:r>
      <w:r>
        <w:t xml:space="preserve"> </w:t>
      </w:r>
      <w:r>
        <w:t xml:space="preserve">reports from the run history (Figure 6). This design</w:t>
      </w:r>
      <w:r>
        <w:t xml:space="preserve"> </w:t>
      </w:r>
      <w:r>
        <w:t xml:space="preserve">allows users to complete the same analyses without writing command lines, while</w:t>
      </w:r>
      <w:r>
        <w:t xml:space="preserve"> </w:t>
      </w:r>
      <w:r>
        <w:t xml:space="preserve">the saved YAML configuration remains available for reruns and batch execution.</w:t>
      </w:r>
    </w:p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docx_build/figures/Fig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Browser GUI for complete footprinting workflows.</w:t>
      </w:r>
      <w:r>
        <w:t xml:space="preserve"> </w:t>
      </w:r>
      <w:r>
        <w:t xml:space="preserve">The GUI provides sidebar access to core bulk ATAC, report, and pseudobulk</w:t>
      </w:r>
      <w:r>
        <w:t xml:space="preserve"> </w:t>
      </w:r>
      <w:r>
        <w:t xml:space="preserve">commands; guided configuration panels; example loading; YAML preview; run</w:t>
      </w:r>
      <w:r>
        <w:t xml:space="preserve"> </w:t>
      </w:r>
      <w:r>
        <w:t xml:space="preserve">history; and direct review of logs, tables, bigWigs, and HTML reports.</w:t>
      </w:r>
      <w:r>
        <w:t xml:space="preserve"> </w:t>
      </w:r>
    </w:p>
    <w:bookmarkEnd w:id="52"/>
    <w:bookmarkEnd w:id="53"/>
    <w:bookmarkStart w:id="5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was developed to make motif-centered ATAC-seq footprinting</w:t>
      </w:r>
      <w:r>
        <w:t xml:space="preserve"> </w:t>
      </w:r>
      <w:r>
        <w:t xml:space="preserve">more reproducible, inspectable, and accessible without changing the core</w:t>
      </w:r>
      <w:r>
        <w:t xml:space="preserve"> </w:t>
      </w:r>
      <w:r>
        <w:t xml:space="preserve">biological interpretation of bias-corrected center-versus-flank footprint</w:t>
      </w:r>
      <w:r>
        <w:t xml:space="preserve"> </w:t>
      </w:r>
      <w:r>
        <w:t xml:space="preserve">signals. Rather than treating bias correction, motif scanning, differential</w:t>
      </w:r>
      <w:r>
        <w:t xml:space="preserve"> </w:t>
      </w:r>
      <w:r>
        <w:t xml:space="preserve">analysis, de novo motif discovery, pseudobulk aggregation, and report generation</w:t>
      </w:r>
      <w:r>
        <w:t xml:space="preserve"> </w:t>
      </w:r>
      <w:r>
        <w:t xml:space="preserve">as separate handoffs,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organizes them as one</w:t>
      </w:r>
      <w:r>
        <w:t xml:space="preserve"> </w:t>
      </w:r>
      <w:r>
        <w:t xml:space="preserve">command-compatible workflow (Table 1). This design is useful</w:t>
      </w:r>
      <w:r>
        <w:t xml:space="preserve"> </w:t>
      </w:r>
      <w:r>
        <w:t xml:space="preserve">because footprinting analyses often depend on small but important choices in</w:t>
      </w:r>
      <w:r>
        <w:t xml:space="preserve"> </w:t>
      </w:r>
      <w:r>
        <w:t xml:space="preserve">region definitions, motif sets, sample labels, signal scaling, and plotting</w:t>
      </w:r>
      <w:r>
        <w:t xml:space="preserve"> </w:t>
      </w:r>
      <w:r>
        <w:t xml:space="preserve">inputs. Keeping these choices in one recorded workflow makes the analysis easier</w:t>
      </w:r>
      <w:r>
        <w:t xml:space="preserve"> </w:t>
      </w:r>
      <w:r>
        <w:t xml:space="preserve">to review and reproduce.</w:t>
      </w:r>
    </w:p>
    <w:p>
      <w:pPr>
        <w:pStyle w:val="BodyText"/>
      </w:pPr>
      <w:r>
        <w:t xml:space="preserve">TOBIAS remains the closest methodological reference point, because it established</w:t>
      </w:r>
      <w:r>
        <w:t xml:space="preserve"> </w:t>
      </w:r>
      <w:r>
        <w:t xml:space="preserve">a widely used and interpretable workflow for ATAC-seq bias correction, footprint</w:t>
      </w:r>
      <w:r>
        <w:t xml:space="preserve"> </w:t>
      </w:r>
      <w:r>
        <w:t xml:space="preserve">scoring, motif-aware 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builds on this signal model while adding reusable YAML</w:t>
      </w:r>
      <w:r>
        <w:t xml:space="preserve"> </w:t>
      </w:r>
      <w:r>
        <w:t xml:space="preserve">configurations, de novo motif discovery with database matching,</w:t>
      </w:r>
      <w:r>
        <w:t xml:space="preserve"> </w:t>
      </w:r>
      <w:r>
        <w:t xml:space="preserve">replicate-aware reporting, pseudobulk single-cell footprinting, interactive</w:t>
      </w:r>
      <w:r>
        <w:t xml:space="preserve"> </w:t>
      </w:r>
      <w:r>
        <w:t xml:space="preserve">HTML/SVG outputs, a browser GUI, and tested public-data examples. These additions</w:t>
      </w:r>
      <w:r>
        <w:t xml:space="preserve"> </w:t>
      </w:r>
      <w:r>
        <w:t xml:space="preserve">are intended to lower practical barriers for users who need a workflow that can</w:t>
      </w:r>
      <w:r>
        <w:t xml:space="preserve"> </w:t>
      </w:r>
      <w:r>
        <w:t xml:space="preserve">be run from the command line, reviewed in a browser, reproduced from saved</w:t>
      </w:r>
      <w:r>
        <w:t xml:space="preserve"> </w:t>
      </w:r>
      <w:r>
        <w:t xml:space="preserve">configuration files, and traced from public inputs to final figures.</w:t>
      </w:r>
    </w:p>
    <w:p>
      <w:pPr>
        <w:pStyle w:val="TableCaption"/>
      </w:pPr>
      <w:r>
        <w:t xml:space="preserve">Table 1. Qualitative scope comparison of ATAC-seq regulatory-analysis tools.</w:t>
      </w:r>
      <w:r>
        <w:t xml:space="preserve"> </w:t>
      </w:r>
      <w:r>
        <w:t xml:space="preserve">,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 or adjacent support; NA, outside</w:t>
      </w:r>
      <w:r>
        <w:t xml:space="preserve"> </w:t>
      </w:r>
      <w:r>
        <w:t xml:space="preserve">the tool’s main scope. This table summarizes documented features, not benchmark</w:t>
      </w:r>
      <w:r>
        <w:t xml:space="preserve"> </w:t>
      </w:r>
      <w:r>
        <w:t xml:space="preserve">performance.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Qualitative scope comparison of ATAC-seq regulatory-analysis tools. , native support; \circ, partial or adjacent support; NA, outside the tool’s main scope. This table summarizes documented features, not benchmark performance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HINT- ATAC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PRINT/ scPrinter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Chrom BPNet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ATAC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discovery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The public examples illustrate how these additions extend routine footprint</w:t>
      </w:r>
      <w:r>
        <w:t xml:space="preserve"> </w:t>
      </w:r>
      <w:r>
        <w:t xml:space="preserve">analysis. In the ENCODE bulk ATAC-seq examples, de novo motif discovery</w:t>
      </w:r>
      <w:r>
        <w:t xml:space="preserve"> </w:t>
      </w:r>
      <w:r>
        <w:t xml:space="preserve">recovered candidate-derived sequence patterns that produced motif-centered</w:t>
      </w:r>
      <w:r>
        <w:t xml:space="preserve"> </w:t>
      </w:r>
      <w:r>
        <w:t xml:space="preserve">aggregate footprint profiles and overlapped substantially with JASPAR-supported</w:t>
      </w:r>
      <w:r>
        <w:t xml:space="preserve"> </w:t>
      </w:r>
      <w:r>
        <w:t xml:space="preserve">bound-site windows. In the K562/HepG2 replicate comparison, the report combined</w:t>
      </w:r>
      <w:r>
        <w:t xml:space="preserve"> </w:t>
      </w:r>
      <w:r>
        <w:t xml:space="preserve">native motif-background footprint summaries with replicate-supported motif-score</w:t>
      </w:r>
      <w:r>
        <w:t xml:space="preserve"> </w:t>
      </w:r>
      <w:r>
        <w:t xml:space="preserve">statistics and replicate-level aggregate profiles. In the PBMC5k single-cell</w:t>
      </w:r>
      <w:r>
        <w:t xml:space="preserve"> </w:t>
      </w:r>
      <w:r>
        <w:t xml:space="preserve">example, pseudobulk aggregation produced bulk-like inputs for corrected</w:t>
      </w:r>
      <w:r>
        <w:t xml:space="preserve"> </w:t>
      </w:r>
      <w:r>
        <w:t xml:space="preserve">footprint tracks, whereas KNN-smoothed cell-level signatures provided a</w:t>
      </w:r>
      <w:r>
        <w:t xml:space="preserve"> </w:t>
      </w:r>
      <w:r>
        <w:t xml:space="preserve">visualization of cell-type-associated motif-centered cut-site patterns on the</w:t>
      </w:r>
      <w:r>
        <w:t xml:space="preserve"> </w:t>
      </w:r>
      <w:r>
        <w:t xml:space="preserve">UMAP.</w:t>
      </w:r>
    </w:p>
    <w:p>
      <w:pPr>
        <w:pStyle w:val="BodyText"/>
      </w:pPr>
      <w:r>
        <w:t xml:space="preserve">These use cases also define the intended interpretation of the reported results.</w:t>
      </w:r>
      <w:r>
        <w:t xml:space="preserve"> </w:t>
      </w:r>
      <w:r>
        <w:t xml:space="preserve">The de novo motif workflow is designed to recover recurring sequence patterns</w:t>
      </w:r>
      <w:r>
        <w:t xml:space="preserve"> </w:t>
      </w:r>
      <w:r>
        <w:t xml:space="preserve">from candidate footprint intervals and to connect those motifs back to</w:t>
      </w:r>
      <w:r>
        <w:t xml:space="preserve"> </w:t>
      </w:r>
      <w:r>
        <w:t xml:space="preserve">motif-centered cut-site structure, rather than to assign TF identity without</w:t>
      </w:r>
      <w:r>
        <w:t xml:space="preserve"> </w:t>
      </w:r>
      <w:r>
        <w:t xml:space="preserve">database matching or additional evidence. The replicate-aware workflow is</w:t>
      </w:r>
      <w:r>
        <w:t xml:space="preserve"> </w:t>
      </w:r>
      <w:r>
        <w:t xml:space="preserve">designed to preserve the familiar motif-versus-background footprint</w:t>
      </w:r>
      <w:r>
        <w:t xml:space="preserve"> </w:t>
      </w:r>
      <w:r>
        <w:t xml:space="preserve">interpretation while adding replicate-level summaries and moderated motif-score</w:t>
      </w:r>
      <w:r>
        <w:t xml:space="preserve"> </w:t>
      </w:r>
      <w:r>
        <w:t xml:space="preserve">statistics. The single-cell workflow is designed to generate reproducible</w:t>
      </w:r>
      <w:r>
        <w:t xml:space="preserve"> </w:t>
      </w:r>
      <w:r>
        <w:t xml:space="preserve">pseudobulk footprint tracks and cell-level visualization signatures, rather than</w:t>
      </w:r>
      <w:r>
        <w:t xml:space="preserve"> </w:t>
      </w:r>
      <w:r>
        <w:t xml:space="preserve">to make direct TF-occupancy calls in individual cells. Together, these examples</w:t>
      </w:r>
      <w:r>
        <w:t xml:space="preserve"> </w:t>
      </w:r>
      <w:r>
        <w:t xml:space="preserve">position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as an auditable route from ATAC-seq cut-site signal to</w:t>
      </w:r>
      <w:r>
        <w:t xml:space="preserve"> </w:t>
      </w:r>
      <w:r>
        <w:t xml:space="preserve">motif-level footprint interpretation.</w:t>
      </w:r>
    </w:p>
    <w:p>
      <w:pPr>
        <w:pStyle w:val="BodyText"/>
      </w:pPr>
      <w:r>
        <w:t xml:space="preserve">Several limitations remain. The runtime and memory benchmark was performed on</w:t>
      </w:r>
      <w:r>
        <w:t xml:space="preserve"> </w:t>
      </w:r>
      <w:r>
        <w:t xml:space="preserve">the defined example workflow and demonstrates the efficiency gains in that</w:t>
      </w:r>
      <w:r>
        <w:t xml:space="preserve"> </w:t>
      </w:r>
      <w:r>
        <w:t xml:space="preserve">setting; additional datasets and hardware environments will help quantify</w:t>
      </w:r>
      <w:r>
        <w:t xml:space="preserve"> </w:t>
      </w:r>
      <w:r>
        <w:t xml:space="preserve">scaling across broader use cases. The de novo motif analysis provides</w:t>
      </w:r>
      <w:r>
        <w:t xml:space="preserve"> </w:t>
      </w:r>
      <w:r>
        <w:t xml:space="preserve">operational motif-window recovery summaries rather than formal differential</w:t>
      </w:r>
      <w:r>
        <w:t xml:space="preserve"> </w:t>
      </w:r>
      <w:r>
        <w:t xml:space="preserve">binding significance tests. The cell-level footprint signatures are KNN-smoothed</w:t>
      </w:r>
      <w:r>
        <w:t xml:space="preserve"> </w:t>
      </w:r>
      <w:r>
        <w:t xml:space="preserve">visual summaries of local motif-centered cut-site patterns and should not be</w:t>
      </w:r>
      <w:r>
        <w:t xml:space="preserve"> </w:t>
      </w:r>
      <w:r>
        <w:t xml:space="preserve">interpreted as direct TF-specific occupancy calls in individual cells. Future</w:t>
      </w:r>
      <w:r>
        <w:t xml:space="preserve"> </w:t>
      </w:r>
      <w:r>
        <w:t xml:space="preserve">work will therefore focus on larger controlled benchmarks, broader biological</w:t>
      </w:r>
      <w:r>
        <w:t xml:space="preserve"> </w:t>
      </w:r>
      <w:r>
        <w:t xml:space="preserve">validation, and additional replicate designs across tissues, perturbations, and</w:t>
      </w:r>
      <w:r>
        <w:t xml:space="preserve"> </w:t>
      </w:r>
      <w:r>
        <w:t xml:space="preserve">sequencing depths.</w:t>
      </w:r>
    </w:p>
    <w:bookmarkEnd w:id="54"/>
    <w:bookmarkStart w:id="56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as a Python platform for reproducible,</w:t>
      </w:r>
      <w:r>
        <w:t xml:space="preserve"> </w:t>
      </w:r>
      <w:r>
        <w:t xml:space="preserve">user-accessible ATAC-seq footprint analysis across bulk and single-cell-derived</w:t>
      </w:r>
      <w:r>
        <w:t xml:space="preserve"> </w:t>
      </w:r>
      <w:r>
        <w:t xml:space="preserve">pseudobulk data. The package combines command-line execution, reusable YAML</w:t>
      </w:r>
      <w:r>
        <w:t xml:space="preserve"> </w:t>
      </w:r>
      <w:r>
        <w:t xml:space="preserve">configuration, de novo motif discovery, replicate-aware reporting, pseudobulk</w:t>
      </w:r>
      <w:r>
        <w:t xml:space="preserve"> </w:t>
      </w:r>
      <w:r>
        <w:t xml:space="preserve">footprinting, interactive reports, and a browser GUI in a single workflow.</w:t>
      </w:r>
      <w:r>
        <w:t xml:space="preserve"> </w:t>
      </w:r>
      <w:r>
        <w:t xml:space="preserve">Across public bulk and single-cell examples,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preserved the</w:t>
      </w:r>
      <w:r>
        <w:t xml:space="preserve"> </w:t>
      </w:r>
      <w:r>
        <w:t xml:space="preserve">core interpretation of bias-corrected center-versus-flank footprints while</w:t>
      </w:r>
      <w:r>
        <w:t xml:space="preserve"> </w:t>
      </w:r>
      <w:r>
        <w:t xml:space="preserve">extending the workflow to motif discovery, replicate-supported review, and</w:t>
      </w:r>
      <w:r>
        <w:t xml:space="preserve"> </w:t>
      </w:r>
      <w:r>
        <w:t xml:space="preserve">single-cell pseudobulk analysis.</w:t>
      </w:r>
    </w:p>
    <w:p>
      <w:pPr>
        <w:pStyle w:val="BodyText"/>
      </w:pPr>
      <w:r>
        <w:rPr>
          <w:bCs/>
          <w:b/>
        </w:rPr>
        <w:t xml:space="preserve">Author Contributions:</w:t>
      </w:r>
      <w:r>
        <w:t xml:space="preserve"> </w:t>
      </w: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Cs/>
          <w:b/>
        </w:rPr>
        <w:t xml:space="preserve">Institutional Review Board Statement:</w:t>
      </w:r>
      <w:r>
        <w:t xml:space="preserve"> </w:t>
      </w: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p>
      <w:pPr>
        <w:pStyle w:val="BodyText"/>
      </w:pPr>
      <w:r>
        <w:rPr>
          <w:bCs/>
          <w:b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Data Availability Statement: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55">
        <w:r>
          <w:rPr>
            <w:rStyle w:val="VerbatimChar"/>
          </w:rPr>
          <w:t xml:space="preserve">oncologylab/fp-tools</w:t>
        </w:r>
      </w:hyperlink>
      <w:r>
        <w:t xml:space="preserve">.</w:t>
      </w:r>
      <w:r>
        <w:t xml:space="preserve"> </w:t>
      </w:r>
      <w:r>
        <w:t xml:space="preserve">The repository contains the manifests, schemas, analysis scripts, figure</w:t>
      </w:r>
      <w:r>
        <w:t xml:space="preserve"> </w:t>
      </w:r>
      <w:r>
        <w:t xml:space="preserve">generators, source tables, and small result tables used in this manuscript.</w:t>
      </w:r>
      <w:r>
        <w:t xml:space="preserve"> </w:t>
      </w:r>
      <w:r>
        <w:t xml:space="preserve">Public input data are obtained</w:t>
      </w:r>
      <w:r>
        <w:t xml:space="preserve"> </w:t>
      </w:r>
      <w:r>
        <w:t xml:space="preserve">from the ENCODE Project </w:t>
      </w:r>
      <w:r>
        <w:t xml:space="preserve">(</w:t>
      </w:r>
      <w:hyperlink w:anchor="ref-encode2012">
        <w:r>
          <w:rPr>
            <w:rStyle w:val="Hyperlink"/>
          </w:rPr>
          <w:t xml:space="preserve">19</w:t>
        </w:r>
      </w:hyperlink>
      <w:r>
        <w:t xml:space="preserve">)</w:t>
      </w:r>
      <w:r>
        <w:t xml:space="preserve">, the 10x Genomics PBMC5k single-cell</w:t>
      </w:r>
      <w:r>
        <w:t xml:space="preserve"> </w:t>
      </w:r>
      <w:r>
        <w:t xml:space="preserve">ATAC example </w:t>
      </w:r>
      <w:r>
        <w:t xml:space="preserve">(</w:t>
      </w:r>
      <w:hyperlink w:anchor="ref-tenxpbmc5katac2021">
        <w:r>
          <w:rPr>
            <w:rStyle w:val="Hyperlink"/>
          </w:rPr>
          <w:t xml:space="preserve">23</w:t>
        </w:r>
      </w:hyperlink>
      <w:r>
        <w:t xml:space="preserve">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</w:t>
      </w:r>
      <w:hyperlink w:anchor="ref-jaspar2026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</w:t>
      </w:r>
      <w:r>
        <w:t xml:space="preserve"> </w:t>
      </w:r>
      <w:r>
        <w:t xml:space="preserve">repository Dockerfile.</w:t>
      </w:r>
    </w:p>
    <w:p>
      <w:pPr>
        <w:pStyle w:val="BodyText"/>
      </w:pPr>
      <w:r>
        <w:rPr>
          <w:bCs/>
          <w:b/>
        </w:rPr>
        <w:t xml:space="preserve">Acknowledgments:</w:t>
      </w:r>
      <w:r>
        <w:t xml:space="preserve"> </w:t>
      </w: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p>
      <w:pPr>
        <w:pStyle w:val="BodyText"/>
      </w:pPr>
      <w:r>
        <w:rPr>
          <w:bCs/>
          <w:b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bookmarkEnd w:id="56"/>
    <w:bookmarkStart w:id="104" w:name="appendix"/>
    <w:p>
      <w:pPr>
        <w:pStyle w:val="Heading1"/>
      </w:pPr>
      <w:r>
        <w:t xml:space="preserve">Appendix</w:t>
      </w:r>
    </w:p>
    <w:p>
      <w:pPr>
        <w:pStyle w:val="TableCaption"/>
      </w:pPr>
      <w:r>
        <w:t xml:space="preserve">Table S1. 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</w:t>
      </w:r>
      <w:r>
        <w:t xml:space="preserve">Primary analysis parameters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S1. 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public ENCODE K562/HepG2 replicate BAMs and tracks. The pseudobulk single-cell demonstration uses the public 10x Genomics 5k PBMC scATAC fragment dataset. Motif analyses use JASPAR 2026 CORE vertebrate non-redundant motifs.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GRCh38 alignment BAMs for K562 ENCSR868FGK and HepG2 ENCSR291GJU were filtered to standard chromosomes, indexed, and summarized before footprint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released ENCODE peak intervals sorted and merged across replicates into one analysis peak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 corrected cut-site tracks q95-scaled over shared background regions for multi-sample analyses;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–score footprint</w:t>
            </w:r>
            <w:r>
              <w:t xml:space="preserve"> </w:t>
            </w:r>
            <w:r>
              <w:t xml:space="preserve">run with default footprint and flank windows.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3-vs-3 ENCODE K562/HepG2 replicate footprint tracks were analyzed with repeated condition labels, JASPAR 2026 motifs, and replicate reporting enabled. Single-sample contrasts use motif-site versus background-distribution comparison; replicate-supported analyses use empirical-Bayes variance moderation on per-sample aggregated motif scores.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cell-line-level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–dna –nmotifs 250</w:t>
            </w:r>
            <w:r>
              <w:t xml:space="preserve">; Tomtom 5.5.9 matched discovered motifs to JASPAR 2026; discovered motifs were scanned back into candidate intervals for motif-window overlap summaries and aggregate footprint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Pseudobulk PBMC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10x PBMC5k scATAC fragments grouped into broad B-cell, monocyte, and T–NK labels, retaining 4,437 annotated cells and requiring at least 300 cells and 50,000 fragments per group.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marker heatmaps, and KNN-smoothed footprint-signature UMAPs.</w:t>
            </w:r>
          </w:p>
        </w:tc>
      </w:tr>
    </w:tbl>
    <w:p/>
    <w:p>
      <w:pPr>
        <w:pStyle w:val="TableCaption"/>
      </w:pPr>
      <w:r>
        <w:t xml:space="preserve">Table S2. Software and resource versions used for manuscript analyses. The complete source table is provided in the Supplementary Materials as</w:t>
      </w:r>
      <w:r>
        <w:t xml:space="preserve"> </w:t>
      </w:r>
      <w:r>
        <w:t xml:space="preserve">“</w:t>
      </w:r>
      <w:r>
        <w:t xml:space="preserve">Software and resource versions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S2. 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extraction and ATAC bias 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ENCODE BAM filtering,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Start w:id="103" w:name="refs"/>
    <w:bookmarkStart w:id="58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57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58"/>
    <w:bookmarkStart w:id="60" w:name="ref-buenrostro2015scata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Buenrostro JD, Wu B, Litzenburger UM, Ruff D, Gonzales ML, Snyder MP, et al.</w:t>
      </w:r>
      <w:r>
        <w:t xml:space="preserve"> </w:t>
      </w:r>
      <w:hyperlink r:id="rId59">
        <w:r>
          <w:rPr>
            <w:rStyle w:val="Hyperlink"/>
          </w:rPr>
          <w:t xml:space="preserve">Single-cell chromatin accessibility reveals principles of regulatory variation</w:t>
        </w:r>
      </w:hyperlink>
      <w:r>
        <w:t xml:space="preserve">. Nature. 2015;523(7561):486–90.</w:t>
      </w:r>
      <w:r>
        <w:t xml:space="preserve"> </w:t>
      </w:r>
    </w:p>
    <w:bookmarkEnd w:id="60"/>
    <w:bookmarkStart w:id="62" w:name="ref-pique2011centipede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61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62"/>
    <w:bookmarkStart w:id="64" w:name="ref-piper2013wellingto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63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64"/>
    <w:bookmarkStart w:id="66" w:name="ref-sherwood2014piq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65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66"/>
    <w:bookmarkStart w:id="68" w:name="ref-quach2017defcom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67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68"/>
    <w:bookmarkStart w:id="70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69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70"/>
    <w:bookmarkStart w:id="72" w:name="ref-bentsen2020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71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72"/>
    <w:bookmarkStart w:id="74" w:name="ref-hu2024print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73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74"/>
    <w:bookmarkStart w:id="76" w:name="ref-cazares2023maxata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75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76"/>
    <w:bookmarkStart w:id="78" w:name="ref-chrombpnet2024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77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78"/>
    <w:bookmarkStart w:id="80" w:name="ref-jaspar2026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79">
        <w:r>
          <w:rPr>
            <w:rStyle w:val="Hyperlink"/>
          </w:rPr>
          <w:t xml:space="preserve">https://doi.org/10.1093/nar/gkaf1209</w:t>
        </w:r>
      </w:hyperlink>
    </w:p>
    <w:bookmarkEnd w:id="80"/>
    <w:bookmarkStart w:id="82" w:name="ref-bailey2015meme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81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82"/>
    <w:bookmarkStart w:id="84" w:name="ref-Bailey2011_DREME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83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84"/>
    <w:bookmarkStart w:id="86" w:name="ref-Bailey2021_ST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85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86"/>
    <w:bookmarkStart w:id="88" w:name="ref-gupta2007tomto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87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88"/>
    <w:bookmarkStart w:id="90" w:name="ref-smyth200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Smyth GK.</w:t>
      </w:r>
      <w:r>
        <w:t xml:space="preserve"> </w:t>
      </w:r>
      <w:hyperlink r:id="rId89">
        <w:r>
          <w:rPr>
            <w:rStyle w:val="Hyperlink"/>
          </w:rPr>
          <w:t xml:space="preserve">Linear models and 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Bayes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methods for assessing differential expression in microarray experiments</w:t>
        </w:r>
      </w:hyperlink>
      <w:r>
        <w:t xml:space="preserve">. Statistical Applications in Genetics and Molecular Biology. 2004;3(1):Article 3.</w:t>
      </w:r>
      <w:r>
        <w:t xml:space="preserve"> </w:t>
      </w:r>
    </w:p>
    <w:bookmarkEnd w:id="90"/>
    <w:bookmarkStart w:id="92" w:name="ref-Amemiya2019_Blackli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91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92"/>
    <w:bookmarkStart w:id="94" w:name="ref-encode201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93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94"/>
    <w:bookmarkStart w:id="96" w:name="ref-Wilkinson2016_FAIR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95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96"/>
    <w:bookmarkStart w:id="98" w:name="ref-Gruning2018_Bioconda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97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98"/>
    <w:bookmarkStart w:id="100" w:name="ref-Ewels2020_nfcore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99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100"/>
    <w:bookmarkStart w:id="102" w:name="ref-tenxpbmc5katac2021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10x Genomics.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101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02"/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bidi="ar-SA" w:eastAsia="en-US" w:val="en-US"/>
        <w:color w:val="000000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 w:cs="Arial"/>
      <w:sz w:val="20"/>
      <w:szCs w:val="20"/>
      <w:color w:val="000000"/>
    </w:rPr>
    <w:pPr>
      <w:spacing w:after="120" w:line="240" w:lineRule="auto"/>
    </w:pPr>
  </w:style>
  <w:style w:styleId="BodyText" w:type="paragraph">
    <w:name w:val="Body Text"/>
    <w:basedOn w:val="Normal"/>
    <w:link w:val="BodyTextChar"/>
    <w:pPr>
      <w:spacing w:after="120" w:before="180" w:line="240" w:lineRule="auto"/>
    </w:pPr>
    <w:qFormat/>
    <w:rPr>
      <w:rFonts w:ascii="Arial" w:hAnsi="Arial" w:eastAsia="Arial" w:cs="Arial"/>
      <w:sz w:val="20"/>
      <w:szCs w:val="20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 w:cs="Arial"/>
      <w:sz w:val="20"/>
      <w:szCs w:val="20"/>
      <w:color w:val="000000"/>
    </w:rPr>
    <w:pPr>
      <w:spacing w:after="120" w:line="240" w:lineRule="auto"/>
    </w:pPr>
  </w:style>
  <w:style w:customStyle="1" w:styleId="Compact" w:type="paragraph">
    <w:name w:val="Compact"/>
    <w:basedOn w:val="BodyText"/>
    <w:qFormat/>
    <w:pPr>
      <w:spacing w:after="60" w:before="36" w:line="220" w:lineRule="auto"/>
    </w:pPr>
    <w:rPr>
      <w:rFonts w:ascii="Arial" w:hAnsi="Arial" w:eastAsia="Arial" w:cs="Arial"/>
      <w:sz w:val="18"/>
      <w:szCs w:val="18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480" w:line="240" w:lineRule="auto"/>
      <w:jc w:val="center"/>
    </w:pPr>
    <w:rPr>
      <w:rFonts w:ascii="Arial" w:hAnsi="Arial" w:eastAsia="Arial" w:cs="Arial"/>
      <w:b/>
      <w:bCs/>
      <w:color w:themeColor="accent1" w:themeShade="B5" w:val="000000"/>
      <w:sz w:val="28"/>
      <w:szCs w:val="28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2"/>
      <w:szCs w:val="22"/>
      <w:rFonts w:ascii="Arial" w:hAnsi="Arial" w:eastAsia="Arial" w:cs="Arial"/>
      <w:color w:val="000000"/>
      <w:b/>
      <w:bCs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120" w:line="240" w:lineRule="auto"/>
    </w:pPr>
    <w:rPr>
      <w:rFonts w:ascii="Arial" w:hAnsi="Arial" w:eastAsia="Arial" w:cs="Arial"/>
      <w:sz w:val="20"/>
      <w:szCs w:val="20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eastAsia="Arial" w:cs="Arial"/>
      <w:sz w:val="20"/>
      <w:szCs w:val="20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60" w:before="120" w:line="240" w:lineRule="auto"/>
    </w:pPr>
    <w:rPr>
      <w:sz w:val="20"/>
      <w:szCs w:val="20"/>
      <w:b/>
      <w:color w:val="000000"/>
      &gt;
      <w:rFonts w:ascii="Arial" w:hAnsi="Arial" w:eastAsia="Arial" w:cs="Arial"/>
      <w:bCs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240" w:lineRule="auto"/>
    </w:pPr>
    <w:rPr>
      <w:sz w:val="20"/>
      <w:szCs w:val="20"/>
      <w:rFonts w:ascii="Arial" w:hAnsi="Arial" w:eastAsia="Arial" w:cs="Arial"/>
      <w:color w:val="000000"/>
    </w:rPr>
  </w:style>
  <w:style w:styleId="Bibliography" w:type="paragraph">
    <w:name w:val="Bibliography"/>
    <w:basedOn w:val="Normal"/>
    <w:next w:val="Bibliography"/>
    <w:qFormat/>
    <w:pPr>
      <w:spacing w:after="60" w:line="220" w:lineRule="auto"/>
    </w:pPr>
    <w:rPr>
      <w:rFonts w:ascii="Arial" w:hAnsi="Arial" w:eastAsia="Arial" w:cs="Arial"/>
      <w:sz w:val="18"/>
      <w:szCs w:val="18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60" w:line="240" w:lineRule="auto"/>
      <w:outlineLvl w:val="0"/>
    </w:pPr>
    <w:rPr>
      <w:rFonts w:ascii="Arial" w:hAnsi="Arial" w:eastAsia="Arial" w:cs="Arial"/>
      <w:b/>
      <w:bCs/>
      <w:color w:themeColor="accent1" w:val="000000"/>
      <w:sz w:val="24"/>
      <w:szCs w:val="2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80" w:line="240" w:lineRule="auto"/>
      <w:outlineLvl w:val="1"/>
    </w:pPr>
    <w:rPr>
      <w:rFonts w:ascii="Arial" w:hAnsi="Arial" w:eastAsia="Arial" w:cs="Arial"/>
      <w:b/>
      <w:bCs/>
      <w:color w:themeColor="accent1" w:val="000000"/>
      <w:sz w:val="22"/>
      <w:szCs w:val="2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2"/>
    </w:pPr>
    <w:rPr>
      <w:rFonts w:ascii="Arial" w:hAnsi="Arial" w:eastAsia="Arial" w:cs="Arial"/>
      <w:b/>
      <w:bCs/>
      <w:color w:themeColor="accent1" w:val="000000"/>
      <w:sz w:val="20"/>
      <w:szCs w:val="2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eastAsia="Arial" w:cs="Arial"/>
      <w:bCs/>
      <w:color w:themeColor="accent1" w:val="000000"/>
      <w:sz w:val="20"/>
      <w:szCs w:val="20"/>
      <w:b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Arial" w:hAnsi="Arial" w:eastAsia="Arial" w:cs="Arial"/>
      <w:sz w:val="18"/>
      <w:szCs w:val="18"/>
      <w:color w:val="000000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Arial" w:hAnsi="Arial" w:eastAsia="Arial" w:cs="Arial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80" w:line="220" w:lineRule="auto"/>
    </w:pPr>
    <w:rPr>
      <w:i/>
      <w:rFonts w:ascii="Arial" w:hAnsi="Arial" w:eastAsia="Arial" w:cs="Arial"/>
      <w:sz w:val="18"/>
      <w:szCs w:val="18"/>
      <w:color w:val="000000"/>
      <w:iCs/>
    </w:rPr>
  </w:style>
  <w:style w:customStyle="1" w:styleId="TableCaption" w:type="paragraph">
    <w:name w:val="Table Caption"/>
    <w:basedOn w:val="Caption"/>
    <w:pPr>
      <w:keepNext/>
      <w:spacing w:before="80" w:after="100" w:line="220" w:lineRule="auto"/>
    </w:pPr>
    <w:rPr>
      <w:rFonts w:ascii="Arial" w:hAnsi="Arial" w:eastAsia="Arial" w:cs="Arial"/>
      <w:sz w:val="18"/>
      <w:szCs w:val="18"/>
      <w:color w:val="000000"/>
      <w:i/>
      <w:iCs/>
    </w:rPr>
  </w:style>
  <w:style w:customStyle="1" w:styleId="ImageCaption" w:type="paragraph">
    <w:name w:val="Image Caption"/>
    <w:basedOn w:val="Caption"/>
    <w:rPr>
      <w:rFonts w:ascii="Arial" w:hAnsi="Arial" w:eastAsia="Arial" w:cs="Arial"/>
      <w:sz w:val="18"/>
      <w:szCs w:val="18"/>
      <w:color w:val="000000"/>
      <w:i/>
      <w:iCs/>
    </w:rPr>
    <w:pPr>
      <w:spacing w:before="80" w:after="140" w:line="22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 w:eastAsia="Arial" w:cs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Arial" w:hAnsi="Arial" w:eastAsia="Arial" w:cs="Arial"/>
    </w:rPr>
  </w:style>
  <w:style w:styleId="Hyperlink" w:type="character">
    <w:name w:val="Hyperlink"/>
    <w:basedOn w:val="BodyTextChar"/>
    <w:rPr>
      <w:color w:themeColor="accent1" w:val="4F81BD"/>
      <w:rFonts w:ascii="Arial" w:hAnsi="Arial" w:eastAsia="Arial" w:cs="Arial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60" w:line="240" w:lineRule="auto" w:after="100"/>
      <w:outlineLvl w:val="9"/>
    </w:pPr>
    <w:rPr>
      <w:rFonts w:ascii="Arial" w:hAnsi="Arial" w:eastAsia="Arial" w:cs="Arial"/>
      <w:b w:val="0"/>
      <w:bCs w:val="0"/>
      <w:color w:themeColor="accent1" w:themeShade="BF" w:val="000000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  <w:rFonts w:ascii="Arial" w:hAnsi="Arial" w:eastAsia="Arial" w:cs="Arial"/>
    </w:rPr>
  </w:style>
  <w:style w:type="character" w:customStyle="1" w:styleId="DataTypeTok">
    <w:name w:val="DataTypeTok"/>
    <w:basedOn w:val="VerbatimChar"/>
    <w:rPr>
      <w:color w:val="902000"/>
      <w:rFonts w:ascii="Arial" w:hAnsi="Arial" w:eastAsia="Arial" w:cs="Arial"/>
    </w:rPr>
  </w:style>
  <w:style w:type="character" w:customStyle="1" w:styleId="DecValTok">
    <w:name w:val="DecValTok"/>
    <w:basedOn w:val="VerbatimChar"/>
    <w:rPr>
      <w:color w:val="40a070"/>
      <w:rFonts w:ascii="Arial" w:hAnsi="Arial" w:eastAsia="Arial" w:cs="Arial"/>
    </w:rPr>
  </w:style>
  <w:style w:type="character" w:customStyle="1" w:styleId="BaseNTok">
    <w:name w:val="BaseNTok"/>
    <w:basedOn w:val="VerbatimChar"/>
    <w:rPr>
      <w:color w:val="40a070"/>
      <w:rFonts w:ascii="Arial" w:hAnsi="Arial" w:eastAsia="Arial" w:cs="Arial"/>
    </w:rPr>
  </w:style>
  <w:style w:type="character" w:customStyle="1" w:styleId="FloatTok">
    <w:name w:val="FloatTok"/>
    <w:basedOn w:val="VerbatimChar"/>
    <w:rPr>
      <w:color w:val="40a070"/>
      <w:rFonts w:ascii="Arial" w:hAnsi="Arial" w:eastAsia="Arial" w:cs="Arial"/>
    </w:rPr>
  </w:style>
  <w:style w:type="character" w:customStyle="1" w:styleId="ConstantTok">
    <w:name w:val="ConstantTok"/>
    <w:basedOn w:val="VerbatimChar"/>
    <w:rPr>
      <w:color w:val="880000"/>
      <w:rFonts w:ascii="Arial" w:hAnsi="Arial" w:eastAsia="Arial" w:cs="Arial"/>
    </w:rPr>
  </w:style>
  <w:style w:type="character" w:customStyle="1" w:styleId="CharTok">
    <w:name w:val="CharTok"/>
    <w:basedOn w:val="VerbatimChar"/>
    <w:rPr>
      <w:color w:val="4070a0"/>
      <w:rFonts w:ascii="Arial" w:hAnsi="Arial" w:eastAsia="Arial" w:cs="Arial"/>
    </w:rPr>
  </w:style>
  <w:style w:type="character" w:customStyle="1" w:styleId="SpecialCharTok">
    <w:name w:val="SpecialCharTok"/>
    <w:basedOn w:val="VerbatimChar"/>
    <w:rPr>
      <w:color w:val="4070a0"/>
      <w:rFonts w:ascii="Arial" w:hAnsi="Arial" w:eastAsia="Arial" w:cs="Arial"/>
    </w:rPr>
  </w:style>
  <w:style w:type="character" w:customStyle="1" w:styleId="StringTok">
    <w:name w:val="StringTok"/>
    <w:basedOn w:val="VerbatimChar"/>
    <w:rPr>
      <w:color w:val="4070a0"/>
      <w:rFonts w:ascii="Arial" w:hAnsi="Arial" w:eastAsia="Arial" w:cs="Arial"/>
    </w:rPr>
  </w:style>
  <w:style w:type="character" w:customStyle="1" w:styleId="VerbatimStringTok">
    <w:name w:val="VerbatimStringTok"/>
    <w:basedOn w:val="VerbatimChar"/>
    <w:rPr>
      <w:color w:val="4070a0"/>
      <w:rFonts w:ascii="Arial" w:hAnsi="Arial" w:eastAsia="Arial" w:cs="Arial"/>
    </w:rPr>
  </w:style>
  <w:style w:type="character" w:customStyle="1" w:styleId="SpecialStringTok">
    <w:name w:val="SpecialStringTok"/>
    <w:basedOn w:val="VerbatimChar"/>
    <w:rPr>
      <w:color w:val="bb6688"/>
      <w:rFonts w:ascii="Arial" w:hAnsi="Arial" w:eastAsia="Arial" w:cs="Arial"/>
    </w:rPr>
  </w:style>
  <w:style w:type="character" w:customStyle="1" w:styleId="ImportTok">
    <w:name w:val="ImportTok"/>
    <w:basedOn w:val="VerbatimChar"/>
    <w:rPr>
      <w:color w:val="008000"/>
      <w:b/>
      <w:rFonts w:ascii="Arial" w:hAnsi="Arial" w:eastAsia="Arial" w:cs="Arial"/>
    </w:rPr>
  </w:style>
  <w:style w:type="character" w:customStyle="1" w:styleId="CommentTok">
    <w:name w:val="CommentTok"/>
    <w:basedOn w:val="VerbatimChar"/>
    <w:rPr>
      <w:color w:val="60a0b0"/>
      <w:i/>
      <w:rFonts w:ascii="Arial" w:hAnsi="Arial" w:eastAsia="Arial" w:cs="Arial"/>
    </w:rPr>
  </w:style>
  <w:style w:type="character" w:customStyle="1" w:styleId="DocumentationTok">
    <w:name w:val="DocumentationTok"/>
    <w:basedOn w:val="VerbatimChar"/>
    <w:rPr>
      <w:color w:val="ba2121"/>
      <w:i/>
      <w:rFonts w:ascii="Arial" w:hAnsi="Arial" w:eastAsia="Arial" w:cs="Arial"/>
    </w:rPr>
  </w:style>
  <w:style w:type="character" w:customStyle="1" w:styleId="AnnotationTok">
    <w:name w:val="Annotation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CommentVarTok">
    <w:name w:val="CommentVar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OtherTok">
    <w:name w:val="OtherTok"/>
    <w:basedOn w:val="VerbatimChar"/>
    <w:rPr>
      <w:color w:val="007020"/>
      <w:rFonts w:ascii="Arial" w:hAnsi="Arial" w:eastAsia="Arial" w:cs="Arial"/>
    </w:rPr>
  </w:style>
  <w:style w:type="character" w:customStyle="1" w:styleId="FunctionTok">
    <w:name w:val="FunctionTok"/>
    <w:basedOn w:val="VerbatimChar"/>
    <w:rPr>
      <w:color w:val="06287e"/>
      <w:rFonts w:ascii="Arial" w:hAnsi="Arial" w:eastAsia="Arial" w:cs="Arial"/>
    </w:rPr>
  </w:style>
  <w:style w:type="character" w:customStyle="1" w:styleId="VariableTok">
    <w:name w:val="VariableTok"/>
    <w:basedOn w:val="VerbatimChar"/>
    <w:rPr>
      <w:color w:val="19177c"/>
      <w:rFonts w:ascii="Arial" w:hAnsi="Arial" w:eastAsia="Arial" w:cs="Arial"/>
    </w:rPr>
  </w:style>
  <w:style w:type="character" w:customStyle="1" w:styleId="ControlFlowTok">
    <w:name w:val="ControlFlowTok"/>
    <w:basedOn w:val="VerbatimChar"/>
    <w:rPr>
      <w:color w:val="007020"/>
      <w:b/>
      <w:rFonts w:ascii="Arial" w:hAnsi="Arial" w:eastAsia="Arial" w:cs="Arial"/>
    </w:rPr>
  </w:style>
  <w:style w:type="character" w:customStyle="1" w:styleId="OperatorTok">
    <w:name w:val="OperatorTok"/>
    <w:basedOn w:val="VerbatimChar"/>
    <w:rPr>
      <w:color w:val="666666"/>
      <w:rFonts w:ascii="Arial" w:hAnsi="Arial" w:eastAsia="Arial" w:cs="Arial"/>
    </w:rPr>
  </w:style>
  <w:style w:type="character" w:customStyle="1" w:styleId="BuiltInTok">
    <w:name w:val="BuiltInTok"/>
    <w:basedOn w:val="VerbatimChar"/>
    <w:rPr>
      <w:color w:val="008000"/>
      <w:rFonts w:ascii="Arial" w:hAnsi="Arial" w:eastAsia="Arial" w:cs="Arial"/>
    </w:rPr>
  </w:style>
  <w:style w:type="character" w:customStyle="1" w:styleId="ExtensionTok">
    <w:name w:val="ExtensionTok"/>
    <w:basedOn w:val="VerbatimChar"/>
    <w:rPr>
      <w:rFonts w:ascii="Arial" w:hAnsi="Arial" w:eastAsia="Arial" w:cs="Arial"/>
    </w:rPr>
  </w:style>
  <w:style w:type="character" w:customStyle="1" w:styleId="PreprocessorTok">
    <w:name w:val="PreprocessorTok"/>
    <w:basedOn w:val="VerbatimChar"/>
    <w:rPr>
      <w:color w:val="bc7a00"/>
      <w:rFonts w:ascii="Arial" w:hAnsi="Arial" w:eastAsia="Arial" w:cs="Arial"/>
    </w:rPr>
  </w:style>
  <w:style w:type="character" w:customStyle="1" w:styleId="AttributeTok">
    <w:name w:val="AttributeTok"/>
    <w:basedOn w:val="VerbatimChar"/>
    <w:rPr>
      <w:color w:val="7d9029"/>
      <w:rFonts w:ascii="Arial" w:hAnsi="Arial" w:eastAsia="Arial" w:cs="Arial"/>
    </w:rPr>
  </w:style>
  <w:style w:type="character" w:customStyle="1" w:styleId="RegionMarkerTok">
    <w:name w:val="RegionMarkerTok"/>
    <w:basedOn w:val="VerbatimChar"/>
    <w:rPr>
      <w:rFonts w:ascii="Arial" w:hAnsi="Arial" w:eastAsia="Arial" w:cs="Arial"/>
    </w:rPr>
  </w:style>
  <w:style w:type="character" w:customStyle="1" w:styleId="InformationTok">
    <w:name w:val="Information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WarningTok">
    <w:name w:val="Warning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AlertTok">
    <w:name w:val="AlertTok"/>
    <w:basedOn w:val="VerbatimChar"/>
    <w:rPr>
      <w:color w:val="ff0000"/>
      <w:b/>
      <w:rFonts w:ascii="Arial" w:hAnsi="Arial" w:eastAsia="Arial" w:cs="Arial"/>
    </w:rPr>
  </w:style>
  <w:style w:type="character" w:customStyle="1" w:styleId="ErrorTok">
    <w:name w:val="ErrorTok"/>
    <w:basedOn w:val="VerbatimChar"/>
    <w:rPr>
      <w:color w:val="ff0000"/>
      <w:b/>
      <w:rFonts w:ascii="Arial" w:hAnsi="Arial" w:eastAsia="Arial" w:cs="Arial"/>
    </w:rPr>
  </w:style>
  <w:style w:type="character" w:customStyle="1" w:styleId="NormalTok">
    <w:name w:val="NormalTok"/>
    <w:basedOn w:val="VerbatimChar"/>
    <w:rPr>
      <w:rFonts w:ascii="Arial" w:hAnsi="Arial" w:eastAsia="Arial" w:cs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hyperlink" Id="rId93" Target="https://doi.org/10.1038/nature11247" TargetMode="External" /><Relationship Type="http://schemas.openxmlformats.org/officeDocument/2006/relationships/hyperlink" Id="rId59" Target="https://doi.org/10.1038/nature14590" TargetMode="External" /><Relationship Type="http://schemas.openxmlformats.org/officeDocument/2006/relationships/hyperlink" Id="rId65" Target="https://doi.org/10.1038/nbt.2798" TargetMode="External" /><Relationship Type="http://schemas.openxmlformats.org/officeDocument/2006/relationships/hyperlink" Id="rId57" Target="https://doi.org/10.1038/nmeth.2688" TargetMode="External" /><Relationship Type="http://schemas.openxmlformats.org/officeDocument/2006/relationships/hyperlink" Id="rId71" Target="https://doi.org/10.1038/s41467-020-18035-1" TargetMode="External" /><Relationship Type="http://schemas.openxmlformats.org/officeDocument/2006/relationships/hyperlink" Id="rId73" Target="https://doi.org/10.1038/s41586-024-08443-4" TargetMode="External" /><Relationship Type="http://schemas.openxmlformats.org/officeDocument/2006/relationships/hyperlink" Id="rId99" Target="https://doi.org/10.1038/s41587-020-0439-x" TargetMode="External" /><Relationship Type="http://schemas.openxmlformats.org/officeDocument/2006/relationships/hyperlink" Id="rId97" Target="https://doi.org/10.1038/s41592-018-0046-7" TargetMode="External" /><Relationship Type="http://schemas.openxmlformats.org/officeDocument/2006/relationships/hyperlink" Id="rId91" Target="https://doi.org/10.1038/s41598-019-45839-z" TargetMode="External" /><Relationship Type="http://schemas.openxmlformats.org/officeDocument/2006/relationships/hyperlink" Id="rId95" Target="https://doi.org/10.1038/sdata.2016.18" TargetMode="External" /><Relationship Type="http://schemas.openxmlformats.org/officeDocument/2006/relationships/hyperlink" Id="rId85" Target="https://doi.org/10.1093/bioinformatics/btab203" TargetMode="External" /><Relationship Type="http://schemas.openxmlformats.org/officeDocument/2006/relationships/hyperlink" Id="rId83" Target="https://doi.org/10.1093/bioinformatics/btr261" TargetMode="External" /><Relationship Type="http://schemas.openxmlformats.org/officeDocument/2006/relationships/hyperlink" Id="rId67" Target="https://doi.org/10.1093/bioinformatics/btw740" TargetMode="External" /><Relationship Type="http://schemas.openxmlformats.org/officeDocument/2006/relationships/hyperlink" Id="rId79" Target="https://doi.org/10.1093/nar/gkaf1209" TargetMode="External" /><Relationship Type="http://schemas.openxmlformats.org/officeDocument/2006/relationships/hyperlink" Id="rId63" Target="https://doi.org/10.1093/nar/gkt850" TargetMode="External" /><Relationship Type="http://schemas.openxmlformats.org/officeDocument/2006/relationships/hyperlink" Id="rId81" Target="https://doi.org/10.1093/nar/gkv416" TargetMode="External" /><Relationship Type="http://schemas.openxmlformats.org/officeDocument/2006/relationships/hyperlink" Id="rId77" Target="https://doi.org/10.1101/2024.12.25.630221" TargetMode="External" /><Relationship Type="http://schemas.openxmlformats.org/officeDocument/2006/relationships/hyperlink" Id="rId61" Target="https://doi.org/10.1101/gr.112623.110" TargetMode="External" /><Relationship Type="http://schemas.openxmlformats.org/officeDocument/2006/relationships/hyperlink" Id="rId87" Target="https://doi.org/10.1186/gb-2007-8-2-r24" TargetMode="External" /><Relationship Type="http://schemas.openxmlformats.org/officeDocument/2006/relationships/hyperlink" Id="rId69" Target="https://doi.org/10.1186/s13059-019-1642-2" TargetMode="External" /><Relationship Type="http://schemas.openxmlformats.org/officeDocument/2006/relationships/hyperlink" Id="rId75" Target="https://doi.org/10.1371/journal.pcbi.1010863" TargetMode="External" /><Relationship Type="http://schemas.openxmlformats.org/officeDocument/2006/relationships/hyperlink" Id="rId89" Target="https://doi.org/10.2202/1544-6115.1027" TargetMode="External" /><Relationship Type="http://schemas.openxmlformats.org/officeDocument/2006/relationships/hyperlink" Id="rId55" Target="https://github.com/oncologylab/fp-tools" TargetMode="External" /><Relationship Type="http://schemas.openxmlformats.org/officeDocument/2006/relationships/hyperlink" Id="rId101" Target="https://www.10xgenomics.com/datasets/5-k-peripheral-blood-mononuclear-cells-pbm-cs-from-a-healthy-donor-next-gem-v-1-1-1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38/nature11247" TargetMode="External" /><Relationship Type="http://schemas.openxmlformats.org/officeDocument/2006/relationships/hyperlink" Id="rId59" Target="https://doi.org/10.1038/nature14590" TargetMode="External" /><Relationship Type="http://schemas.openxmlformats.org/officeDocument/2006/relationships/hyperlink" Id="rId65" Target="https://doi.org/10.1038/nbt.2798" TargetMode="External" /><Relationship Type="http://schemas.openxmlformats.org/officeDocument/2006/relationships/hyperlink" Id="rId57" Target="https://doi.org/10.1038/nmeth.2688" TargetMode="External" /><Relationship Type="http://schemas.openxmlformats.org/officeDocument/2006/relationships/hyperlink" Id="rId71" Target="https://doi.org/10.1038/s41467-020-18035-1" TargetMode="External" /><Relationship Type="http://schemas.openxmlformats.org/officeDocument/2006/relationships/hyperlink" Id="rId73" Target="https://doi.org/10.1038/s41586-024-08443-4" TargetMode="External" /><Relationship Type="http://schemas.openxmlformats.org/officeDocument/2006/relationships/hyperlink" Id="rId99" Target="https://doi.org/10.1038/s41587-020-0439-x" TargetMode="External" /><Relationship Type="http://schemas.openxmlformats.org/officeDocument/2006/relationships/hyperlink" Id="rId97" Target="https://doi.org/10.1038/s41592-018-0046-7" TargetMode="External" /><Relationship Type="http://schemas.openxmlformats.org/officeDocument/2006/relationships/hyperlink" Id="rId91" Target="https://doi.org/10.1038/s41598-019-45839-z" TargetMode="External" /><Relationship Type="http://schemas.openxmlformats.org/officeDocument/2006/relationships/hyperlink" Id="rId95" Target="https://doi.org/10.1038/sdata.2016.18" TargetMode="External" /><Relationship Type="http://schemas.openxmlformats.org/officeDocument/2006/relationships/hyperlink" Id="rId85" Target="https://doi.org/10.1093/bioinformatics/btab203" TargetMode="External" /><Relationship Type="http://schemas.openxmlformats.org/officeDocument/2006/relationships/hyperlink" Id="rId83" Target="https://doi.org/10.1093/bioinformatics/btr261" TargetMode="External" /><Relationship Type="http://schemas.openxmlformats.org/officeDocument/2006/relationships/hyperlink" Id="rId67" Target="https://doi.org/10.1093/bioinformatics/btw740" TargetMode="External" /><Relationship Type="http://schemas.openxmlformats.org/officeDocument/2006/relationships/hyperlink" Id="rId79" Target="https://doi.org/10.1093/nar/gkaf1209" TargetMode="External" /><Relationship Type="http://schemas.openxmlformats.org/officeDocument/2006/relationships/hyperlink" Id="rId63" Target="https://doi.org/10.1093/nar/gkt850" TargetMode="External" /><Relationship Type="http://schemas.openxmlformats.org/officeDocument/2006/relationships/hyperlink" Id="rId81" Target="https://doi.org/10.1093/nar/gkv416" TargetMode="External" /><Relationship Type="http://schemas.openxmlformats.org/officeDocument/2006/relationships/hyperlink" Id="rId77" Target="https://doi.org/10.1101/2024.12.25.630221" TargetMode="External" /><Relationship Type="http://schemas.openxmlformats.org/officeDocument/2006/relationships/hyperlink" Id="rId61" Target="https://doi.org/10.1101/gr.112623.110" TargetMode="External" /><Relationship Type="http://schemas.openxmlformats.org/officeDocument/2006/relationships/hyperlink" Id="rId87" Target="https://doi.org/10.1186/gb-2007-8-2-r24" TargetMode="External" /><Relationship Type="http://schemas.openxmlformats.org/officeDocument/2006/relationships/hyperlink" Id="rId69" Target="https://doi.org/10.1186/s13059-019-1642-2" TargetMode="External" /><Relationship Type="http://schemas.openxmlformats.org/officeDocument/2006/relationships/hyperlink" Id="rId75" Target="https://doi.org/10.1371/journal.pcbi.1010863" TargetMode="External" /><Relationship Type="http://schemas.openxmlformats.org/officeDocument/2006/relationships/hyperlink" Id="rId89" Target="https://doi.org/10.2202/1544-6115.1027" TargetMode="External" /><Relationship Type="http://schemas.openxmlformats.org/officeDocument/2006/relationships/hyperlink" Id="rId55" Target="https://github.com/oncologylab/fp-tools" TargetMode="External" /><Relationship Type="http://schemas.openxmlformats.org/officeDocument/2006/relationships/hyperlink" Id="rId101" Target="https://www.10xgenomics.com/datasets/5-k-peripheral-blood-mononuclear-cells-pbm-cs-from-a-healthy-donor-next-gem-v-1-1-1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fp-tools: A Reproducible Platform for ATAC-seq Footprinting and Regulatory Motif Analysis</dc:title>
  <dc:creator>Yaoxiang Li and Chunling Yi Department of Oncology, Lombardi Comprehensive Cancer Center, Georgetown University Medical Center, Georgetown University, Washington, DC, USA; yl814@georgetown.edu (Y.L.); cy232@georgetown.edu (C.Y.)</dc:creator>
  <cp:keywords/>
  <dcterms:created xsi:type="dcterms:W3CDTF">2026-06-23T08:37:43Z</dcterms:created>
  <dcterms:modified xsi:type="dcterms:W3CDTF">2026-06-23T08:37:43Z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ATAC-seq footprinting enables near-base-resolution inference of transcription-factor (TF) occupancy across the genome. However, the field lacks a computationally efficient, user-friendly, and integrated platform that accepts both bulk and single-cell ATAC-seq data, supports both de novo motif discovery and matching to public motif databases, and generates interactive and publication-ready visual outputs. Here, we present fp-tools, a Python package that builds on the widely used ATAC-seq footprinting framework TOBIAS. We substantially improve computational efficiency across key steps, including Tn5 bias correction, footprint calling, and motif matching. In addition, fp-tools introduces de novo motif discovery, replicate-aware differential footprinting, and scaled motif aggregation, all features not provided by TOBIAS. We further streamline a single-cell ATAC-seq footprinting workflow, provide interactive visualization of analysis results, and implement a graphical user interface (GUI) that enables code-free execution of all package commands. Using public bulk ATAC-seq replicates and single-cell datasets, we demonstrate that fp-tools quantitatively recovers cell-type-specific TF-binding patterns and identifies de novo binding motifs that are not captured by existing public motif databases. Together, fp-tools provides a highly efficient, accessible, and comprehensive platform for TF footprint analysis across bulk and single-cell ATAC-seq studies.</vt:lpwstr>
  </property>
  <property fmtid="{D5CDD505-2E9C-101B-9397-08002B2CF9AE}" pid="3" name="bibliography">
    <vt:lpwstr>references.bib</vt:lpwstr>
  </property>
  <property fmtid="{D5CDD505-2E9C-101B-9397-08002B2CF9AE}" pid="4" name="csl">
    <vt:lpwstr>/usr/share/citation-style-language/styles/vancouver.csl</vt:lpwstr>
  </property>
  <property fmtid="{D5CDD505-2E9C-101B-9397-08002B2CF9AE}" pid="5" name="date">
    <vt:lpwstr/>
  </property>
  <property fmtid="{D5CDD505-2E9C-101B-9397-08002B2CF9AE}" pid="6" name="link-citations">
    <vt:lpwstr>True</vt:lpwstr>
  </property>
</Properties>
</file>